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14BF7" w14:textId="77777777" w:rsidR="00DF2D62" w:rsidRDefault="00A442D7" w:rsidP="00F7132F">
      <w:pPr>
        <w:spacing w:after="0" w:line="240" w:lineRule="auto"/>
        <w:jc w:val="center"/>
        <w:rPr>
          <w:rFonts w:ascii="Verdana" w:hAnsi="Verdana" w:cstheme="minorHAnsi"/>
          <w:b/>
          <w:color w:val="767171" w:themeColor="background2" w:themeShade="80"/>
        </w:rPr>
      </w:pPr>
      <w:r>
        <w:rPr>
          <w:noProof/>
          <w:lang w:eastAsia="pt-BR"/>
        </w:rPr>
        <w:drawing>
          <wp:inline distT="0" distB="0" distL="0" distR="0" wp14:anchorId="398AEE2B" wp14:editId="21DFC223">
            <wp:extent cx="3124200" cy="977454"/>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42924" cy="983312"/>
                    </a:xfrm>
                    <a:prstGeom prst="rect">
                      <a:avLst/>
                    </a:prstGeom>
                  </pic:spPr>
                </pic:pic>
              </a:graphicData>
            </a:graphic>
          </wp:inline>
        </w:drawing>
      </w:r>
    </w:p>
    <w:p w14:paraId="214C24BD" w14:textId="77777777" w:rsidR="00305D18" w:rsidRDefault="00305D18" w:rsidP="00305D18">
      <w:pPr>
        <w:spacing w:after="0" w:line="240" w:lineRule="auto"/>
        <w:jc w:val="both"/>
        <w:rPr>
          <w:rFonts w:ascii="Verdana" w:hAnsi="Verdana" w:cstheme="minorHAnsi"/>
          <w:b/>
          <w:color w:val="767171" w:themeColor="background2" w:themeShade="80"/>
        </w:rPr>
      </w:pPr>
    </w:p>
    <w:p w14:paraId="012A309E" w14:textId="77777777" w:rsidR="00305D18" w:rsidRDefault="00305D18" w:rsidP="00305D18">
      <w:pPr>
        <w:spacing w:after="0" w:line="240" w:lineRule="auto"/>
        <w:jc w:val="both"/>
        <w:rPr>
          <w:rFonts w:ascii="Verdana" w:hAnsi="Verdana" w:cstheme="minorHAnsi"/>
          <w:b/>
          <w:color w:val="767171" w:themeColor="background2" w:themeShade="80"/>
        </w:rPr>
      </w:pPr>
    </w:p>
    <w:p w14:paraId="4A97DB97" w14:textId="77777777" w:rsidR="00305D18" w:rsidRDefault="00305D18" w:rsidP="00305D18">
      <w:pPr>
        <w:spacing w:after="0" w:line="240" w:lineRule="auto"/>
        <w:jc w:val="both"/>
        <w:rPr>
          <w:rFonts w:ascii="Verdana" w:hAnsi="Verdana" w:cstheme="minorHAnsi"/>
          <w:b/>
          <w:color w:val="767171" w:themeColor="background2" w:themeShade="80"/>
        </w:rPr>
      </w:pPr>
    </w:p>
    <w:p w14:paraId="3ED0008E" w14:textId="77777777" w:rsidR="00305D18" w:rsidRDefault="00305D18" w:rsidP="00305D18">
      <w:pPr>
        <w:spacing w:after="0" w:line="240" w:lineRule="auto"/>
        <w:jc w:val="both"/>
        <w:rPr>
          <w:rFonts w:ascii="Verdana" w:hAnsi="Verdana" w:cstheme="minorHAnsi"/>
          <w:b/>
          <w:color w:val="767171" w:themeColor="background2" w:themeShade="80"/>
        </w:rPr>
      </w:pPr>
    </w:p>
    <w:p w14:paraId="4CB21E94" w14:textId="77777777" w:rsidR="00305D18" w:rsidRDefault="00305D18" w:rsidP="00305D18">
      <w:pPr>
        <w:spacing w:after="0" w:line="240" w:lineRule="auto"/>
        <w:jc w:val="both"/>
        <w:rPr>
          <w:rFonts w:ascii="Verdana" w:hAnsi="Verdana" w:cstheme="minorHAnsi"/>
          <w:b/>
          <w:color w:val="767171" w:themeColor="background2" w:themeShade="80"/>
        </w:rPr>
      </w:pPr>
    </w:p>
    <w:p w14:paraId="684BE92F" w14:textId="77777777" w:rsidR="00305D18" w:rsidRDefault="00305D18" w:rsidP="00305D18">
      <w:pPr>
        <w:spacing w:after="0" w:line="240" w:lineRule="auto"/>
        <w:jc w:val="both"/>
        <w:rPr>
          <w:rFonts w:ascii="Verdana" w:hAnsi="Verdana" w:cstheme="minorHAnsi"/>
          <w:b/>
          <w:color w:val="767171" w:themeColor="background2" w:themeShade="80"/>
        </w:rPr>
      </w:pPr>
    </w:p>
    <w:p w14:paraId="433D8C9C" w14:textId="77777777" w:rsidR="00305D18" w:rsidRDefault="00305D18" w:rsidP="00305D18">
      <w:pPr>
        <w:spacing w:after="0" w:line="240" w:lineRule="auto"/>
        <w:jc w:val="both"/>
        <w:rPr>
          <w:rFonts w:ascii="Verdana" w:hAnsi="Verdana" w:cstheme="minorHAnsi"/>
          <w:b/>
          <w:color w:val="767171" w:themeColor="background2" w:themeShade="80"/>
        </w:rPr>
      </w:pPr>
    </w:p>
    <w:p w14:paraId="2B482307" w14:textId="77777777" w:rsidR="00305D18" w:rsidRDefault="00305D18" w:rsidP="00305D18">
      <w:pPr>
        <w:spacing w:after="0" w:line="240" w:lineRule="auto"/>
        <w:jc w:val="both"/>
        <w:rPr>
          <w:rFonts w:ascii="Verdana" w:hAnsi="Verdana" w:cstheme="minorHAnsi"/>
          <w:b/>
          <w:color w:val="767171" w:themeColor="background2" w:themeShade="80"/>
        </w:rPr>
      </w:pPr>
    </w:p>
    <w:p w14:paraId="09747BAB" w14:textId="77777777" w:rsidR="00305D18" w:rsidRDefault="00305D18" w:rsidP="00305D18">
      <w:pPr>
        <w:spacing w:after="0" w:line="240" w:lineRule="auto"/>
        <w:jc w:val="both"/>
        <w:rPr>
          <w:rFonts w:ascii="Verdana" w:hAnsi="Verdana" w:cstheme="minorHAnsi"/>
          <w:b/>
          <w:color w:val="767171" w:themeColor="background2" w:themeShade="80"/>
        </w:rPr>
      </w:pPr>
    </w:p>
    <w:p w14:paraId="54B90478" w14:textId="77777777" w:rsidR="00305D18" w:rsidRDefault="00305D18" w:rsidP="00305D18">
      <w:pPr>
        <w:spacing w:after="0" w:line="240" w:lineRule="auto"/>
        <w:jc w:val="both"/>
        <w:rPr>
          <w:rFonts w:ascii="Verdana" w:hAnsi="Verdana" w:cstheme="minorHAnsi"/>
          <w:b/>
          <w:color w:val="767171" w:themeColor="background2" w:themeShade="80"/>
        </w:rPr>
      </w:pPr>
    </w:p>
    <w:p w14:paraId="58ED5605" w14:textId="77777777" w:rsidR="00305D18" w:rsidRDefault="00305D18" w:rsidP="00305D18">
      <w:pPr>
        <w:spacing w:after="0" w:line="240" w:lineRule="auto"/>
        <w:jc w:val="both"/>
        <w:rPr>
          <w:rFonts w:ascii="Verdana" w:hAnsi="Verdana" w:cstheme="minorHAnsi"/>
          <w:b/>
          <w:color w:val="767171" w:themeColor="background2" w:themeShade="80"/>
        </w:rPr>
      </w:pPr>
    </w:p>
    <w:p w14:paraId="2409E345" w14:textId="77777777" w:rsidR="00305D18" w:rsidRDefault="00305D18" w:rsidP="00305D18">
      <w:pPr>
        <w:spacing w:after="0" w:line="240" w:lineRule="auto"/>
        <w:jc w:val="both"/>
        <w:rPr>
          <w:rFonts w:ascii="Verdana" w:hAnsi="Verdana" w:cstheme="minorHAnsi"/>
          <w:b/>
          <w:color w:val="767171" w:themeColor="background2" w:themeShade="80"/>
        </w:rPr>
      </w:pPr>
    </w:p>
    <w:p w14:paraId="2A60A5A9" w14:textId="77777777" w:rsidR="00305D18" w:rsidRDefault="00305D18" w:rsidP="00305D18">
      <w:pPr>
        <w:spacing w:after="0" w:line="240" w:lineRule="auto"/>
        <w:jc w:val="both"/>
        <w:rPr>
          <w:rFonts w:ascii="Verdana" w:hAnsi="Verdana" w:cstheme="minorHAnsi"/>
          <w:b/>
          <w:color w:val="767171" w:themeColor="background2" w:themeShade="80"/>
        </w:rPr>
      </w:pPr>
    </w:p>
    <w:p w14:paraId="58C004D5" w14:textId="77777777" w:rsidR="00305D18" w:rsidRDefault="00305D18" w:rsidP="00305D18">
      <w:pPr>
        <w:spacing w:after="0" w:line="240" w:lineRule="auto"/>
        <w:jc w:val="both"/>
        <w:rPr>
          <w:rFonts w:ascii="Verdana" w:hAnsi="Verdana" w:cstheme="minorHAnsi"/>
          <w:b/>
          <w:color w:val="767171" w:themeColor="background2" w:themeShade="80"/>
        </w:rPr>
      </w:pPr>
    </w:p>
    <w:p w14:paraId="5986414F" w14:textId="77777777" w:rsidR="00305D18" w:rsidRPr="00305D18" w:rsidRDefault="00305D18" w:rsidP="00305D18">
      <w:pPr>
        <w:spacing w:after="0" w:line="240" w:lineRule="auto"/>
        <w:jc w:val="both"/>
        <w:rPr>
          <w:rFonts w:ascii="Verdana" w:hAnsi="Verdana" w:cstheme="minorHAnsi"/>
          <w:b/>
          <w:color w:val="767171" w:themeColor="background2" w:themeShade="80"/>
        </w:rPr>
      </w:pPr>
    </w:p>
    <w:p w14:paraId="0E845D0D" w14:textId="77777777" w:rsidR="00DF2D62" w:rsidRPr="00C11BC9" w:rsidRDefault="00DF2D62" w:rsidP="00C11BC9">
      <w:pPr>
        <w:pStyle w:val="Ttulo1"/>
        <w:widowControl w:val="0"/>
        <w:spacing w:before="0"/>
        <w:ind w:right="-427"/>
        <w:jc w:val="center"/>
        <w:rPr>
          <w:color w:val="000000"/>
          <w:sz w:val="36"/>
          <w:u w:val="none"/>
          <w:lang w:val="pt-BR"/>
        </w:rPr>
      </w:pPr>
      <w:r w:rsidRPr="00C11BC9">
        <w:rPr>
          <w:color w:val="000000"/>
          <w:sz w:val="36"/>
          <w:u w:val="none"/>
          <w:lang w:val="pt-BR"/>
        </w:rPr>
        <w:t>Demonstrações Contábeis Intermediárias</w:t>
      </w:r>
    </w:p>
    <w:p w14:paraId="06F27E0A" w14:textId="77777777" w:rsidR="00DF2D62" w:rsidRPr="00C11BC9" w:rsidRDefault="00DF2D62" w:rsidP="00C11BC9">
      <w:pPr>
        <w:jc w:val="center"/>
        <w:rPr>
          <w:rFonts w:ascii="Verdana" w:hAnsi="Verdana" w:cs="Times New Roman"/>
          <w:b/>
          <w:sz w:val="28"/>
        </w:rPr>
      </w:pPr>
      <w:r w:rsidRPr="00C11BC9">
        <w:rPr>
          <w:rFonts w:ascii="Verdana" w:hAnsi="Verdana" w:cs="Times New Roman"/>
          <w:b/>
          <w:sz w:val="28"/>
        </w:rPr>
        <w:t>30 de junho de 2022</w:t>
      </w:r>
    </w:p>
    <w:p w14:paraId="1FD9EF98" w14:textId="77777777" w:rsidR="00DF2D62" w:rsidRPr="00C11BC9" w:rsidRDefault="00DF2D62" w:rsidP="00DF2D62">
      <w:pPr>
        <w:rPr>
          <w:rFonts w:ascii="Verdana" w:hAnsi="Verdana" w:cs="Times New Roman"/>
        </w:rPr>
      </w:pPr>
    </w:p>
    <w:p w14:paraId="06C96946" w14:textId="0A23BAB4" w:rsidR="00DF2D62" w:rsidRPr="00C11BC9" w:rsidRDefault="00DF2D62" w:rsidP="00C11BC9">
      <w:pPr>
        <w:jc w:val="center"/>
        <w:rPr>
          <w:rFonts w:ascii="Verdana" w:hAnsi="Verdana" w:cs="Times New Roman"/>
          <w:b/>
          <w:bCs/>
          <w:kern w:val="36"/>
        </w:rPr>
      </w:pPr>
      <w:r w:rsidRPr="00C11BC9">
        <w:rPr>
          <w:rFonts w:ascii="Verdana" w:hAnsi="Verdana" w:cs="Times New Roman"/>
        </w:rPr>
        <w:br w:type="page"/>
      </w:r>
    </w:p>
    <w:p w14:paraId="77D847BE" w14:textId="77777777" w:rsidR="00DF2D62" w:rsidRPr="00C11BC9" w:rsidRDefault="00DF2D62" w:rsidP="00CF5F07">
      <w:pPr>
        <w:spacing w:after="0" w:line="240" w:lineRule="auto"/>
        <w:jc w:val="both"/>
        <w:rPr>
          <w:rFonts w:ascii="Verdana" w:hAnsi="Verdana" w:cstheme="minorHAnsi"/>
          <w:b/>
          <w:color w:val="767171" w:themeColor="background2" w:themeShade="80"/>
        </w:rPr>
        <w:sectPr w:rsidR="00DF2D62" w:rsidRPr="00C11BC9">
          <w:headerReference w:type="default" r:id="rId9"/>
          <w:pgSz w:w="11906" w:h="16838"/>
          <w:pgMar w:top="1417" w:right="1701" w:bottom="1417" w:left="1701" w:header="708" w:footer="708" w:gutter="0"/>
          <w:cols w:space="708"/>
          <w:docGrid w:linePitch="360"/>
        </w:sectPr>
      </w:pPr>
    </w:p>
    <w:p w14:paraId="3F452F65" w14:textId="77777777" w:rsidR="006E1B4F" w:rsidRDefault="006E1B4F" w:rsidP="00C11BC9">
      <w:pPr>
        <w:widowControl w:val="0"/>
        <w:spacing w:after="0"/>
        <w:rPr>
          <w:rFonts w:ascii="Verdana" w:hAnsi="Verdana"/>
          <w:b/>
          <w:bCs/>
          <w:szCs w:val="26"/>
        </w:rPr>
      </w:pPr>
    </w:p>
    <w:p w14:paraId="5C381AC5" w14:textId="77777777" w:rsidR="007715F1" w:rsidRDefault="007715F1" w:rsidP="00F7132F">
      <w:pPr>
        <w:widowControl w:val="0"/>
        <w:spacing w:after="0"/>
        <w:jc w:val="center"/>
        <w:rPr>
          <w:rFonts w:ascii="Verdana" w:hAnsi="Verdana"/>
          <w:b/>
          <w:bCs/>
          <w:szCs w:val="26"/>
        </w:rPr>
      </w:pPr>
    </w:p>
    <w:p w14:paraId="6F67D2AD" w14:textId="77777777" w:rsidR="004B6B1F" w:rsidRPr="006E1B4F" w:rsidRDefault="00F52374" w:rsidP="00F7132F">
      <w:pPr>
        <w:widowControl w:val="0"/>
        <w:spacing w:after="0"/>
        <w:jc w:val="center"/>
        <w:rPr>
          <w:rFonts w:ascii="Verdana" w:hAnsi="Verdana"/>
          <w:b/>
          <w:bCs/>
          <w:szCs w:val="26"/>
        </w:rPr>
      </w:pPr>
      <w:r w:rsidRPr="006E1B4F">
        <w:rPr>
          <w:rFonts w:ascii="Verdana" w:hAnsi="Verdana"/>
          <w:b/>
          <w:bCs/>
          <w:szCs w:val="26"/>
        </w:rPr>
        <w:t>Balanço patrimonial</w:t>
      </w:r>
    </w:p>
    <w:p w14:paraId="7D0A3240" w14:textId="77777777" w:rsidR="00F52374" w:rsidRPr="00C11BC9" w:rsidRDefault="00F52374" w:rsidP="004B6B1F">
      <w:pPr>
        <w:widowControl w:val="0"/>
        <w:rPr>
          <w:rFonts w:ascii="Verdana" w:hAnsi="Verdana"/>
          <w:bCs/>
        </w:rPr>
      </w:pPr>
    </w:p>
    <w:p w14:paraId="0B36C7C0" w14:textId="77777777" w:rsidR="007715F1" w:rsidRPr="00C11BC9" w:rsidRDefault="007715F1" w:rsidP="007835BD">
      <w:pPr>
        <w:spacing w:after="0" w:line="240" w:lineRule="auto"/>
        <w:jc w:val="both"/>
        <w:rPr>
          <w:rFonts w:ascii="Verdana" w:hAnsi="Verdana" w:cstheme="minorHAnsi"/>
          <w:b/>
          <w:color w:val="767171" w:themeColor="background2" w:themeShade="80"/>
        </w:rPr>
      </w:pPr>
    </w:p>
    <w:tbl>
      <w:tblPr>
        <w:tblW w:w="6007" w:type="pct"/>
        <w:jc w:val="center"/>
        <w:tblCellMar>
          <w:left w:w="70" w:type="dxa"/>
          <w:right w:w="70" w:type="dxa"/>
        </w:tblCellMar>
        <w:tblLook w:val="04A0" w:firstRow="1" w:lastRow="0" w:firstColumn="1" w:lastColumn="0" w:noHBand="0" w:noVBand="1"/>
      </w:tblPr>
      <w:tblGrid>
        <w:gridCol w:w="4255"/>
        <w:gridCol w:w="211"/>
        <w:gridCol w:w="1065"/>
        <w:gridCol w:w="146"/>
        <w:gridCol w:w="2086"/>
        <w:gridCol w:w="210"/>
        <w:gridCol w:w="2244"/>
      </w:tblGrid>
      <w:tr w:rsidR="007715F1" w:rsidRPr="006B5F69" w14:paraId="45936251"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4F99C606" w14:textId="77777777" w:rsidR="007715F1" w:rsidRPr="006B5F69" w:rsidRDefault="007715F1" w:rsidP="007715F1">
            <w:pPr>
              <w:spacing w:after="0" w:line="240" w:lineRule="auto"/>
              <w:rPr>
                <w:rFonts w:ascii="Times New Roman" w:eastAsia="Times New Roman" w:hAnsi="Times New Roman" w:cs="Times New Roman"/>
                <w:sz w:val="18"/>
                <w:szCs w:val="24"/>
                <w:lang w:eastAsia="pt-BR"/>
              </w:rPr>
            </w:pPr>
          </w:p>
        </w:tc>
        <w:tc>
          <w:tcPr>
            <w:tcW w:w="103" w:type="pct"/>
            <w:tcBorders>
              <w:top w:val="nil"/>
              <w:left w:val="nil"/>
              <w:bottom w:val="nil"/>
              <w:right w:val="nil"/>
            </w:tcBorders>
            <w:shd w:val="clear" w:color="auto" w:fill="auto"/>
            <w:noWrap/>
            <w:vAlign w:val="center"/>
            <w:hideMark/>
          </w:tcPr>
          <w:p w14:paraId="594EB3A3" w14:textId="77777777" w:rsidR="007715F1" w:rsidRPr="006B5F69" w:rsidRDefault="007715F1" w:rsidP="007715F1">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521" w:type="pct"/>
            <w:tcBorders>
              <w:top w:val="nil"/>
              <w:left w:val="nil"/>
              <w:bottom w:val="nil"/>
              <w:right w:val="nil"/>
            </w:tcBorders>
            <w:shd w:val="clear" w:color="auto" w:fill="auto"/>
            <w:noWrap/>
            <w:vAlign w:val="center"/>
            <w:hideMark/>
          </w:tcPr>
          <w:p w14:paraId="3B4E5DCA" w14:textId="77777777" w:rsidR="007715F1" w:rsidRPr="006B5F69" w:rsidRDefault="007715F1" w:rsidP="007715F1">
            <w:pPr>
              <w:spacing w:after="0" w:line="240" w:lineRule="auto"/>
              <w:rPr>
                <w:rFonts w:ascii="Verdana" w:eastAsia="Times New Roman" w:hAnsi="Verdana" w:cs="Calibri"/>
                <w:b/>
                <w:bCs/>
                <w:sz w:val="18"/>
                <w:szCs w:val="20"/>
                <w:lang w:eastAsia="pt-BR"/>
              </w:rPr>
            </w:pPr>
          </w:p>
        </w:tc>
        <w:tc>
          <w:tcPr>
            <w:tcW w:w="71" w:type="pct"/>
            <w:tcBorders>
              <w:top w:val="nil"/>
              <w:left w:val="nil"/>
              <w:bottom w:val="nil"/>
              <w:right w:val="nil"/>
            </w:tcBorders>
            <w:shd w:val="clear" w:color="auto" w:fill="auto"/>
            <w:noWrap/>
            <w:vAlign w:val="center"/>
            <w:hideMark/>
          </w:tcPr>
          <w:p w14:paraId="4870E599" w14:textId="77777777" w:rsidR="007715F1" w:rsidRPr="006B5F69" w:rsidRDefault="007715F1" w:rsidP="007715F1">
            <w:pPr>
              <w:spacing w:after="0" w:line="240" w:lineRule="auto"/>
              <w:rPr>
                <w:rFonts w:ascii="Times New Roman" w:eastAsia="Times New Roman" w:hAnsi="Times New Roman" w:cs="Times New Roman"/>
                <w:sz w:val="18"/>
                <w:szCs w:val="20"/>
                <w:lang w:eastAsia="pt-BR"/>
              </w:rPr>
            </w:pPr>
          </w:p>
        </w:tc>
        <w:tc>
          <w:tcPr>
            <w:tcW w:w="1021" w:type="pct"/>
            <w:tcBorders>
              <w:top w:val="nil"/>
              <w:left w:val="nil"/>
              <w:bottom w:val="single" w:sz="4" w:space="0" w:color="auto"/>
              <w:right w:val="nil"/>
            </w:tcBorders>
            <w:shd w:val="clear" w:color="auto" w:fill="auto"/>
            <w:noWrap/>
            <w:vAlign w:val="center"/>
            <w:hideMark/>
          </w:tcPr>
          <w:p w14:paraId="2E2508E8" w14:textId="77777777" w:rsidR="007715F1" w:rsidRPr="006B5F69" w:rsidRDefault="007715F1" w:rsidP="007715F1">
            <w:pPr>
              <w:spacing w:after="0" w:line="240" w:lineRule="auto"/>
              <w:jc w:val="center"/>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CONTROLADORA</w:t>
            </w:r>
          </w:p>
        </w:tc>
        <w:tc>
          <w:tcPr>
            <w:tcW w:w="103" w:type="pct"/>
            <w:tcBorders>
              <w:top w:val="nil"/>
              <w:left w:val="nil"/>
              <w:bottom w:val="nil"/>
              <w:right w:val="nil"/>
            </w:tcBorders>
            <w:shd w:val="clear" w:color="auto" w:fill="auto"/>
            <w:noWrap/>
            <w:vAlign w:val="center"/>
            <w:hideMark/>
          </w:tcPr>
          <w:p w14:paraId="5DD37C74" w14:textId="77777777" w:rsidR="007715F1" w:rsidRPr="006B5F69" w:rsidRDefault="007715F1" w:rsidP="007715F1">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1098" w:type="pct"/>
            <w:tcBorders>
              <w:top w:val="nil"/>
              <w:left w:val="nil"/>
              <w:bottom w:val="single" w:sz="4" w:space="0" w:color="auto"/>
              <w:right w:val="nil"/>
            </w:tcBorders>
            <w:shd w:val="clear" w:color="auto" w:fill="auto"/>
            <w:noWrap/>
            <w:vAlign w:val="center"/>
            <w:hideMark/>
          </w:tcPr>
          <w:p w14:paraId="155A559F" w14:textId="77777777" w:rsidR="007715F1" w:rsidRPr="006B5F69" w:rsidRDefault="007715F1" w:rsidP="007715F1">
            <w:pPr>
              <w:spacing w:after="0" w:line="240" w:lineRule="auto"/>
              <w:jc w:val="center"/>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CONSOLIDADO</w:t>
            </w:r>
          </w:p>
        </w:tc>
      </w:tr>
      <w:tr w:rsidR="007715F1" w:rsidRPr="006B5F69" w14:paraId="2B3CE0C3"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422FA80D" w14:textId="77777777" w:rsidR="007715F1" w:rsidRPr="006B5F69" w:rsidRDefault="007715F1" w:rsidP="007715F1">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xml:space="preserve"> ATIVO</w:t>
            </w:r>
          </w:p>
        </w:tc>
        <w:tc>
          <w:tcPr>
            <w:tcW w:w="103" w:type="pct"/>
            <w:tcBorders>
              <w:top w:val="nil"/>
              <w:left w:val="nil"/>
              <w:bottom w:val="nil"/>
              <w:right w:val="nil"/>
            </w:tcBorders>
            <w:shd w:val="clear" w:color="auto" w:fill="auto"/>
            <w:noWrap/>
            <w:vAlign w:val="bottom"/>
            <w:hideMark/>
          </w:tcPr>
          <w:p w14:paraId="394EC068" w14:textId="77777777" w:rsidR="007715F1" w:rsidRPr="006B5F69" w:rsidRDefault="007715F1" w:rsidP="007715F1">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521" w:type="pct"/>
            <w:tcBorders>
              <w:top w:val="nil"/>
              <w:left w:val="nil"/>
              <w:bottom w:val="nil"/>
              <w:right w:val="nil"/>
            </w:tcBorders>
            <w:shd w:val="clear" w:color="auto" w:fill="auto"/>
            <w:noWrap/>
            <w:vAlign w:val="center"/>
            <w:hideMark/>
          </w:tcPr>
          <w:p w14:paraId="1D382CC7" w14:textId="77777777" w:rsidR="007715F1" w:rsidRPr="006B5F69" w:rsidRDefault="007715F1" w:rsidP="007715F1">
            <w:pPr>
              <w:spacing w:after="0" w:line="240" w:lineRule="auto"/>
              <w:jc w:val="center"/>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NOTA</w:t>
            </w:r>
          </w:p>
        </w:tc>
        <w:tc>
          <w:tcPr>
            <w:tcW w:w="71" w:type="pct"/>
            <w:tcBorders>
              <w:top w:val="nil"/>
              <w:left w:val="nil"/>
              <w:bottom w:val="nil"/>
              <w:right w:val="nil"/>
            </w:tcBorders>
            <w:shd w:val="clear" w:color="auto" w:fill="auto"/>
            <w:noWrap/>
            <w:vAlign w:val="center"/>
            <w:hideMark/>
          </w:tcPr>
          <w:p w14:paraId="0F1A7D5A" w14:textId="77777777" w:rsidR="007715F1" w:rsidRPr="006B5F69" w:rsidRDefault="007715F1" w:rsidP="007715F1">
            <w:pPr>
              <w:spacing w:after="0" w:line="240" w:lineRule="auto"/>
              <w:jc w:val="center"/>
              <w:rPr>
                <w:rFonts w:ascii="Verdana" w:eastAsia="Times New Roman" w:hAnsi="Verdana" w:cs="Calibri"/>
                <w:b/>
                <w:bCs/>
                <w:sz w:val="18"/>
                <w:szCs w:val="20"/>
                <w:lang w:eastAsia="pt-BR"/>
              </w:rPr>
            </w:pPr>
          </w:p>
        </w:tc>
        <w:tc>
          <w:tcPr>
            <w:tcW w:w="1021" w:type="pct"/>
            <w:tcBorders>
              <w:top w:val="nil"/>
              <w:left w:val="nil"/>
              <w:bottom w:val="single" w:sz="4" w:space="0" w:color="auto"/>
              <w:right w:val="nil"/>
            </w:tcBorders>
            <w:shd w:val="clear" w:color="auto" w:fill="auto"/>
            <w:noWrap/>
            <w:vAlign w:val="center"/>
            <w:hideMark/>
          </w:tcPr>
          <w:p w14:paraId="06479BDF" w14:textId="77777777" w:rsidR="007715F1" w:rsidRPr="006B5F69" w:rsidRDefault="007715F1" w:rsidP="007715F1">
            <w:pPr>
              <w:spacing w:after="0" w:line="240" w:lineRule="auto"/>
              <w:jc w:val="center"/>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xml:space="preserve"> 30/06/2022 </w:t>
            </w:r>
          </w:p>
        </w:tc>
        <w:tc>
          <w:tcPr>
            <w:tcW w:w="103" w:type="pct"/>
            <w:tcBorders>
              <w:top w:val="nil"/>
              <w:left w:val="nil"/>
              <w:bottom w:val="nil"/>
              <w:right w:val="nil"/>
            </w:tcBorders>
            <w:shd w:val="clear" w:color="auto" w:fill="auto"/>
            <w:noWrap/>
            <w:vAlign w:val="center"/>
            <w:hideMark/>
          </w:tcPr>
          <w:p w14:paraId="04337A01" w14:textId="77777777" w:rsidR="007715F1" w:rsidRPr="006B5F69" w:rsidRDefault="007715F1" w:rsidP="007715F1">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1098" w:type="pct"/>
            <w:tcBorders>
              <w:top w:val="nil"/>
              <w:left w:val="nil"/>
              <w:bottom w:val="single" w:sz="4" w:space="0" w:color="auto"/>
              <w:right w:val="nil"/>
            </w:tcBorders>
            <w:shd w:val="clear" w:color="auto" w:fill="auto"/>
            <w:noWrap/>
            <w:vAlign w:val="center"/>
            <w:hideMark/>
          </w:tcPr>
          <w:p w14:paraId="45DC307C" w14:textId="77777777" w:rsidR="007715F1" w:rsidRPr="006B5F69" w:rsidRDefault="007715F1" w:rsidP="007715F1">
            <w:pPr>
              <w:spacing w:after="0" w:line="240" w:lineRule="auto"/>
              <w:jc w:val="center"/>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xml:space="preserve"> 30/06/2022 </w:t>
            </w:r>
          </w:p>
        </w:tc>
      </w:tr>
      <w:tr w:rsidR="007715F1" w:rsidRPr="006B5F69" w14:paraId="565FEA21"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598758E7" w14:textId="77777777" w:rsidR="007715F1" w:rsidRPr="006B5F69" w:rsidRDefault="007715F1" w:rsidP="007715F1">
            <w:pPr>
              <w:spacing w:after="0" w:line="240" w:lineRule="auto"/>
              <w:jc w:val="center"/>
              <w:rPr>
                <w:rFonts w:ascii="Verdana" w:eastAsia="Times New Roman" w:hAnsi="Verdana" w:cs="Calibri"/>
                <w:b/>
                <w:bCs/>
                <w:sz w:val="18"/>
                <w:szCs w:val="20"/>
                <w:lang w:eastAsia="pt-BR"/>
              </w:rPr>
            </w:pPr>
          </w:p>
        </w:tc>
        <w:tc>
          <w:tcPr>
            <w:tcW w:w="103" w:type="pct"/>
            <w:tcBorders>
              <w:top w:val="nil"/>
              <w:left w:val="nil"/>
              <w:bottom w:val="nil"/>
              <w:right w:val="nil"/>
            </w:tcBorders>
            <w:shd w:val="clear" w:color="auto" w:fill="auto"/>
            <w:noWrap/>
            <w:vAlign w:val="bottom"/>
            <w:hideMark/>
          </w:tcPr>
          <w:p w14:paraId="386A7B5F" w14:textId="77777777" w:rsidR="007715F1" w:rsidRPr="006B5F69" w:rsidRDefault="007715F1" w:rsidP="007715F1">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521" w:type="pct"/>
            <w:tcBorders>
              <w:top w:val="nil"/>
              <w:left w:val="nil"/>
              <w:bottom w:val="nil"/>
              <w:right w:val="nil"/>
            </w:tcBorders>
            <w:shd w:val="clear" w:color="auto" w:fill="auto"/>
            <w:noWrap/>
            <w:vAlign w:val="center"/>
            <w:hideMark/>
          </w:tcPr>
          <w:p w14:paraId="680BC31A" w14:textId="77777777" w:rsidR="007715F1" w:rsidRPr="006B5F69" w:rsidRDefault="007715F1" w:rsidP="007715F1">
            <w:pPr>
              <w:spacing w:after="0" w:line="240" w:lineRule="auto"/>
              <w:rPr>
                <w:rFonts w:ascii="Verdana" w:eastAsia="Times New Roman" w:hAnsi="Verdana" w:cs="Calibri"/>
                <w:b/>
                <w:bCs/>
                <w:sz w:val="18"/>
                <w:szCs w:val="20"/>
                <w:lang w:eastAsia="pt-BR"/>
              </w:rPr>
            </w:pPr>
          </w:p>
        </w:tc>
        <w:tc>
          <w:tcPr>
            <w:tcW w:w="71" w:type="pct"/>
            <w:tcBorders>
              <w:top w:val="nil"/>
              <w:left w:val="nil"/>
              <w:bottom w:val="nil"/>
              <w:right w:val="nil"/>
            </w:tcBorders>
            <w:shd w:val="clear" w:color="auto" w:fill="auto"/>
            <w:noWrap/>
            <w:vAlign w:val="center"/>
            <w:hideMark/>
          </w:tcPr>
          <w:p w14:paraId="2648A340" w14:textId="77777777" w:rsidR="007715F1" w:rsidRPr="006B5F69" w:rsidRDefault="007715F1" w:rsidP="007715F1">
            <w:pPr>
              <w:spacing w:after="0" w:line="240" w:lineRule="auto"/>
              <w:rPr>
                <w:rFonts w:ascii="Times New Roman" w:eastAsia="Times New Roman" w:hAnsi="Times New Roman" w:cs="Times New Roman"/>
                <w:sz w:val="18"/>
                <w:szCs w:val="20"/>
                <w:lang w:eastAsia="pt-BR"/>
              </w:rPr>
            </w:pPr>
          </w:p>
        </w:tc>
        <w:tc>
          <w:tcPr>
            <w:tcW w:w="1021" w:type="pct"/>
            <w:tcBorders>
              <w:top w:val="nil"/>
              <w:left w:val="nil"/>
              <w:bottom w:val="nil"/>
              <w:right w:val="nil"/>
            </w:tcBorders>
            <w:shd w:val="clear" w:color="auto" w:fill="auto"/>
            <w:noWrap/>
            <w:vAlign w:val="center"/>
            <w:hideMark/>
          </w:tcPr>
          <w:p w14:paraId="4BAB89D1" w14:textId="77777777" w:rsidR="007715F1" w:rsidRPr="006B5F69" w:rsidRDefault="007715F1" w:rsidP="007715F1">
            <w:pPr>
              <w:spacing w:after="0" w:line="240" w:lineRule="auto"/>
              <w:rPr>
                <w:rFonts w:ascii="Times New Roman" w:eastAsia="Times New Roman" w:hAnsi="Times New Roman" w:cs="Times New Roman"/>
                <w:sz w:val="18"/>
                <w:szCs w:val="20"/>
                <w:lang w:eastAsia="pt-BR"/>
              </w:rPr>
            </w:pPr>
          </w:p>
        </w:tc>
        <w:tc>
          <w:tcPr>
            <w:tcW w:w="103" w:type="pct"/>
            <w:tcBorders>
              <w:top w:val="nil"/>
              <w:left w:val="nil"/>
              <w:bottom w:val="nil"/>
              <w:right w:val="nil"/>
            </w:tcBorders>
            <w:shd w:val="clear" w:color="auto" w:fill="auto"/>
            <w:noWrap/>
            <w:vAlign w:val="center"/>
            <w:hideMark/>
          </w:tcPr>
          <w:p w14:paraId="0ED30047" w14:textId="77777777" w:rsidR="007715F1" w:rsidRPr="006B5F69" w:rsidRDefault="007715F1" w:rsidP="007715F1">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1098" w:type="pct"/>
            <w:tcBorders>
              <w:top w:val="nil"/>
              <w:left w:val="nil"/>
              <w:bottom w:val="nil"/>
              <w:right w:val="nil"/>
            </w:tcBorders>
            <w:shd w:val="clear" w:color="auto" w:fill="auto"/>
            <w:noWrap/>
            <w:vAlign w:val="center"/>
            <w:hideMark/>
          </w:tcPr>
          <w:p w14:paraId="4FBE661B" w14:textId="77777777" w:rsidR="007715F1" w:rsidRPr="006B5F69" w:rsidRDefault="007715F1" w:rsidP="007715F1">
            <w:pPr>
              <w:spacing w:after="0" w:line="240" w:lineRule="auto"/>
              <w:rPr>
                <w:rFonts w:ascii="Verdana" w:eastAsia="Times New Roman" w:hAnsi="Verdana" w:cs="Calibri"/>
                <w:b/>
                <w:bCs/>
                <w:sz w:val="18"/>
                <w:szCs w:val="20"/>
                <w:lang w:eastAsia="pt-BR"/>
              </w:rPr>
            </w:pPr>
          </w:p>
        </w:tc>
      </w:tr>
      <w:tr w:rsidR="007715F1" w:rsidRPr="006B5F69" w14:paraId="6E970F7F"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38A5E967" w14:textId="77777777" w:rsidR="007715F1" w:rsidRPr="006B5F69" w:rsidRDefault="007715F1" w:rsidP="007715F1">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CIRCULANTE</w:t>
            </w:r>
          </w:p>
        </w:tc>
        <w:tc>
          <w:tcPr>
            <w:tcW w:w="103" w:type="pct"/>
            <w:tcBorders>
              <w:top w:val="nil"/>
              <w:left w:val="nil"/>
              <w:bottom w:val="nil"/>
              <w:right w:val="nil"/>
            </w:tcBorders>
            <w:shd w:val="clear" w:color="auto" w:fill="auto"/>
            <w:noWrap/>
            <w:vAlign w:val="center"/>
            <w:hideMark/>
          </w:tcPr>
          <w:p w14:paraId="4FF7E018" w14:textId="77777777" w:rsidR="007715F1" w:rsidRPr="006B5F69" w:rsidRDefault="007715F1" w:rsidP="007715F1">
            <w:pPr>
              <w:spacing w:after="0" w:line="240" w:lineRule="auto"/>
              <w:rPr>
                <w:rFonts w:ascii="Verdana" w:eastAsia="Times New Roman" w:hAnsi="Verdana" w:cs="Calibri"/>
                <w:b/>
                <w:bCs/>
                <w:sz w:val="18"/>
                <w:szCs w:val="20"/>
                <w:lang w:eastAsia="pt-BR"/>
              </w:rPr>
            </w:pPr>
          </w:p>
        </w:tc>
        <w:tc>
          <w:tcPr>
            <w:tcW w:w="521" w:type="pct"/>
            <w:tcBorders>
              <w:top w:val="nil"/>
              <w:left w:val="nil"/>
              <w:bottom w:val="nil"/>
              <w:right w:val="nil"/>
            </w:tcBorders>
            <w:shd w:val="clear" w:color="auto" w:fill="auto"/>
            <w:noWrap/>
            <w:vAlign w:val="center"/>
            <w:hideMark/>
          </w:tcPr>
          <w:p w14:paraId="735CE417" w14:textId="77777777" w:rsidR="007715F1" w:rsidRPr="006B5F69" w:rsidRDefault="007715F1" w:rsidP="007715F1">
            <w:pPr>
              <w:spacing w:after="0" w:line="240" w:lineRule="auto"/>
              <w:rPr>
                <w:rFonts w:ascii="Times New Roman" w:eastAsia="Times New Roman" w:hAnsi="Times New Roman" w:cs="Times New Roman"/>
                <w:sz w:val="18"/>
                <w:szCs w:val="20"/>
                <w:lang w:eastAsia="pt-BR"/>
              </w:rPr>
            </w:pPr>
          </w:p>
        </w:tc>
        <w:tc>
          <w:tcPr>
            <w:tcW w:w="71" w:type="pct"/>
            <w:tcBorders>
              <w:top w:val="nil"/>
              <w:left w:val="nil"/>
              <w:bottom w:val="nil"/>
              <w:right w:val="nil"/>
            </w:tcBorders>
            <w:shd w:val="clear" w:color="auto" w:fill="auto"/>
            <w:noWrap/>
            <w:vAlign w:val="center"/>
            <w:hideMark/>
          </w:tcPr>
          <w:p w14:paraId="4DA72B5C" w14:textId="77777777" w:rsidR="007715F1" w:rsidRPr="006B5F69" w:rsidRDefault="007715F1" w:rsidP="007715F1">
            <w:pPr>
              <w:spacing w:after="0" w:line="240" w:lineRule="auto"/>
              <w:jc w:val="center"/>
              <w:rPr>
                <w:rFonts w:ascii="Times New Roman" w:eastAsia="Times New Roman" w:hAnsi="Times New Roman" w:cs="Times New Roman"/>
                <w:sz w:val="18"/>
                <w:szCs w:val="20"/>
                <w:lang w:eastAsia="pt-BR"/>
              </w:rPr>
            </w:pPr>
          </w:p>
        </w:tc>
        <w:tc>
          <w:tcPr>
            <w:tcW w:w="1021" w:type="pct"/>
            <w:tcBorders>
              <w:top w:val="nil"/>
              <w:left w:val="nil"/>
              <w:bottom w:val="nil"/>
              <w:right w:val="nil"/>
            </w:tcBorders>
            <w:shd w:val="clear" w:color="auto" w:fill="auto"/>
            <w:noWrap/>
            <w:vAlign w:val="center"/>
            <w:hideMark/>
          </w:tcPr>
          <w:p w14:paraId="21373C92" w14:textId="77777777" w:rsidR="007715F1" w:rsidRPr="006B5F69" w:rsidRDefault="007715F1" w:rsidP="00F7132F">
            <w:pPr>
              <w:spacing w:after="0" w:line="240" w:lineRule="auto"/>
              <w:jc w:val="right"/>
              <w:rPr>
                <w:rFonts w:ascii="Times New Roman" w:eastAsia="Times New Roman" w:hAnsi="Times New Roman" w:cs="Times New Roman"/>
                <w:sz w:val="18"/>
                <w:szCs w:val="20"/>
                <w:lang w:eastAsia="pt-BR"/>
              </w:rPr>
            </w:pPr>
          </w:p>
        </w:tc>
        <w:tc>
          <w:tcPr>
            <w:tcW w:w="103" w:type="pct"/>
            <w:tcBorders>
              <w:top w:val="nil"/>
              <w:left w:val="nil"/>
              <w:bottom w:val="nil"/>
              <w:right w:val="nil"/>
            </w:tcBorders>
            <w:shd w:val="clear" w:color="auto" w:fill="auto"/>
            <w:noWrap/>
            <w:vAlign w:val="center"/>
            <w:hideMark/>
          </w:tcPr>
          <w:p w14:paraId="5F1B5FD7" w14:textId="77777777" w:rsidR="007715F1" w:rsidRPr="006B5F69" w:rsidRDefault="007715F1" w:rsidP="00F7132F">
            <w:pPr>
              <w:spacing w:after="0" w:line="240" w:lineRule="auto"/>
              <w:jc w:val="right"/>
              <w:rPr>
                <w:rFonts w:ascii="Times New Roman" w:eastAsia="Times New Roman" w:hAnsi="Times New Roman" w:cs="Times New Roman"/>
                <w:sz w:val="18"/>
                <w:szCs w:val="20"/>
                <w:lang w:eastAsia="pt-BR"/>
              </w:rPr>
            </w:pPr>
          </w:p>
        </w:tc>
        <w:tc>
          <w:tcPr>
            <w:tcW w:w="1098" w:type="pct"/>
            <w:tcBorders>
              <w:top w:val="nil"/>
              <w:left w:val="nil"/>
              <w:bottom w:val="nil"/>
              <w:right w:val="nil"/>
            </w:tcBorders>
            <w:shd w:val="clear" w:color="auto" w:fill="auto"/>
            <w:noWrap/>
            <w:vAlign w:val="center"/>
            <w:hideMark/>
          </w:tcPr>
          <w:p w14:paraId="38389ACA" w14:textId="77777777" w:rsidR="007715F1" w:rsidRPr="006B5F69" w:rsidRDefault="007715F1" w:rsidP="00F7132F">
            <w:pPr>
              <w:spacing w:after="0" w:line="240" w:lineRule="auto"/>
              <w:jc w:val="right"/>
              <w:rPr>
                <w:rFonts w:ascii="Times New Roman" w:eastAsia="Times New Roman" w:hAnsi="Times New Roman" w:cs="Times New Roman"/>
                <w:sz w:val="18"/>
                <w:szCs w:val="20"/>
                <w:lang w:eastAsia="pt-BR"/>
              </w:rPr>
            </w:pPr>
          </w:p>
        </w:tc>
      </w:tr>
      <w:tr w:rsidR="007715F1" w:rsidRPr="006B5F69" w14:paraId="2021CC14"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343A6C5B" w14:textId="77777777" w:rsidR="007715F1" w:rsidRPr="006B5F69" w:rsidRDefault="007715F1" w:rsidP="007715F1">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Caixa e equivalente de caixa</w:t>
            </w:r>
          </w:p>
        </w:tc>
        <w:tc>
          <w:tcPr>
            <w:tcW w:w="103" w:type="pct"/>
            <w:tcBorders>
              <w:top w:val="nil"/>
              <w:left w:val="nil"/>
              <w:bottom w:val="nil"/>
              <w:right w:val="nil"/>
            </w:tcBorders>
            <w:shd w:val="clear" w:color="auto" w:fill="auto"/>
            <w:noWrap/>
            <w:vAlign w:val="bottom"/>
            <w:hideMark/>
          </w:tcPr>
          <w:p w14:paraId="405BA438" w14:textId="77777777" w:rsidR="007715F1" w:rsidRPr="006B5F69" w:rsidRDefault="007715F1" w:rsidP="007715F1">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521" w:type="pct"/>
            <w:tcBorders>
              <w:top w:val="nil"/>
              <w:left w:val="nil"/>
              <w:bottom w:val="nil"/>
              <w:right w:val="nil"/>
            </w:tcBorders>
            <w:shd w:val="clear" w:color="auto" w:fill="auto"/>
            <w:noWrap/>
            <w:vAlign w:val="center"/>
            <w:hideMark/>
          </w:tcPr>
          <w:p w14:paraId="16B7C4EC" w14:textId="77777777" w:rsidR="007715F1" w:rsidRPr="006B5F69" w:rsidRDefault="007715F1" w:rsidP="007715F1">
            <w:pPr>
              <w:spacing w:after="0" w:line="240" w:lineRule="auto"/>
              <w:jc w:val="center"/>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xml:space="preserve">4 </w:t>
            </w:r>
          </w:p>
        </w:tc>
        <w:tc>
          <w:tcPr>
            <w:tcW w:w="71" w:type="pct"/>
            <w:tcBorders>
              <w:top w:val="nil"/>
              <w:left w:val="nil"/>
              <w:bottom w:val="nil"/>
              <w:right w:val="nil"/>
            </w:tcBorders>
            <w:shd w:val="clear" w:color="auto" w:fill="auto"/>
            <w:noWrap/>
            <w:vAlign w:val="center"/>
            <w:hideMark/>
          </w:tcPr>
          <w:p w14:paraId="230A5DA4" w14:textId="77777777" w:rsidR="007715F1" w:rsidRPr="006B5F69" w:rsidRDefault="007715F1" w:rsidP="007715F1">
            <w:pPr>
              <w:spacing w:after="0" w:line="240" w:lineRule="auto"/>
              <w:jc w:val="center"/>
              <w:rPr>
                <w:rFonts w:ascii="Verdana" w:eastAsia="Times New Roman" w:hAnsi="Verdana" w:cs="Calibri"/>
                <w:b/>
                <w:bCs/>
                <w:sz w:val="18"/>
                <w:szCs w:val="20"/>
                <w:lang w:eastAsia="pt-BR"/>
              </w:rPr>
            </w:pPr>
          </w:p>
        </w:tc>
        <w:tc>
          <w:tcPr>
            <w:tcW w:w="1021" w:type="pct"/>
            <w:tcBorders>
              <w:top w:val="nil"/>
              <w:left w:val="nil"/>
              <w:bottom w:val="nil"/>
              <w:right w:val="nil"/>
            </w:tcBorders>
            <w:shd w:val="clear" w:color="auto" w:fill="auto"/>
            <w:noWrap/>
            <w:vAlign w:val="bottom"/>
            <w:hideMark/>
          </w:tcPr>
          <w:p w14:paraId="5FB71021" w14:textId="77777777" w:rsidR="007715F1" w:rsidRPr="006B5F69" w:rsidRDefault="007715F1" w:rsidP="00581D1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w:t>
            </w:r>
            <w:r w:rsidR="00581D1F" w:rsidRPr="00983DF0">
              <w:rPr>
                <w:rFonts w:ascii="Verdana" w:eastAsia="Times New Roman" w:hAnsi="Verdana" w:cs="Calibri"/>
                <w:sz w:val="18"/>
                <w:szCs w:val="20"/>
                <w:lang w:eastAsia="pt-BR"/>
              </w:rPr>
              <w:t>1.545.707</w:t>
            </w:r>
            <w:r w:rsidRPr="006B5F69">
              <w:rPr>
                <w:rFonts w:ascii="Verdana" w:eastAsia="Times New Roman" w:hAnsi="Verdana" w:cs="Calibri"/>
                <w:sz w:val="18"/>
                <w:szCs w:val="20"/>
                <w:lang w:eastAsia="pt-BR"/>
              </w:rPr>
              <w:t xml:space="preserve"> </w:t>
            </w:r>
          </w:p>
        </w:tc>
        <w:tc>
          <w:tcPr>
            <w:tcW w:w="103" w:type="pct"/>
            <w:tcBorders>
              <w:top w:val="nil"/>
              <w:left w:val="nil"/>
              <w:bottom w:val="nil"/>
              <w:right w:val="nil"/>
            </w:tcBorders>
            <w:shd w:val="clear" w:color="auto" w:fill="auto"/>
            <w:noWrap/>
            <w:vAlign w:val="center"/>
            <w:hideMark/>
          </w:tcPr>
          <w:p w14:paraId="0CF29AA2" w14:textId="77777777" w:rsidR="007715F1" w:rsidRPr="006B5F69" w:rsidRDefault="007715F1"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1098" w:type="pct"/>
            <w:tcBorders>
              <w:top w:val="nil"/>
              <w:left w:val="nil"/>
              <w:bottom w:val="nil"/>
              <w:right w:val="nil"/>
            </w:tcBorders>
            <w:shd w:val="clear" w:color="auto" w:fill="auto"/>
            <w:noWrap/>
            <w:vAlign w:val="bottom"/>
            <w:hideMark/>
          </w:tcPr>
          <w:p w14:paraId="5222E7C2" w14:textId="77777777" w:rsidR="007715F1" w:rsidRPr="006B5F69" w:rsidRDefault="007715F1" w:rsidP="00581D1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w:t>
            </w:r>
            <w:r w:rsidR="00581D1F">
              <w:rPr>
                <w:rFonts w:ascii="Verdana" w:eastAsia="Times New Roman" w:hAnsi="Verdana" w:cs="Calibri"/>
                <w:sz w:val="18"/>
                <w:szCs w:val="20"/>
                <w:lang w:eastAsia="pt-BR"/>
              </w:rPr>
              <w:t>1.552.317</w:t>
            </w:r>
            <w:r w:rsidRPr="006B5F69">
              <w:rPr>
                <w:rFonts w:ascii="Verdana" w:eastAsia="Times New Roman" w:hAnsi="Verdana" w:cs="Calibri"/>
                <w:sz w:val="18"/>
                <w:szCs w:val="20"/>
                <w:lang w:eastAsia="pt-BR"/>
              </w:rPr>
              <w:t xml:space="preserve"> </w:t>
            </w:r>
          </w:p>
        </w:tc>
      </w:tr>
      <w:tr w:rsidR="007715F1" w:rsidRPr="006B5F69" w14:paraId="14BCC091"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4B9EE37F" w14:textId="77777777" w:rsidR="007715F1" w:rsidRPr="006B5F69" w:rsidRDefault="007715F1" w:rsidP="007715F1">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Títulos e valores mobiliários</w:t>
            </w:r>
          </w:p>
        </w:tc>
        <w:tc>
          <w:tcPr>
            <w:tcW w:w="103" w:type="pct"/>
            <w:tcBorders>
              <w:top w:val="nil"/>
              <w:left w:val="nil"/>
              <w:bottom w:val="nil"/>
              <w:right w:val="nil"/>
            </w:tcBorders>
            <w:shd w:val="clear" w:color="auto" w:fill="auto"/>
            <w:noWrap/>
            <w:vAlign w:val="bottom"/>
            <w:hideMark/>
          </w:tcPr>
          <w:p w14:paraId="298A5CE0" w14:textId="77777777" w:rsidR="007715F1" w:rsidRPr="006B5F69" w:rsidRDefault="007715F1" w:rsidP="007715F1">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521" w:type="pct"/>
            <w:tcBorders>
              <w:top w:val="nil"/>
              <w:left w:val="nil"/>
              <w:bottom w:val="nil"/>
              <w:right w:val="nil"/>
            </w:tcBorders>
            <w:shd w:val="clear" w:color="auto" w:fill="auto"/>
            <w:noWrap/>
            <w:vAlign w:val="center"/>
            <w:hideMark/>
          </w:tcPr>
          <w:p w14:paraId="3C19B9C5" w14:textId="77777777" w:rsidR="007715F1" w:rsidRPr="006B5F69" w:rsidRDefault="00581D1F" w:rsidP="007715F1">
            <w:pPr>
              <w:spacing w:after="0" w:line="240" w:lineRule="auto"/>
              <w:jc w:val="center"/>
              <w:rPr>
                <w:rFonts w:ascii="Verdana" w:eastAsia="Times New Roman" w:hAnsi="Verdana" w:cs="Calibri"/>
                <w:b/>
                <w:bCs/>
                <w:sz w:val="18"/>
                <w:szCs w:val="20"/>
                <w:lang w:eastAsia="pt-BR"/>
              </w:rPr>
            </w:pPr>
            <w:r>
              <w:rPr>
                <w:rFonts w:ascii="Verdana" w:eastAsia="Times New Roman" w:hAnsi="Verdana" w:cs="Calibri"/>
                <w:b/>
                <w:bCs/>
                <w:sz w:val="18"/>
                <w:szCs w:val="20"/>
                <w:lang w:eastAsia="pt-BR"/>
              </w:rPr>
              <w:t>5</w:t>
            </w:r>
            <w:r w:rsidR="007715F1" w:rsidRPr="006B5F69">
              <w:rPr>
                <w:rFonts w:ascii="Verdana" w:eastAsia="Times New Roman" w:hAnsi="Verdana" w:cs="Calibri"/>
                <w:b/>
                <w:bCs/>
                <w:sz w:val="18"/>
                <w:szCs w:val="20"/>
                <w:lang w:eastAsia="pt-BR"/>
              </w:rPr>
              <w:t xml:space="preserve"> </w:t>
            </w:r>
          </w:p>
        </w:tc>
        <w:tc>
          <w:tcPr>
            <w:tcW w:w="71" w:type="pct"/>
            <w:tcBorders>
              <w:top w:val="nil"/>
              <w:left w:val="nil"/>
              <w:bottom w:val="nil"/>
              <w:right w:val="nil"/>
            </w:tcBorders>
            <w:shd w:val="clear" w:color="auto" w:fill="auto"/>
            <w:noWrap/>
            <w:vAlign w:val="center"/>
            <w:hideMark/>
          </w:tcPr>
          <w:p w14:paraId="41F87D7A" w14:textId="77777777" w:rsidR="007715F1" w:rsidRPr="006B5F69" w:rsidRDefault="007715F1" w:rsidP="007715F1">
            <w:pPr>
              <w:spacing w:after="0" w:line="240" w:lineRule="auto"/>
              <w:jc w:val="center"/>
              <w:rPr>
                <w:rFonts w:ascii="Verdana" w:eastAsia="Times New Roman" w:hAnsi="Verdana" w:cs="Calibri"/>
                <w:b/>
                <w:bCs/>
                <w:sz w:val="18"/>
                <w:szCs w:val="20"/>
                <w:lang w:eastAsia="pt-BR"/>
              </w:rPr>
            </w:pPr>
          </w:p>
        </w:tc>
        <w:tc>
          <w:tcPr>
            <w:tcW w:w="1021" w:type="pct"/>
            <w:tcBorders>
              <w:top w:val="nil"/>
              <w:left w:val="nil"/>
              <w:bottom w:val="nil"/>
              <w:right w:val="nil"/>
            </w:tcBorders>
            <w:shd w:val="clear" w:color="auto" w:fill="auto"/>
            <w:noWrap/>
            <w:vAlign w:val="bottom"/>
            <w:hideMark/>
          </w:tcPr>
          <w:p w14:paraId="74F29306" w14:textId="77777777" w:rsidR="007715F1" w:rsidRPr="006B5F69" w:rsidRDefault="007715F1"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   </w:t>
            </w:r>
          </w:p>
        </w:tc>
        <w:tc>
          <w:tcPr>
            <w:tcW w:w="103" w:type="pct"/>
            <w:tcBorders>
              <w:top w:val="nil"/>
              <w:left w:val="nil"/>
              <w:bottom w:val="nil"/>
              <w:right w:val="nil"/>
            </w:tcBorders>
            <w:shd w:val="clear" w:color="auto" w:fill="auto"/>
            <w:noWrap/>
            <w:vAlign w:val="center"/>
            <w:hideMark/>
          </w:tcPr>
          <w:p w14:paraId="18FF47FD" w14:textId="77777777" w:rsidR="007715F1" w:rsidRPr="006B5F69" w:rsidRDefault="007715F1">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1098" w:type="pct"/>
            <w:tcBorders>
              <w:top w:val="nil"/>
              <w:left w:val="nil"/>
              <w:bottom w:val="nil"/>
              <w:right w:val="nil"/>
            </w:tcBorders>
            <w:shd w:val="clear" w:color="auto" w:fill="auto"/>
            <w:noWrap/>
            <w:vAlign w:val="bottom"/>
            <w:hideMark/>
          </w:tcPr>
          <w:p w14:paraId="147983AA" w14:textId="77777777" w:rsidR="007715F1" w:rsidRPr="006B5F69" w:rsidRDefault="007715F1"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3.553.956 </w:t>
            </w:r>
          </w:p>
        </w:tc>
      </w:tr>
      <w:tr w:rsidR="007715F1" w:rsidRPr="006B5F69" w14:paraId="1B7C21BC"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283429CF" w14:textId="77777777" w:rsidR="007715F1" w:rsidRPr="006B5F69" w:rsidRDefault="007715F1" w:rsidP="007715F1">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Clientes</w:t>
            </w:r>
          </w:p>
        </w:tc>
        <w:tc>
          <w:tcPr>
            <w:tcW w:w="103" w:type="pct"/>
            <w:tcBorders>
              <w:top w:val="nil"/>
              <w:left w:val="nil"/>
              <w:bottom w:val="nil"/>
              <w:right w:val="nil"/>
            </w:tcBorders>
            <w:shd w:val="clear" w:color="auto" w:fill="auto"/>
            <w:noWrap/>
            <w:vAlign w:val="center"/>
            <w:hideMark/>
          </w:tcPr>
          <w:p w14:paraId="7434A756" w14:textId="77777777" w:rsidR="007715F1" w:rsidRPr="006B5F69" w:rsidRDefault="007715F1" w:rsidP="007715F1">
            <w:pPr>
              <w:spacing w:after="0" w:line="240" w:lineRule="auto"/>
              <w:rPr>
                <w:rFonts w:ascii="Verdana" w:eastAsia="Times New Roman" w:hAnsi="Verdana" w:cs="Calibri"/>
                <w:sz w:val="18"/>
                <w:szCs w:val="20"/>
                <w:lang w:eastAsia="pt-BR"/>
              </w:rPr>
            </w:pPr>
          </w:p>
        </w:tc>
        <w:tc>
          <w:tcPr>
            <w:tcW w:w="521" w:type="pct"/>
            <w:tcBorders>
              <w:top w:val="nil"/>
              <w:left w:val="nil"/>
              <w:bottom w:val="nil"/>
              <w:right w:val="nil"/>
            </w:tcBorders>
            <w:shd w:val="clear" w:color="auto" w:fill="auto"/>
            <w:noWrap/>
            <w:vAlign w:val="center"/>
            <w:hideMark/>
          </w:tcPr>
          <w:p w14:paraId="230496D7" w14:textId="77777777" w:rsidR="007715F1" w:rsidRPr="006B5F69" w:rsidRDefault="00581D1F" w:rsidP="007715F1">
            <w:pPr>
              <w:spacing w:after="0" w:line="240" w:lineRule="auto"/>
              <w:jc w:val="center"/>
              <w:rPr>
                <w:rFonts w:ascii="Verdana" w:eastAsia="Times New Roman" w:hAnsi="Verdana" w:cs="Calibri"/>
                <w:b/>
                <w:bCs/>
                <w:sz w:val="18"/>
                <w:szCs w:val="20"/>
                <w:lang w:eastAsia="pt-BR"/>
              </w:rPr>
            </w:pPr>
            <w:r>
              <w:rPr>
                <w:rFonts w:ascii="Verdana" w:eastAsia="Times New Roman" w:hAnsi="Verdana" w:cs="Calibri"/>
                <w:b/>
                <w:bCs/>
                <w:sz w:val="18"/>
                <w:szCs w:val="20"/>
                <w:lang w:eastAsia="pt-BR"/>
              </w:rPr>
              <w:t>6</w:t>
            </w:r>
            <w:r w:rsidR="007715F1" w:rsidRPr="006B5F69">
              <w:rPr>
                <w:rFonts w:ascii="Verdana" w:eastAsia="Times New Roman" w:hAnsi="Verdana" w:cs="Calibri"/>
                <w:b/>
                <w:bCs/>
                <w:sz w:val="18"/>
                <w:szCs w:val="20"/>
                <w:lang w:eastAsia="pt-BR"/>
              </w:rPr>
              <w:t xml:space="preserve"> </w:t>
            </w:r>
          </w:p>
        </w:tc>
        <w:tc>
          <w:tcPr>
            <w:tcW w:w="71" w:type="pct"/>
            <w:tcBorders>
              <w:top w:val="nil"/>
              <w:left w:val="nil"/>
              <w:bottom w:val="nil"/>
              <w:right w:val="nil"/>
            </w:tcBorders>
            <w:shd w:val="clear" w:color="auto" w:fill="auto"/>
            <w:noWrap/>
            <w:vAlign w:val="center"/>
            <w:hideMark/>
          </w:tcPr>
          <w:p w14:paraId="021B6EAE" w14:textId="77777777" w:rsidR="007715F1" w:rsidRPr="006B5F69" w:rsidRDefault="007715F1" w:rsidP="007715F1">
            <w:pPr>
              <w:spacing w:after="0" w:line="240" w:lineRule="auto"/>
              <w:jc w:val="center"/>
              <w:rPr>
                <w:rFonts w:ascii="Verdana" w:eastAsia="Times New Roman" w:hAnsi="Verdana" w:cs="Calibri"/>
                <w:b/>
                <w:bCs/>
                <w:sz w:val="18"/>
                <w:szCs w:val="20"/>
                <w:lang w:eastAsia="pt-BR"/>
              </w:rPr>
            </w:pPr>
          </w:p>
        </w:tc>
        <w:tc>
          <w:tcPr>
            <w:tcW w:w="1021" w:type="pct"/>
            <w:tcBorders>
              <w:top w:val="nil"/>
              <w:left w:val="nil"/>
              <w:bottom w:val="nil"/>
              <w:right w:val="nil"/>
            </w:tcBorders>
            <w:shd w:val="clear" w:color="auto" w:fill="auto"/>
            <w:noWrap/>
            <w:vAlign w:val="bottom"/>
            <w:hideMark/>
          </w:tcPr>
          <w:p w14:paraId="7171C201" w14:textId="3A7C5F88" w:rsidR="007715F1" w:rsidRPr="006B5F69" w:rsidRDefault="007715F1"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1.39</w:t>
            </w:r>
            <w:r w:rsidR="000C2FE8">
              <w:rPr>
                <w:rFonts w:ascii="Verdana" w:eastAsia="Times New Roman" w:hAnsi="Verdana" w:cs="Calibri"/>
                <w:sz w:val="18"/>
                <w:szCs w:val="20"/>
                <w:lang w:eastAsia="pt-BR"/>
              </w:rPr>
              <w:t>5</w:t>
            </w:r>
            <w:r w:rsidRPr="006B5F69">
              <w:rPr>
                <w:rFonts w:ascii="Verdana" w:eastAsia="Times New Roman" w:hAnsi="Verdana" w:cs="Calibri"/>
                <w:sz w:val="18"/>
                <w:szCs w:val="20"/>
                <w:lang w:eastAsia="pt-BR"/>
              </w:rPr>
              <w:t>.</w:t>
            </w:r>
            <w:r w:rsidR="000C2FE8">
              <w:rPr>
                <w:rFonts w:ascii="Verdana" w:eastAsia="Times New Roman" w:hAnsi="Verdana" w:cs="Calibri"/>
                <w:sz w:val="18"/>
                <w:szCs w:val="20"/>
                <w:lang w:eastAsia="pt-BR"/>
              </w:rPr>
              <w:t>847</w:t>
            </w:r>
            <w:r w:rsidRPr="006B5F69">
              <w:rPr>
                <w:rFonts w:ascii="Verdana" w:eastAsia="Times New Roman" w:hAnsi="Verdana" w:cs="Calibri"/>
                <w:sz w:val="18"/>
                <w:szCs w:val="20"/>
                <w:lang w:eastAsia="pt-BR"/>
              </w:rPr>
              <w:t xml:space="preserve"> </w:t>
            </w:r>
          </w:p>
        </w:tc>
        <w:tc>
          <w:tcPr>
            <w:tcW w:w="103" w:type="pct"/>
            <w:tcBorders>
              <w:top w:val="nil"/>
              <w:left w:val="nil"/>
              <w:bottom w:val="nil"/>
              <w:right w:val="nil"/>
            </w:tcBorders>
            <w:shd w:val="clear" w:color="auto" w:fill="auto"/>
            <w:noWrap/>
            <w:vAlign w:val="center"/>
            <w:hideMark/>
          </w:tcPr>
          <w:p w14:paraId="342C946E" w14:textId="77777777" w:rsidR="007715F1" w:rsidRPr="006B5F69" w:rsidRDefault="007715F1" w:rsidP="00F7132F">
            <w:pPr>
              <w:spacing w:after="0" w:line="240" w:lineRule="auto"/>
              <w:jc w:val="right"/>
              <w:rPr>
                <w:rFonts w:ascii="Verdana" w:eastAsia="Times New Roman" w:hAnsi="Verdana" w:cs="Calibri"/>
                <w:sz w:val="18"/>
                <w:szCs w:val="20"/>
                <w:lang w:eastAsia="pt-BR"/>
              </w:rPr>
            </w:pPr>
          </w:p>
        </w:tc>
        <w:tc>
          <w:tcPr>
            <w:tcW w:w="1098" w:type="pct"/>
            <w:tcBorders>
              <w:top w:val="nil"/>
              <w:left w:val="nil"/>
              <w:bottom w:val="nil"/>
              <w:right w:val="nil"/>
            </w:tcBorders>
            <w:shd w:val="clear" w:color="auto" w:fill="auto"/>
            <w:noWrap/>
            <w:vAlign w:val="bottom"/>
            <w:hideMark/>
          </w:tcPr>
          <w:p w14:paraId="2D47184E" w14:textId="4372C2B2" w:rsidR="007715F1" w:rsidRPr="006B5F69" w:rsidRDefault="007715F1"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1.8</w:t>
            </w:r>
            <w:r w:rsidR="00367F52">
              <w:rPr>
                <w:rFonts w:ascii="Verdana" w:eastAsia="Times New Roman" w:hAnsi="Verdana" w:cs="Calibri"/>
                <w:sz w:val="18"/>
                <w:szCs w:val="20"/>
                <w:lang w:eastAsia="pt-BR"/>
              </w:rPr>
              <w:t>26.505</w:t>
            </w:r>
            <w:r w:rsidRPr="006B5F69">
              <w:rPr>
                <w:rFonts w:ascii="Verdana" w:eastAsia="Times New Roman" w:hAnsi="Verdana" w:cs="Calibri"/>
                <w:sz w:val="18"/>
                <w:szCs w:val="20"/>
                <w:lang w:eastAsia="pt-BR"/>
              </w:rPr>
              <w:t xml:space="preserve"> </w:t>
            </w:r>
          </w:p>
        </w:tc>
      </w:tr>
      <w:tr w:rsidR="007715F1" w:rsidRPr="006B5F69" w14:paraId="3CD12D29"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0426E206" w14:textId="77777777" w:rsidR="007715F1" w:rsidRPr="006B5F69" w:rsidRDefault="007715F1" w:rsidP="007715F1">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Tributos a compensar</w:t>
            </w:r>
          </w:p>
        </w:tc>
        <w:tc>
          <w:tcPr>
            <w:tcW w:w="103" w:type="pct"/>
            <w:tcBorders>
              <w:top w:val="nil"/>
              <w:left w:val="nil"/>
              <w:bottom w:val="nil"/>
              <w:right w:val="nil"/>
            </w:tcBorders>
            <w:shd w:val="clear" w:color="auto" w:fill="auto"/>
            <w:noWrap/>
            <w:vAlign w:val="center"/>
            <w:hideMark/>
          </w:tcPr>
          <w:p w14:paraId="62B9A08C" w14:textId="77777777" w:rsidR="007715F1" w:rsidRPr="006B5F69" w:rsidRDefault="007715F1" w:rsidP="007715F1">
            <w:pPr>
              <w:spacing w:after="0" w:line="240" w:lineRule="auto"/>
              <w:rPr>
                <w:rFonts w:ascii="Verdana" w:eastAsia="Times New Roman" w:hAnsi="Verdana" w:cs="Calibri"/>
                <w:sz w:val="18"/>
                <w:szCs w:val="20"/>
                <w:lang w:eastAsia="pt-BR"/>
              </w:rPr>
            </w:pPr>
          </w:p>
        </w:tc>
        <w:tc>
          <w:tcPr>
            <w:tcW w:w="521" w:type="pct"/>
            <w:tcBorders>
              <w:top w:val="nil"/>
              <w:left w:val="nil"/>
              <w:bottom w:val="nil"/>
              <w:right w:val="nil"/>
            </w:tcBorders>
            <w:shd w:val="clear" w:color="auto" w:fill="auto"/>
            <w:noWrap/>
            <w:vAlign w:val="center"/>
            <w:hideMark/>
          </w:tcPr>
          <w:p w14:paraId="065106AF" w14:textId="77777777" w:rsidR="007715F1" w:rsidRPr="006B5F69" w:rsidRDefault="00581D1F" w:rsidP="007715F1">
            <w:pPr>
              <w:spacing w:after="0" w:line="240" w:lineRule="auto"/>
              <w:jc w:val="center"/>
              <w:rPr>
                <w:rFonts w:ascii="Verdana" w:eastAsia="Times New Roman" w:hAnsi="Verdana" w:cs="Calibri"/>
                <w:b/>
                <w:bCs/>
                <w:sz w:val="18"/>
                <w:szCs w:val="20"/>
                <w:lang w:eastAsia="pt-BR"/>
              </w:rPr>
            </w:pPr>
            <w:r>
              <w:rPr>
                <w:rFonts w:ascii="Verdana" w:eastAsia="Times New Roman" w:hAnsi="Verdana" w:cs="Calibri"/>
                <w:b/>
                <w:bCs/>
                <w:sz w:val="18"/>
                <w:szCs w:val="20"/>
                <w:lang w:eastAsia="pt-BR"/>
              </w:rPr>
              <w:t>7</w:t>
            </w:r>
            <w:r w:rsidR="007715F1" w:rsidRPr="006B5F69">
              <w:rPr>
                <w:rFonts w:ascii="Verdana" w:eastAsia="Times New Roman" w:hAnsi="Verdana" w:cs="Calibri"/>
                <w:b/>
                <w:bCs/>
                <w:sz w:val="18"/>
                <w:szCs w:val="20"/>
                <w:lang w:eastAsia="pt-BR"/>
              </w:rPr>
              <w:t xml:space="preserve"> </w:t>
            </w:r>
          </w:p>
        </w:tc>
        <w:tc>
          <w:tcPr>
            <w:tcW w:w="71" w:type="pct"/>
            <w:tcBorders>
              <w:top w:val="nil"/>
              <w:left w:val="nil"/>
              <w:bottom w:val="nil"/>
              <w:right w:val="nil"/>
            </w:tcBorders>
            <w:shd w:val="clear" w:color="auto" w:fill="auto"/>
            <w:noWrap/>
            <w:vAlign w:val="center"/>
            <w:hideMark/>
          </w:tcPr>
          <w:p w14:paraId="6D7A29A9" w14:textId="77777777" w:rsidR="007715F1" w:rsidRPr="006B5F69" w:rsidRDefault="007715F1" w:rsidP="007715F1">
            <w:pPr>
              <w:spacing w:after="0" w:line="240" w:lineRule="auto"/>
              <w:jc w:val="center"/>
              <w:rPr>
                <w:rFonts w:ascii="Verdana" w:eastAsia="Times New Roman" w:hAnsi="Verdana" w:cs="Calibri"/>
                <w:b/>
                <w:bCs/>
                <w:sz w:val="18"/>
                <w:szCs w:val="20"/>
                <w:lang w:eastAsia="pt-BR"/>
              </w:rPr>
            </w:pPr>
          </w:p>
        </w:tc>
        <w:tc>
          <w:tcPr>
            <w:tcW w:w="1021" w:type="pct"/>
            <w:tcBorders>
              <w:top w:val="nil"/>
              <w:left w:val="nil"/>
              <w:bottom w:val="nil"/>
              <w:right w:val="nil"/>
            </w:tcBorders>
            <w:shd w:val="clear" w:color="auto" w:fill="auto"/>
            <w:noWrap/>
            <w:vAlign w:val="bottom"/>
            <w:hideMark/>
          </w:tcPr>
          <w:p w14:paraId="029D1A2E" w14:textId="77777777" w:rsidR="007715F1" w:rsidRPr="00D930E7" w:rsidRDefault="007715F1" w:rsidP="00F7132F">
            <w:pPr>
              <w:spacing w:after="0" w:line="240" w:lineRule="auto"/>
              <w:jc w:val="right"/>
              <w:rPr>
                <w:rFonts w:ascii="Verdana" w:eastAsia="Times New Roman" w:hAnsi="Verdana" w:cs="Calibri"/>
                <w:sz w:val="18"/>
                <w:szCs w:val="20"/>
                <w:highlight w:val="green"/>
                <w:lang w:eastAsia="pt-BR"/>
              </w:rPr>
            </w:pPr>
            <w:r w:rsidRPr="00983DF0">
              <w:rPr>
                <w:rFonts w:ascii="Verdana" w:eastAsia="Times New Roman" w:hAnsi="Verdana" w:cs="Calibri"/>
                <w:sz w:val="18"/>
                <w:szCs w:val="20"/>
                <w:lang w:eastAsia="pt-BR"/>
              </w:rPr>
              <w:t xml:space="preserve">             140.378 </w:t>
            </w:r>
          </w:p>
        </w:tc>
        <w:tc>
          <w:tcPr>
            <w:tcW w:w="103" w:type="pct"/>
            <w:tcBorders>
              <w:top w:val="nil"/>
              <w:left w:val="nil"/>
              <w:bottom w:val="nil"/>
              <w:right w:val="nil"/>
            </w:tcBorders>
            <w:shd w:val="clear" w:color="auto" w:fill="auto"/>
            <w:noWrap/>
            <w:vAlign w:val="center"/>
            <w:hideMark/>
          </w:tcPr>
          <w:p w14:paraId="60020BD5" w14:textId="77777777" w:rsidR="007715F1" w:rsidRPr="00D930E7" w:rsidRDefault="007715F1" w:rsidP="00F7132F">
            <w:pPr>
              <w:spacing w:after="0" w:line="240" w:lineRule="auto"/>
              <w:jc w:val="right"/>
              <w:rPr>
                <w:rFonts w:ascii="Verdana" w:eastAsia="Times New Roman" w:hAnsi="Verdana" w:cs="Calibri"/>
                <w:sz w:val="18"/>
                <w:szCs w:val="20"/>
                <w:highlight w:val="green"/>
                <w:lang w:eastAsia="pt-BR"/>
              </w:rPr>
            </w:pPr>
          </w:p>
        </w:tc>
        <w:tc>
          <w:tcPr>
            <w:tcW w:w="1098" w:type="pct"/>
            <w:tcBorders>
              <w:top w:val="nil"/>
              <w:left w:val="nil"/>
              <w:bottom w:val="nil"/>
              <w:right w:val="nil"/>
            </w:tcBorders>
            <w:shd w:val="clear" w:color="auto" w:fill="auto"/>
            <w:noWrap/>
            <w:vAlign w:val="bottom"/>
            <w:hideMark/>
          </w:tcPr>
          <w:p w14:paraId="498CE244" w14:textId="77777777" w:rsidR="007715F1" w:rsidRPr="006B5F69" w:rsidRDefault="007715F1"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165.486 </w:t>
            </w:r>
          </w:p>
        </w:tc>
      </w:tr>
      <w:tr w:rsidR="007715F1" w:rsidRPr="006B5F69" w14:paraId="1A367F1C"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3FBE4B4C" w14:textId="77777777" w:rsidR="007715F1" w:rsidRPr="006B5F69" w:rsidRDefault="007715F1" w:rsidP="007715F1">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Imposto de renda e contribuição social</w:t>
            </w:r>
          </w:p>
        </w:tc>
        <w:tc>
          <w:tcPr>
            <w:tcW w:w="103" w:type="pct"/>
            <w:tcBorders>
              <w:top w:val="nil"/>
              <w:left w:val="nil"/>
              <w:bottom w:val="nil"/>
              <w:right w:val="nil"/>
            </w:tcBorders>
            <w:shd w:val="clear" w:color="auto" w:fill="auto"/>
            <w:noWrap/>
            <w:vAlign w:val="center"/>
            <w:hideMark/>
          </w:tcPr>
          <w:p w14:paraId="025B6E71" w14:textId="77777777" w:rsidR="007715F1" w:rsidRPr="006B5F69" w:rsidRDefault="007715F1" w:rsidP="007715F1">
            <w:pPr>
              <w:spacing w:after="0" w:line="240" w:lineRule="auto"/>
              <w:rPr>
                <w:rFonts w:ascii="Verdana" w:eastAsia="Times New Roman" w:hAnsi="Verdana" w:cs="Calibri"/>
                <w:sz w:val="18"/>
                <w:szCs w:val="20"/>
                <w:lang w:eastAsia="pt-BR"/>
              </w:rPr>
            </w:pPr>
          </w:p>
        </w:tc>
        <w:tc>
          <w:tcPr>
            <w:tcW w:w="521" w:type="pct"/>
            <w:tcBorders>
              <w:top w:val="nil"/>
              <w:left w:val="nil"/>
              <w:bottom w:val="nil"/>
              <w:right w:val="nil"/>
            </w:tcBorders>
            <w:shd w:val="clear" w:color="auto" w:fill="auto"/>
            <w:noWrap/>
            <w:vAlign w:val="center"/>
            <w:hideMark/>
          </w:tcPr>
          <w:p w14:paraId="08A891A3" w14:textId="77777777" w:rsidR="007715F1" w:rsidRPr="006B5F69" w:rsidRDefault="00581D1F" w:rsidP="007715F1">
            <w:pPr>
              <w:spacing w:after="0" w:line="240" w:lineRule="auto"/>
              <w:jc w:val="center"/>
              <w:rPr>
                <w:rFonts w:ascii="Verdana" w:eastAsia="Times New Roman" w:hAnsi="Verdana" w:cs="Calibri"/>
                <w:b/>
                <w:bCs/>
                <w:sz w:val="18"/>
                <w:szCs w:val="20"/>
                <w:lang w:eastAsia="pt-BR"/>
              </w:rPr>
            </w:pPr>
            <w:r>
              <w:rPr>
                <w:rFonts w:ascii="Verdana" w:eastAsia="Times New Roman" w:hAnsi="Verdana" w:cs="Calibri"/>
                <w:b/>
                <w:bCs/>
                <w:sz w:val="18"/>
                <w:szCs w:val="20"/>
                <w:lang w:eastAsia="pt-BR"/>
              </w:rPr>
              <w:t>8</w:t>
            </w:r>
            <w:r w:rsidR="007715F1" w:rsidRPr="006B5F69">
              <w:rPr>
                <w:rFonts w:ascii="Verdana" w:eastAsia="Times New Roman" w:hAnsi="Verdana" w:cs="Calibri"/>
                <w:b/>
                <w:bCs/>
                <w:sz w:val="18"/>
                <w:szCs w:val="20"/>
                <w:lang w:eastAsia="pt-BR"/>
              </w:rPr>
              <w:t xml:space="preserve"> </w:t>
            </w:r>
          </w:p>
        </w:tc>
        <w:tc>
          <w:tcPr>
            <w:tcW w:w="71" w:type="pct"/>
            <w:tcBorders>
              <w:top w:val="nil"/>
              <w:left w:val="nil"/>
              <w:bottom w:val="nil"/>
              <w:right w:val="nil"/>
            </w:tcBorders>
            <w:shd w:val="clear" w:color="auto" w:fill="auto"/>
            <w:noWrap/>
            <w:vAlign w:val="center"/>
            <w:hideMark/>
          </w:tcPr>
          <w:p w14:paraId="45E7D09D" w14:textId="77777777" w:rsidR="007715F1" w:rsidRPr="006B5F69" w:rsidRDefault="007715F1" w:rsidP="007715F1">
            <w:pPr>
              <w:spacing w:after="0" w:line="240" w:lineRule="auto"/>
              <w:jc w:val="center"/>
              <w:rPr>
                <w:rFonts w:ascii="Verdana" w:eastAsia="Times New Roman" w:hAnsi="Verdana" w:cs="Calibri"/>
                <w:b/>
                <w:bCs/>
                <w:sz w:val="18"/>
                <w:szCs w:val="20"/>
                <w:lang w:eastAsia="pt-BR"/>
              </w:rPr>
            </w:pPr>
          </w:p>
        </w:tc>
        <w:tc>
          <w:tcPr>
            <w:tcW w:w="1021" w:type="pct"/>
            <w:tcBorders>
              <w:top w:val="nil"/>
              <w:left w:val="nil"/>
              <w:bottom w:val="nil"/>
              <w:right w:val="nil"/>
            </w:tcBorders>
            <w:shd w:val="clear" w:color="auto" w:fill="auto"/>
            <w:noWrap/>
            <w:vAlign w:val="bottom"/>
            <w:hideMark/>
          </w:tcPr>
          <w:p w14:paraId="693B02EC" w14:textId="77777777" w:rsidR="007715F1" w:rsidRPr="006B5F69" w:rsidRDefault="007715F1"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   </w:t>
            </w:r>
          </w:p>
        </w:tc>
        <w:tc>
          <w:tcPr>
            <w:tcW w:w="103" w:type="pct"/>
            <w:tcBorders>
              <w:top w:val="nil"/>
              <w:left w:val="nil"/>
              <w:bottom w:val="nil"/>
              <w:right w:val="nil"/>
            </w:tcBorders>
            <w:shd w:val="clear" w:color="auto" w:fill="auto"/>
            <w:noWrap/>
            <w:vAlign w:val="center"/>
            <w:hideMark/>
          </w:tcPr>
          <w:p w14:paraId="17EBF7DF" w14:textId="77777777" w:rsidR="007715F1" w:rsidRPr="006B5F69" w:rsidRDefault="007715F1" w:rsidP="00F7132F">
            <w:pPr>
              <w:spacing w:after="0" w:line="240" w:lineRule="auto"/>
              <w:jc w:val="right"/>
              <w:rPr>
                <w:rFonts w:ascii="Verdana" w:eastAsia="Times New Roman" w:hAnsi="Verdana" w:cs="Calibri"/>
                <w:sz w:val="18"/>
                <w:szCs w:val="20"/>
                <w:lang w:eastAsia="pt-BR"/>
              </w:rPr>
            </w:pPr>
          </w:p>
        </w:tc>
        <w:tc>
          <w:tcPr>
            <w:tcW w:w="1098" w:type="pct"/>
            <w:tcBorders>
              <w:top w:val="nil"/>
              <w:left w:val="nil"/>
              <w:bottom w:val="nil"/>
              <w:right w:val="nil"/>
            </w:tcBorders>
            <w:shd w:val="clear" w:color="auto" w:fill="auto"/>
            <w:noWrap/>
            <w:vAlign w:val="bottom"/>
            <w:hideMark/>
          </w:tcPr>
          <w:p w14:paraId="5290DB36" w14:textId="77777777" w:rsidR="007715F1" w:rsidRPr="006B5F69" w:rsidRDefault="007715F1"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184.257 </w:t>
            </w:r>
          </w:p>
        </w:tc>
      </w:tr>
      <w:tr w:rsidR="007715F1" w:rsidRPr="006B5F69" w14:paraId="03D91DA6"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37B71C81" w14:textId="77777777" w:rsidR="007715F1" w:rsidRPr="006B5F69" w:rsidRDefault="007715F1" w:rsidP="007715F1">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Estoque de combustível nuclear</w:t>
            </w:r>
          </w:p>
        </w:tc>
        <w:tc>
          <w:tcPr>
            <w:tcW w:w="103" w:type="pct"/>
            <w:tcBorders>
              <w:top w:val="nil"/>
              <w:left w:val="nil"/>
              <w:bottom w:val="nil"/>
              <w:right w:val="nil"/>
            </w:tcBorders>
            <w:shd w:val="clear" w:color="auto" w:fill="auto"/>
            <w:noWrap/>
            <w:vAlign w:val="center"/>
            <w:hideMark/>
          </w:tcPr>
          <w:p w14:paraId="06CD57B6" w14:textId="77777777" w:rsidR="007715F1" w:rsidRPr="006B5F69" w:rsidRDefault="007715F1" w:rsidP="007715F1">
            <w:pPr>
              <w:spacing w:after="0" w:line="240" w:lineRule="auto"/>
              <w:rPr>
                <w:rFonts w:ascii="Verdana" w:eastAsia="Times New Roman" w:hAnsi="Verdana" w:cs="Calibri"/>
                <w:sz w:val="18"/>
                <w:szCs w:val="20"/>
                <w:lang w:eastAsia="pt-BR"/>
              </w:rPr>
            </w:pPr>
          </w:p>
        </w:tc>
        <w:tc>
          <w:tcPr>
            <w:tcW w:w="521" w:type="pct"/>
            <w:tcBorders>
              <w:top w:val="nil"/>
              <w:left w:val="nil"/>
              <w:bottom w:val="nil"/>
              <w:right w:val="nil"/>
            </w:tcBorders>
            <w:shd w:val="clear" w:color="auto" w:fill="auto"/>
            <w:noWrap/>
            <w:vAlign w:val="center"/>
            <w:hideMark/>
          </w:tcPr>
          <w:p w14:paraId="0EAA823D" w14:textId="77777777" w:rsidR="007715F1" w:rsidRPr="006B5F69" w:rsidRDefault="00581D1F" w:rsidP="007715F1">
            <w:pPr>
              <w:spacing w:after="0" w:line="240" w:lineRule="auto"/>
              <w:jc w:val="center"/>
              <w:rPr>
                <w:rFonts w:ascii="Verdana" w:eastAsia="Times New Roman" w:hAnsi="Verdana" w:cs="Calibri"/>
                <w:b/>
                <w:bCs/>
                <w:sz w:val="18"/>
                <w:szCs w:val="20"/>
                <w:lang w:eastAsia="pt-BR"/>
              </w:rPr>
            </w:pPr>
            <w:r>
              <w:rPr>
                <w:rFonts w:ascii="Verdana" w:eastAsia="Times New Roman" w:hAnsi="Verdana" w:cs="Calibri"/>
                <w:b/>
                <w:bCs/>
                <w:sz w:val="18"/>
                <w:szCs w:val="20"/>
                <w:lang w:eastAsia="pt-BR"/>
              </w:rPr>
              <w:t>9</w:t>
            </w:r>
            <w:r w:rsidR="007715F1" w:rsidRPr="006B5F69">
              <w:rPr>
                <w:rFonts w:ascii="Verdana" w:eastAsia="Times New Roman" w:hAnsi="Verdana" w:cs="Calibri"/>
                <w:b/>
                <w:bCs/>
                <w:sz w:val="18"/>
                <w:szCs w:val="20"/>
                <w:lang w:eastAsia="pt-BR"/>
              </w:rPr>
              <w:t xml:space="preserve"> </w:t>
            </w:r>
          </w:p>
        </w:tc>
        <w:tc>
          <w:tcPr>
            <w:tcW w:w="71" w:type="pct"/>
            <w:tcBorders>
              <w:top w:val="nil"/>
              <w:left w:val="nil"/>
              <w:bottom w:val="nil"/>
              <w:right w:val="nil"/>
            </w:tcBorders>
            <w:shd w:val="clear" w:color="auto" w:fill="auto"/>
            <w:noWrap/>
            <w:vAlign w:val="center"/>
            <w:hideMark/>
          </w:tcPr>
          <w:p w14:paraId="3E531C93" w14:textId="77777777" w:rsidR="007715F1" w:rsidRPr="006B5F69" w:rsidRDefault="007715F1" w:rsidP="007715F1">
            <w:pPr>
              <w:spacing w:after="0" w:line="240" w:lineRule="auto"/>
              <w:jc w:val="center"/>
              <w:rPr>
                <w:rFonts w:ascii="Verdana" w:eastAsia="Times New Roman" w:hAnsi="Verdana" w:cs="Calibri"/>
                <w:b/>
                <w:bCs/>
                <w:sz w:val="18"/>
                <w:szCs w:val="20"/>
                <w:lang w:eastAsia="pt-BR"/>
              </w:rPr>
            </w:pPr>
          </w:p>
        </w:tc>
        <w:tc>
          <w:tcPr>
            <w:tcW w:w="1021" w:type="pct"/>
            <w:tcBorders>
              <w:top w:val="nil"/>
              <w:left w:val="nil"/>
              <w:bottom w:val="nil"/>
              <w:right w:val="nil"/>
            </w:tcBorders>
            <w:shd w:val="clear" w:color="auto" w:fill="auto"/>
            <w:noWrap/>
            <w:vAlign w:val="bottom"/>
            <w:hideMark/>
          </w:tcPr>
          <w:p w14:paraId="157C1902" w14:textId="77777777" w:rsidR="007715F1" w:rsidRPr="006B5F69" w:rsidRDefault="007715F1"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   </w:t>
            </w:r>
          </w:p>
        </w:tc>
        <w:tc>
          <w:tcPr>
            <w:tcW w:w="103" w:type="pct"/>
            <w:tcBorders>
              <w:top w:val="nil"/>
              <w:left w:val="nil"/>
              <w:bottom w:val="nil"/>
              <w:right w:val="nil"/>
            </w:tcBorders>
            <w:shd w:val="clear" w:color="auto" w:fill="auto"/>
            <w:noWrap/>
            <w:vAlign w:val="center"/>
            <w:hideMark/>
          </w:tcPr>
          <w:p w14:paraId="54D820E4" w14:textId="77777777" w:rsidR="007715F1" w:rsidRPr="006B5F69" w:rsidRDefault="007715F1" w:rsidP="00F7132F">
            <w:pPr>
              <w:spacing w:after="0" w:line="240" w:lineRule="auto"/>
              <w:jc w:val="right"/>
              <w:rPr>
                <w:rFonts w:ascii="Verdana" w:eastAsia="Times New Roman" w:hAnsi="Verdana" w:cs="Calibri"/>
                <w:sz w:val="18"/>
                <w:szCs w:val="20"/>
                <w:lang w:eastAsia="pt-BR"/>
              </w:rPr>
            </w:pPr>
          </w:p>
        </w:tc>
        <w:tc>
          <w:tcPr>
            <w:tcW w:w="1098" w:type="pct"/>
            <w:tcBorders>
              <w:top w:val="nil"/>
              <w:left w:val="nil"/>
              <w:bottom w:val="nil"/>
              <w:right w:val="nil"/>
            </w:tcBorders>
            <w:shd w:val="clear" w:color="auto" w:fill="auto"/>
            <w:noWrap/>
            <w:vAlign w:val="bottom"/>
            <w:hideMark/>
          </w:tcPr>
          <w:p w14:paraId="0272A964" w14:textId="77777777" w:rsidR="007715F1" w:rsidRPr="006B5F69" w:rsidRDefault="007715F1"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515.244 </w:t>
            </w:r>
          </w:p>
        </w:tc>
      </w:tr>
      <w:tr w:rsidR="007715F1" w:rsidRPr="006B5F69" w14:paraId="4188EBCD"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3B532540" w14:textId="77777777" w:rsidR="007715F1" w:rsidRPr="006B5F69" w:rsidRDefault="007715F1" w:rsidP="007715F1">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Almoxarifado</w:t>
            </w:r>
          </w:p>
        </w:tc>
        <w:tc>
          <w:tcPr>
            <w:tcW w:w="103" w:type="pct"/>
            <w:tcBorders>
              <w:top w:val="nil"/>
              <w:left w:val="nil"/>
              <w:bottom w:val="nil"/>
              <w:right w:val="nil"/>
            </w:tcBorders>
            <w:shd w:val="clear" w:color="auto" w:fill="auto"/>
            <w:noWrap/>
            <w:vAlign w:val="center"/>
            <w:hideMark/>
          </w:tcPr>
          <w:p w14:paraId="7FC8DEB4" w14:textId="77777777" w:rsidR="007715F1" w:rsidRPr="006B5F69" w:rsidRDefault="007715F1" w:rsidP="007715F1">
            <w:pPr>
              <w:spacing w:after="0" w:line="240" w:lineRule="auto"/>
              <w:rPr>
                <w:rFonts w:ascii="Verdana" w:eastAsia="Times New Roman" w:hAnsi="Verdana" w:cs="Calibri"/>
                <w:sz w:val="18"/>
                <w:szCs w:val="20"/>
                <w:lang w:eastAsia="pt-BR"/>
              </w:rPr>
            </w:pPr>
          </w:p>
        </w:tc>
        <w:tc>
          <w:tcPr>
            <w:tcW w:w="521" w:type="pct"/>
            <w:tcBorders>
              <w:top w:val="nil"/>
              <w:left w:val="nil"/>
              <w:bottom w:val="nil"/>
              <w:right w:val="nil"/>
            </w:tcBorders>
            <w:shd w:val="clear" w:color="auto" w:fill="auto"/>
            <w:noWrap/>
            <w:vAlign w:val="center"/>
            <w:hideMark/>
          </w:tcPr>
          <w:p w14:paraId="5814A7D5" w14:textId="77777777" w:rsidR="007715F1" w:rsidRPr="006B5F69" w:rsidRDefault="007715F1" w:rsidP="007715F1">
            <w:pPr>
              <w:spacing w:after="0" w:line="240" w:lineRule="auto"/>
              <w:jc w:val="center"/>
              <w:rPr>
                <w:rFonts w:ascii="Times New Roman" w:eastAsia="Times New Roman" w:hAnsi="Times New Roman" w:cs="Times New Roman"/>
                <w:sz w:val="18"/>
                <w:szCs w:val="20"/>
                <w:lang w:eastAsia="pt-BR"/>
              </w:rPr>
            </w:pPr>
          </w:p>
        </w:tc>
        <w:tc>
          <w:tcPr>
            <w:tcW w:w="71" w:type="pct"/>
            <w:tcBorders>
              <w:top w:val="nil"/>
              <w:left w:val="nil"/>
              <w:bottom w:val="nil"/>
              <w:right w:val="nil"/>
            </w:tcBorders>
            <w:shd w:val="clear" w:color="auto" w:fill="auto"/>
            <w:noWrap/>
            <w:vAlign w:val="center"/>
            <w:hideMark/>
          </w:tcPr>
          <w:p w14:paraId="2B778DBE" w14:textId="77777777" w:rsidR="007715F1" w:rsidRPr="006B5F69" w:rsidRDefault="007715F1" w:rsidP="007715F1">
            <w:pPr>
              <w:spacing w:after="0" w:line="240" w:lineRule="auto"/>
              <w:jc w:val="center"/>
              <w:rPr>
                <w:rFonts w:ascii="Times New Roman" w:eastAsia="Times New Roman" w:hAnsi="Times New Roman" w:cs="Times New Roman"/>
                <w:sz w:val="18"/>
                <w:szCs w:val="20"/>
                <w:lang w:eastAsia="pt-BR"/>
              </w:rPr>
            </w:pPr>
          </w:p>
        </w:tc>
        <w:tc>
          <w:tcPr>
            <w:tcW w:w="1021" w:type="pct"/>
            <w:tcBorders>
              <w:top w:val="nil"/>
              <w:left w:val="nil"/>
              <w:bottom w:val="nil"/>
              <w:right w:val="nil"/>
            </w:tcBorders>
            <w:shd w:val="clear" w:color="auto" w:fill="auto"/>
            <w:noWrap/>
            <w:vAlign w:val="bottom"/>
            <w:hideMark/>
          </w:tcPr>
          <w:p w14:paraId="24857310" w14:textId="77777777" w:rsidR="007715F1" w:rsidRPr="006B5F69" w:rsidRDefault="007715F1"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   </w:t>
            </w:r>
          </w:p>
        </w:tc>
        <w:tc>
          <w:tcPr>
            <w:tcW w:w="103" w:type="pct"/>
            <w:tcBorders>
              <w:top w:val="nil"/>
              <w:left w:val="nil"/>
              <w:bottom w:val="nil"/>
              <w:right w:val="nil"/>
            </w:tcBorders>
            <w:shd w:val="clear" w:color="auto" w:fill="auto"/>
            <w:noWrap/>
            <w:vAlign w:val="center"/>
            <w:hideMark/>
          </w:tcPr>
          <w:p w14:paraId="2E9BF9C4" w14:textId="77777777" w:rsidR="007715F1" w:rsidRPr="006B5F69" w:rsidRDefault="007715F1" w:rsidP="00F7132F">
            <w:pPr>
              <w:spacing w:after="0" w:line="240" w:lineRule="auto"/>
              <w:jc w:val="right"/>
              <w:rPr>
                <w:rFonts w:ascii="Verdana" w:eastAsia="Times New Roman" w:hAnsi="Verdana" w:cs="Calibri"/>
                <w:sz w:val="18"/>
                <w:szCs w:val="20"/>
                <w:lang w:eastAsia="pt-BR"/>
              </w:rPr>
            </w:pPr>
          </w:p>
        </w:tc>
        <w:tc>
          <w:tcPr>
            <w:tcW w:w="1098" w:type="pct"/>
            <w:tcBorders>
              <w:top w:val="nil"/>
              <w:left w:val="nil"/>
              <w:bottom w:val="nil"/>
              <w:right w:val="nil"/>
            </w:tcBorders>
            <w:shd w:val="clear" w:color="auto" w:fill="auto"/>
            <w:noWrap/>
            <w:vAlign w:val="bottom"/>
            <w:hideMark/>
          </w:tcPr>
          <w:p w14:paraId="30C99C96" w14:textId="77777777" w:rsidR="007715F1" w:rsidRPr="006B5F69" w:rsidRDefault="007715F1"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292.184 </w:t>
            </w:r>
          </w:p>
        </w:tc>
      </w:tr>
      <w:tr w:rsidR="007715F1" w:rsidRPr="006B5F69" w14:paraId="129D9D26"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3CCAF1FD" w14:textId="77777777" w:rsidR="007715F1" w:rsidRPr="006B5F69" w:rsidRDefault="007715F1" w:rsidP="007715F1">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Outros</w:t>
            </w:r>
          </w:p>
        </w:tc>
        <w:tc>
          <w:tcPr>
            <w:tcW w:w="103" w:type="pct"/>
            <w:tcBorders>
              <w:top w:val="nil"/>
              <w:left w:val="nil"/>
              <w:bottom w:val="nil"/>
              <w:right w:val="nil"/>
            </w:tcBorders>
            <w:shd w:val="clear" w:color="auto" w:fill="auto"/>
            <w:noWrap/>
            <w:vAlign w:val="center"/>
            <w:hideMark/>
          </w:tcPr>
          <w:p w14:paraId="50B23A92" w14:textId="77777777" w:rsidR="007715F1" w:rsidRPr="006B5F69" w:rsidRDefault="007715F1" w:rsidP="007715F1">
            <w:pPr>
              <w:spacing w:after="0" w:line="240" w:lineRule="auto"/>
              <w:rPr>
                <w:rFonts w:ascii="Verdana" w:eastAsia="Times New Roman" w:hAnsi="Verdana" w:cs="Calibri"/>
                <w:sz w:val="18"/>
                <w:szCs w:val="20"/>
                <w:lang w:eastAsia="pt-BR"/>
              </w:rPr>
            </w:pPr>
          </w:p>
        </w:tc>
        <w:tc>
          <w:tcPr>
            <w:tcW w:w="521" w:type="pct"/>
            <w:tcBorders>
              <w:top w:val="nil"/>
              <w:left w:val="nil"/>
              <w:bottom w:val="nil"/>
              <w:right w:val="nil"/>
            </w:tcBorders>
            <w:shd w:val="clear" w:color="auto" w:fill="auto"/>
            <w:noWrap/>
            <w:vAlign w:val="center"/>
            <w:hideMark/>
          </w:tcPr>
          <w:p w14:paraId="607DCDB3" w14:textId="77777777" w:rsidR="007715F1" w:rsidRPr="006B5F69" w:rsidRDefault="007715F1" w:rsidP="007715F1">
            <w:pPr>
              <w:spacing w:after="0" w:line="240" w:lineRule="auto"/>
              <w:rPr>
                <w:rFonts w:ascii="Times New Roman" w:eastAsia="Times New Roman" w:hAnsi="Times New Roman" w:cs="Times New Roman"/>
                <w:sz w:val="18"/>
                <w:szCs w:val="20"/>
                <w:lang w:eastAsia="pt-BR"/>
              </w:rPr>
            </w:pPr>
          </w:p>
        </w:tc>
        <w:tc>
          <w:tcPr>
            <w:tcW w:w="71" w:type="pct"/>
            <w:tcBorders>
              <w:top w:val="nil"/>
              <w:left w:val="nil"/>
              <w:bottom w:val="nil"/>
              <w:right w:val="nil"/>
            </w:tcBorders>
            <w:shd w:val="clear" w:color="auto" w:fill="auto"/>
            <w:noWrap/>
            <w:vAlign w:val="center"/>
            <w:hideMark/>
          </w:tcPr>
          <w:p w14:paraId="554943FD" w14:textId="77777777" w:rsidR="007715F1" w:rsidRPr="006B5F69" w:rsidRDefault="007715F1" w:rsidP="007715F1">
            <w:pPr>
              <w:spacing w:after="0" w:line="240" w:lineRule="auto"/>
              <w:jc w:val="center"/>
              <w:rPr>
                <w:rFonts w:ascii="Times New Roman" w:eastAsia="Times New Roman" w:hAnsi="Times New Roman" w:cs="Times New Roman"/>
                <w:sz w:val="18"/>
                <w:szCs w:val="20"/>
                <w:lang w:eastAsia="pt-BR"/>
              </w:rPr>
            </w:pPr>
          </w:p>
        </w:tc>
        <w:tc>
          <w:tcPr>
            <w:tcW w:w="1021" w:type="pct"/>
            <w:tcBorders>
              <w:top w:val="nil"/>
              <w:left w:val="nil"/>
              <w:bottom w:val="nil"/>
              <w:right w:val="nil"/>
            </w:tcBorders>
            <w:shd w:val="clear" w:color="auto" w:fill="auto"/>
            <w:noWrap/>
            <w:vAlign w:val="bottom"/>
            <w:hideMark/>
          </w:tcPr>
          <w:p w14:paraId="76C21354" w14:textId="24A40407" w:rsidR="007715F1" w:rsidRPr="006B5F69" w:rsidRDefault="00027C0C" w:rsidP="00F7132F">
            <w:pPr>
              <w:spacing w:after="0" w:line="240" w:lineRule="auto"/>
              <w:jc w:val="right"/>
              <w:rPr>
                <w:rFonts w:ascii="Verdana" w:eastAsia="Times New Roman" w:hAnsi="Verdana" w:cs="Calibri"/>
                <w:sz w:val="18"/>
                <w:szCs w:val="20"/>
                <w:lang w:eastAsia="pt-BR"/>
              </w:rPr>
            </w:pPr>
            <w:r>
              <w:rPr>
                <w:rFonts w:ascii="Verdana" w:eastAsia="Times New Roman" w:hAnsi="Verdana" w:cs="Calibri"/>
                <w:sz w:val="18"/>
                <w:szCs w:val="20"/>
                <w:lang w:eastAsia="pt-BR"/>
              </w:rPr>
              <w:t xml:space="preserve">                      </w:t>
            </w:r>
            <w:r w:rsidR="000C2FE8">
              <w:rPr>
                <w:rFonts w:ascii="Verdana" w:eastAsia="Times New Roman" w:hAnsi="Verdana" w:cs="Calibri"/>
                <w:sz w:val="18"/>
                <w:szCs w:val="20"/>
                <w:lang w:eastAsia="pt-BR"/>
              </w:rPr>
              <w:t>2.374</w:t>
            </w:r>
            <w:r w:rsidR="007715F1" w:rsidRPr="006B5F69">
              <w:rPr>
                <w:rFonts w:ascii="Verdana" w:eastAsia="Times New Roman" w:hAnsi="Verdana" w:cs="Calibri"/>
                <w:sz w:val="18"/>
                <w:szCs w:val="20"/>
                <w:lang w:eastAsia="pt-BR"/>
              </w:rPr>
              <w:t xml:space="preserve"> </w:t>
            </w:r>
          </w:p>
        </w:tc>
        <w:tc>
          <w:tcPr>
            <w:tcW w:w="103" w:type="pct"/>
            <w:tcBorders>
              <w:top w:val="nil"/>
              <w:left w:val="nil"/>
              <w:bottom w:val="nil"/>
              <w:right w:val="nil"/>
            </w:tcBorders>
            <w:shd w:val="clear" w:color="auto" w:fill="auto"/>
            <w:noWrap/>
            <w:vAlign w:val="center"/>
            <w:hideMark/>
          </w:tcPr>
          <w:p w14:paraId="0E6C763A" w14:textId="77777777" w:rsidR="007715F1" w:rsidRPr="006B5F69" w:rsidRDefault="007715F1" w:rsidP="00F7132F">
            <w:pPr>
              <w:spacing w:after="0" w:line="240" w:lineRule="auto"/>
              <w:jc w:val="right"/>
              <w:rPr>
                <w:rFonts w:ascii="Verdana" w:eastAsia="Times New Roman" w:hAnsi="Verdana" w:cs="Calibri"/>
                <w:sz w:val="18"/>
                <w:szCs w:val="20"/>
                <w:lang w:eastAsia="pt-BR"/>
              </w:rPr>
            </w:pPr>
          </w:p>
        </w:tc>
        <w:tc>
          <w:tcPr>
            <w:tcW w:w="1098" w:type="pct"/>
            <w:tcBorders>
              <w:top w:val="nil"/>
              <w:left w:val="nil"/>
              <w:bottom w:val="nil"/>
              <w:right w:val="nil"/>
            </w:tcBorders>
            <w:shd w:val="clear" w:color="auto" w:fill="auto"/>
            <w:noWrap/>
            <w:vAlign w:val="bottom"/>
            <w:hideMark/>
          </w:tcPr>
          <w:p w14:paraId="72005A85" w14:textId="433B4075" w:rsidR="007715F1" w:rsidRPr="006B5F69" w:rsidRDefault="00027C0C" w:rsidP="00F7132F">
            <w:pPr>
              <w:spacing w:after="0" w:line="240" w:lineRule="auto"/>
              <w:jc w:val="right"/>
              <w:rPr>
                <w:rFonts w:ascii="Verdana" w:eastAsia="Times New Roman" w:hAnsi="Verdana" w:cs="Calibri"/>
                <w:sz w:val="18"/>
                <w:szCs w:val="20"/>
                <w:lang w:eastAsia="pt-BR"/>
              </w:rPr>
            </w:pPr>
            <w:r>
              <w:rPr>
                <w:rFonts w:ascii="Verdana" w:eastAsia="Times New Roman" w:hAnsi="Verdana" w:cs="Calibri"/>
                <w:sz w:val="18"/>
                <w:szCs w:val="20"/>
                <w:lang w:eastAsia="pt-BR"/>
              </w:rPr>
              <w:t xml:space="preserve">            1</w:t>
            </w:r>
            <w:r w:rsidR="00367F52">
              <w:rPr>
                <w:rFonts w:ascii="Verdana" w:eastAsia="Times New Roman" w:hAnsi="Verdana" w:cs="Calibri"/>
                <w:sz w:val="18"/>
                <w:szCs w:val="20"/>
                <w:lang w:eastAsia="pt-BR"/>
              </w:rPr>
              <w:t>21.267</w:t>
            </w:r>
            <w:r w:rsidR="007715F1" w:rsidRPr="006B5F69">
              <w:rPr>
                <w:rFonts w:ascii="Verdana" w:eastAsia="Times New Roman" w:hAnsi="Verdana" w:cs="Calibri"/>
                <w:sz w:val="18"/>
                <w:szCs w:val="20"/>
                <w:lang w:eastAsia="pt-BR"/>
              </w:rPr>
              <w:t xml:space="preserve"> </w:t>
            </w:r>
          </w:p>
        </w:tc>
      </w:tr>
      <w:tr w:rsidR="007715F1" w:rsidRPr="006B5F69" w14:paraId="59A4E503"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43A285F5" w14:textId="77777777" w:rsidR="007715F1" w:rsidRPr="006B5F69" w:rsidRDefault="007715F1" w:rsidP="007715F1">
            <w:pPr>
              <w:spacing w:after="0" w:line="240" w:lineRule="auto"/>
              <w:rPr>
                <w:rFonts w:ascii="Verdana" w:eastAsia="Times New Roman" w:hAnsi="Verdana" w:cs="Calibri"/>
                <w:sz w:val="18"/>
                <w:szCs w:val="20"/>
                <w:lang w:eastAsia="pt-BR"/>
              </w:rPr>
            </w:pPr>
          </w:p>
        </w:tc>
        <w:tc>
          <w:tcPr>
            <w:tcW w:w="103" w:type="pct"/>
            <w:tcBorders>
              <w:top w:val="nil"/>
              <w:left w:val="nil"/>
              <w:bottom w:val="nil"/>
              <w:right w:val="nil"/>
            </w:tcBorders>
            <w:shd w:val="clear" w:color="auto" w:fill="auto"/>
            <w:noWrap/>
            <w:vAlign w:val="center"/>
            <w:hideMark/>
          </w:tcPr>
          <w:p w14:paraId="4CF9E8F6" w14:textId="77777777" w:rsidR="007715F1" w:rsidRPr="006B5F69" w:rsidRDefault="007715F1" w:rsidP="007715F1">
            <w:pPr>
              <w:spacing w:after="0" w:line="240" w:lineRule="auto"/>
              <w:jc w:val="center"/>
              <w:rPr>
                <w:rFonts w:ascii="Times New Roman" w:eastAsia="Times New Roman" w:hAnsi="Times New Roman" w:cs="Times New Roman"/>
                <w:sz w:val="18"/>
                <w:szCs w:val="20"/>
                <w:lang w:eastAsia="pt-BR"/>
              </w:rPr>
            </w:pPr>
          </w:p>
        </w:tc>
        <w:tc>
          <w:tcPr>
            <w:tcW w:w="521" w:type="pct"/>
            <w:tcBorders>
              <w:top w:val="nil"/>
              <w:left w:val="nil"/>
              <w:bottom w:val="nil"/>
              <w:right w:val="nil"/>
            </w:tcBorders>
            <w:shd w:val="clear" w:color="auto" w:fill="auto"/>
            <w:noWrap/>
            <w:vAlign w:val="center"/>
            <w:hideMark/>
          </w:tcPr>
          <w:p w14:paraId="2A6B00DB" w14:textId="77777777" w:rsidR="007715F1" w:rsidRPr="006B5F69" w:rsidRDefault="007715F1" w:rsidP="007715F1">
            <w:pPr>
              <w:spacing w:after="0" w:line="240" w:lineRule="auto"/>
              <w:jc w:val="center"/>
              <w:rPr>
                <w:rFonts w:ascii="Times New Roman" w:eastAsia="Times New Roman" w:hAnsi="Times New Roman" w:cs="Times New Roman"/>
                <w:sz w:val="18"/>
                <w:szCs w:val="20"/>
                <w:lang w:eastAsia="pt-BR"/>
              </w:rPr>
            </w:pPr>
          </w:p>
        </w:tc>
        <w:tc>
          <w:tcPr>
            <w:tcW w:w="71" w:type="pct"/>
            <w:tcBorders>
              <w:top w:val="nil"/>
              <w:left w:val="nil"/>
              <w:bottom w:val="nil"/>
              <w:right w:val="nil"/>
            </w:tcBorders>
            <w:shd w:val="clear" w:color="auto" w:fill="auto"/>
            <w:noWrap/>
            <w:vAlign w:val="center"/>
            <w:hideMark/>
          </w:tcPr>
          <w:p w14:paraId="660CA314" w14:textId="77777777" w:rsidR="007715F1" w:rsidRPr="006B5F69" w:rsidRDefault="007715F1" w:rsidP="007715F1">
            <w:pPr>
              <w:spacing w:after="0" w:line="240" w:lineRule="auto"/>
              <w:jc w:val="center"/>
              <w:rPr>
                <w:rFonts w:ascii="Times New Roman" w:eastAsia="Times New Roman" w:hAnsi="Times New Roman" w:cs="Times New Roman"/>
                <w:sz w:val="18"/>
                <w:szCs w:val="20"/>
                <w:lang w:eastAsia="pt-BR"/>
              </w:rPr>
            </w:pPr>
          </w:p>
        </w:tc>
        <w:tc>
          <w:tcPr>
            <w:tcW w:w="1021" w:type="pct"/>
            <w:tcBorders>
              <w:top w:val="single" w:sz="4" w:space="0" w:color="auto"/>
              <w:left w:val="nil"/>
              <w:bottom w:val="nil"/>
              <w:right w:val="nil"/>
            </w:tcBorders>
            <w:shd w:val="clear" w:color="auto" w:fill="auto"/>
            <w:noWrap/>
            <w:vAlign w:val="bottom"/>
            <w:hideMark/>
          </w:tcPr>
          <w:p w14:paraId="0DD92816" w14:textId="77777777" w:rsidR="007715F1" w:rsidRPr="006B5F69" w:rsidRDefault="007715F1" w:rsidP="00F7132F">
            <w:pPr>
              <w:spacing w:after="0" w:line="240" w:lineRule="auto"/>
              <w:jc w:val="right"/>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xml:space="preserve">           3.084.306 </w:t>
            </w:r>
          </w:p>
        </w:tc>
        <w:tc>
          <w:tcPr>
            <w:tcW w:w="103" w:type="pct"/>
            <w:tcBorders>
              <w:top w:val="nil"/>
              <w:left w:val="nil"/>
              <w:bottom w:val="nil"/>
              <w:right w:val="nil"/>
            </w:tcBorders>
            <w:shd w:val="clear" w:color="auto" w:fill="auto"/>
            <w:noWrap/>
            <w:vAlign w:val="center"/>
            <w:hideMark/>
          </w:tcPr>
          <w:p w14:paraId="5EE38418" w14:textId="77777777" w:rsidR="007715F1" w:rsidRPr="006B5F69" w:rsidRDefault="007715F1" w:rsidP="00F7132F">
            <w:pPr>
              <w:spacing w:after="0" w:line="240" w:lineRule="auto"/>
              <w:jc w:val="right"/>
              <w:rPr>
                <w:rFonts w:ascii="Verdana" w:eastAsia="Times New Roman" w:hAnsi="Verdana" w:cs="Calibri"/>
                <w:b/>
                <w:bCs/>
                <w:sz w:val="18"/>
                <w:szCs w:val="20"/>
                <w:lang w:eastAsia="pt-BR"/>
              </w:rPr>
            </w:pPr>
          </w:p>
        </w:tc>
        <w:tc>
          <w:tcPr>
            <w:tcW w:w="1098" w:type="pct"/>
            <w:tcBorders>
              <w:top w:val="single" w:sz="4" w:space="0" w:color="auto"/>
              <w:left w:val="nil"/>
              <w:bottom w:val="nil"/>
              <w:right w:val="nil"/>
            </w:tcBorders>
            <w:shd w:val="clear" w:color="auto" w:fill="auto"/>
            <w:noWrap/>
            <w:vAlign w:val="bottom"/>
            <w:hideMark/>
          </w:tcPr>
          <w:p w14:paraId="594F7E16" w14:textId="77777777" w:rsidR="007715F1" w:rsidRPr="006B5F69" w:rsidRDefault="007715F1" w:rsidP="00027C0C">
            <w:pPr>
              <w:spacing w:after="0" w:line="240" w:lineRule="auto"/>
              <w:jc w:val="right"/>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xml:space="preserve">          8.211.21</w:t>
            </w:r>
            <w:r w:rsidR="00027C0C">
              <w:rPr>
                <w:rFonts w:ascii="Verdana" w:eastAsia="Times New Roman" w:hAnsi="Verdana" w:cs="Calibri"/>
                <w:b/>
                <w:bCs/>
                <w:sz w:val="18"/>
                <w:szCs w:val="20"/>
                <w:lang w:eastAsia="pt-BR"/>
              </w:rPr>
              <w:t>6</w:t>
            </w:r>
            <w:r w:rsidRPr="006B5F69">
              <w:rPr>
                <w:rFonts w:ascii="Verdana" w:eastAsia="Times New Roman" w:hAnsi="Verdana" w:cs="Calibri"/>
                <w:b/>
                <w:bCs/>
                <w:sz w:val="18"/>
                <w:szCs w:val="20"/>
                <w:lang w:eastAsia="pt-BR"/>
              </w:rPr>
              <w:t xml:space="preserve"> </w:t>
            </w:r>
          </w:p>
        </w:tc>
      </w:tr>
      <w:tr w:rsidR="00E87938" w:rsidRPr="006B5F69" w14:paraId="14C61DDB" w14:textId="77777777" w:rsidTr="00F7132F">
        <w:trPr>
          <w:trHeight w:val="215"/>
          <w:jc w:val="center"/>
        </w:trPr>
        <w:tc>
          <w:tcPr>
            <w:tcW w:w="2082" w:type="pct"/>
            <w:tcBorders>
              <w:top w:val="nil"/>
              <w:left w:val="nil"/>
              <w:bottom w:val="nil"/>
              <w:right w:val="nil"/>
            </w:tcBorders>
            <w:shd w:val="clear" w:color="auto" w:fill="auto"/>
            <w:noWrap/>
            <w:vAlign w:val="center"/>
          </w:tcPr>
          <w:p w14:paraId="25F287D2" w14:textId="77777777" w:rsidR="00E87938" w:rsidRPr="006B5F69" w:rsidRDefault="00E87938" w:rsidP="007715F1">
            <w:pPr>
              <w:spacing w:after="0" w:line="240" w:lineRule="auto"/>
              <w:rPr>
                <w:rFonts w:ascii="Verdana" w:eastAsia="Times New Roman" w:hAnsi="Verdana" w:cs="Calibri"/>
                <w:b/>
                <w:bCs/>
                <w:sz w:val="18"/>
                <w:szCs w:val="20"/>
                <w:lang w:eastAsia="pt-BR"/>
              </w:rPr>
            </w:pPr>
          </w:p>
        </w:tc>
        <w:tc>
          <w:tcPr>
            <w:tcW w:w="103" w:type="pct"/>
            <w:tcBorders>
              <w:top w:val="nil"/>
              <w:left w:val="nil"/>
              <w:bottom w:val="nil"/>
              <w:right w:val="nil"/>
            </w:tcBorders>
            <w:shd w:val="clear" w:color="auto" w:fill="auto"/>
            <w:noWrap/>
            <w:vAlign w:val="center"/>
          </w:tcPr>
          <w:p w14:paraId="6451540F" w14:textId="77777777" w:rsidR="00E87938" w:rsidRPr="006B5F69" w:rsidRDefault="00E87938" w:rsidP="007715F1">
            <w:pPr>
              <w:spacing w:after="0" w:line="240" w:lineRule="auto"/>
              <w:rPr>
                <w:rFonts w:ascii="Verdana" w:eastAsia="Times New Roman" w:hAnsi="Verdana" w:cs="Calibri"/>
                <w:b/>
                <w:bCs/>
                <w:sz w:val="18"/>
                <w:szCs w:val="20"/>
                <w:lang w:eastAsia="pt-BR"/>
              </w:rPr>
            </w:pPr>
          </w:p>
        </w:tc>
        <w:tc>
          <w:tcPr>
            <w:tcW w:w="521" w:type="pct"/>
            <w:tcBorders>
              <w:top w:val="nil"/>
              <w:left w:val="nil"/>
              <w:bottom w:val="nil"/>
              <w:right w:val="nil"/>
            </w:tcBorders>
            <w:shd w:val="clear" w:color="auto" w:fill="auto"/>
            <w:noWrap/>
            <w:vAlign w:val="center"/>
          </w:tcPr>
          <w:p w14:paraId="1F12BC50" w14:textId="77777777" w:rsidR="00E87938" w:rsidRPr="006B5F69" w:rsidRDefault="00E87938" w:rsidP="007715F1">
            <w:pPr>
              <w:spacing w:after="0" w:line="240" w:lineRule="auto"/>
              <w:jc w:val="center"/>
              <w:rPr>
                <w:rFonts w:ascii="Times New Roman" w:eastAsia="Times New Roman" w:hAnsi="Times New Roman" w:cs="Times New Roman"/>
                <w:sz w:val="18"/>
                <w:szCs w:val="20"/>
                <w:lang w:eastAsia="pt-BR"/>
              </w:rPr>
            </w:pPr>
          </w:p>
        </w:tc>
        <w:tc>
          <w:tcPr>
            <w:tcW w:w="71" w:type="pct"/>
            <w:tcBorders>
              <w:top w:val="nil"/>
              <w:left w:val="nil"/>
              <w:bottom w:val="nil"/>
              <w:right w:val="nil"/>
            </w:tcBorders>
            <w:shd w:val="clear" w:color="auto" w:fill="auto"/>
            <w:noWrap/>
            <w:vAlign w:val="center"/>
          </w:tcPr>
          <w:p w14:paraId="2CCEFC04" w14:textId="77777777" w:rsidR="00E87938" w:rsidRPr="006B5F69" w:rsidRDefault="00E87938" w:rsidP="007715F1">
            <w:pPr>
              <w:spacing w:after="0" w:line="240" w:lineRule="auto"/>
              <w:jc w:val="center"/>
              <w:rPr>
                <w:rFonts w:ascii="Times New Roman" w:eastAsia="Times New Roman" w:hAnsi="Times New Roman" w:cs="Times New Roman"/>
                <w:sz w:val="18"/>
                <w:szCs w:val="20"/>
                <w:lang w:eastAsia="pt-BR"/>
              </w:rPr>
            </w:pPr>
          </w:p>
        </w:tc>
        <w:tc>
          <w:tcPr>
            <w:tcW w:w="1021" w:type="pct"/>
            <w:tcBorders>
              <w:top w:val="nil"/>
              <w:left w:val="nil"/>
              <w:bottom w:val="nil"/>
              <w:right w:val="nil"/>
            </w:tcBorders>
            <w:shd w:val="clear" w:color="auto" w:fill="auto"/>
            <w:noWrap/>
            <w:vAlign w:val="center"/>
          </w:tcPr>
          <w:p w14:paraId="1BA6ECB6" w14:textId="77777777" w:rsidR="00E87938" w:rsidRPr="006B5F69" w:rsidRDefault="00E87938" w:rsidP="00F7132F">
            <w:pPr>
              <w:spacing w:after="0" w:line="240" w:lineRule="auto"/>
              <w:jc w:val="right"/>
              <w:rPr>
                <w:rFonts w:ascii="Times New Roman" w:eastAsia="Times New Roman" w:hAnsi="Times New Roman" w:cs="Times New Roman"/>
                <w:sz w:val="18"/>
                <w:szCs w:val="20"/>
                <w:lang w:eastAsia="pt-BR"/>
              </w:rPr>
            </w:pPr>
          </w:p>
        </w:tc>
        <w:tc>
          <w:tcPr>
            <w:tcW w:w="103" w:type="pct"/>
            <w:tcBorders>
              <w:top w:val="nil"/>
              <w:left w:val="nil"/>
              <w:bottom w:val="nil"/>
              <w:right w:val="nil"/>
            </w:tcBorders>
            <w:shd w:val="clear" w:color="auto" w:fill="auto"/>
            <w:noWrap/>
            <w:vAlign w:val="center"/>
          </w:tcPr>
          <w:p w14:paraId="6DD3D1FD" w14:textId="77777777" w:rsidR="00E87938" w:rsidRPr="006B5F69" w:rsidRDefault="00E87938" w:rsidP="00F7132F">
            <w:pPr>
              <w:spacing w:after="0" w:line="240" w:lineRule="auto"/>
              <w:jc w:val="right"/>
              <w:rPr>
                <w:rFonts w:ascii="Times New Roman" w:eastAsia="Times New Roman" w:hAnsi="Times New Roman" w:cs="Times New Roman"/>
                <w:sz w:val="18"/>
                <w:szCs w:val="20"/>
                <w:lang w:eastAsia="pt-BR"/>
              </w:rPr>
            </w:pPr>
          </w:p>
        </w:tc>
        <w:tc>
          <w:tcPr>
            <w:tcW w:w="1098" w:type="pct"/>
            <w:tcBorders>
              <w:top w:val="nil"/>
              <w:left w:val="nil"/>
              <w:bottom w:val="nil"/>
              <w:right w:val="nil"/>
            </w:tcBorders>
            <w:shd w:val="clear" w:color="auto" w:fill="auto"/>
            <w:noWrap/>
            <w:vAlign w:val="center"/>
          </w:tcPr>
          <w:p w14:paraId="722BC8E0" w14:textId="77777777" w:rsidR="00E87938" w:rsidRPr="006B5F69" w:rsidRDefault="00E87938" w:rsidP="00F7132F">
            <w:pPr>
              <w:spacing w:after="0" w:line="240" w:lineRule="auto"/>
              <w:jc w:val="right"/>
              <w:rPr>
                <w:rFonts w:ascii="Times New Roman" w:eastAsia="Times New Roman" w:hAnsi="Times New Roman" w:cs="Times New Roman"/>
                <w:sz w:val="18"/>
                <w:szCs w:val="20"/>
                <w:lang w:eastAsia="pt-BR"/>
              </w:rPr>
            </w:pPr>
          </w:p>
        </w:tc>
      </w:tr>
      <w:tr w:rsidR="007715F1" w:rsidRPr="006B5F69" w14:paraId="4B2A3D99"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0F74245E" w14:textId="77777777" w:rsidR="007715F1" w:rsidRPr="006B5F69" w:rsidRDefault="007715F1" w:rsidP="007715F1">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NÃO CIRCULANTE</w:t>
            </w:r>
          </w:p>
        </w:tc>
        <w:tc>
          <w:tcPr>
            <w:tcW w:w="103" w:type="pct"/>
            <w:tcBorders>
              <w:top w:val="nil"/>
              <w:left w:val="nil"/>
              <w:bottom w:val="nil"/>
              <w:right w:val="nil"/>
            </w:tcBorders>
            <w:shd w:val="clear" w:color="auto" w:fill="auto"/>
            <w:noWrap/>
            <w:vAlign w:val="center"/>
            <w:hideMark/>
          </w:tcPr>
          <w:p w14:paraId="75A3DA66" w14:textId="77777777" w:rsidR="007715F1" w:rsidRPr="006B5F69" w:rsidRDefault="007715F1" w:rsidP="007715F1">
            <w:pPr>
              <w:spacing w:after="0" w:line="240" w:lineRule="auto"/>
              <w:rPr>
                <w:rFonts w:ascii="Verdana" w:eastAsia="Times New Roman" w:hAnsi="Verdana" w:cs="Calibri"/>
                <w:b/>
                <w:bCs/>
                <w:sz w:val="18"/>
                <w:szCs w:val="20"/>
                <w:lang w:eastAsia="pt-BR"/>
              </w:rPr>
            </w:pPr>
          </w:p>
        </w:tc>
        <w:tc>
          <w:tcPr>
            <w:tcW w:w="521" w:type="pct"/>
            <w:tcBorders>
              <w:top w:val="nil"/>
              <w:left w:val="nil"/>
              <w:bottom w:val="nil"/>
              <w:right w:val="nil"/>
            </w:tcBorders>
            <w:shd w:val="clear" w:color="auto" w:fill="auto"/>
            <w:noWrap/>
            <w:vAlign w:val="center"/>
            <w:hideMark/>
          </w:tcPr>
          <w:p w14:paraId="29FE7A5C" w14:textId="77777777" w:rsidR="007715F1" w:rsidRPr="006B5F69" w:rsidRDefault="007715F1" w:rsidP="007715F1">
            <w:pPr>
              <w:spacing w:after="0" w:line="240" w:lineRule="auto"/>
              <w:jc w:val="center"/>
              <w:rPr>
                <w:rFonts w:ascii="Times New Roman" w:eastAsia="Times New Roman" w:hAnsi="Times New Roman" w:cs="Times New Roman"/>
                <w:sz w:val="18"/>
                <w:szCs w:val="20"/>
                <w:lang w:eastAsia="pt-BR"/>
              </w:rPr>
            </w:pPr>
          </w:p>
        </w:tc>
        <w:tc>
          <w:tcPr>
            <w:tcW w:w="71" w:type="pct"/>
            <w:tcBorders>
              <w:top w:val="nil"/>
              <w:left w:val="nil"/>
              <w:bottom w:val="nil"/>
              <w:right w:val="nil"/>
            </w:tcBorders>
            <w:shd w:val="clear" w:color="auto" w:fill="auto"/>
            <w:noWrap/>
            <w:vAlign w:val="center"/>
            <w:hideMark/>
          </w:tcPr>
          <w:p w14:paraId="22A8E647" w14:textId="77777777" w:rsidR="007715F1" w:rsidRPr="006B5F69" w:rsidRDefault="007715F1" w:rsidP="007715F1">
            <w:pPr>
              <w:spacing w:after="0" w:line="240" w:lineRule="auto"/>
              <w:jc w:val="center"/>
              <w:rPr>
                <w:rFonts w:ascii="Times New Roman" w:eastAsia="Times New Roman" w:hAnsi="Times New Roman" w:cs="Times New Roman"/>
                <w:sz w:val="18"/>
                <w:szCs w:val="20"/>
                <w:lang w:eastAsia="pt-BR"/>
              </w:rPr>
            </w:pPr>
          </w:p>
        </w:tc>
        <w:tc>
          <w:tcPr>
            <w:tcW w:w="1021" w:type="pct"/>
            <w:tcBorders>
              <w:top w:val="nil"/>
              <w:left w:val="nil"/>
              <w:bottom w:val="nil"/>
              <w:right w:val="nil"/>
            </w:tcBorders>
            <w:shd w:val="clear" w:color="auto" w:fill="auto"/>
            <w:noWrap/>
            <w:vAlign w:val="center"/>
            <w:hideMark/>
          </w:tcPr>
          <w:p w14:paraId="4496F6E0" w14:textId="77777777" w:rsidR="007715F1" w:rsidRPr="006B5F69" w:rsidRDefault="007715F1" w:rsidP="00F7132F">
            <w:pPr>
              <w:spacing w:after="0" w:line="240" w:lineRule="auto"/>
              <w:jc w:val="right"/>
              <w:rPr>
                <w:rFonts w:ascii="Times New Roman" w:eastAsia="Times New Roman" w:hAnsi="Times New Roman" w:cs="Times New Roman"/>
                <w:sz w:val="18"/>
                <w:szCs w:val="20"/>
                <w:lang w:eastAsia="pt-BR"/>
              </w:rPr>
            </w:pPr>
          </w:p>
        </w:tc>
        <w:tc>
          <w:tcPr>
            <w:tcW w:w="103" w:type="pct"/>
            <w:tcBorders>
              <w:top w:val="nil"/>
              <w:left w:val="nil"/>
              <w:bottom w:val="nil"/>
              <w:right w:val="nil"/>
            </w:tcBorders>
            <w:shd w:val="clear" w:color="auto" w:fill="auto"/>
            <w:noWrap/>
            <w:vAlign w:val="center"/>
            <w:hideMark/>
          </w:tcPr>
          <w:p w14:paraId="6E89DB58" w14:textId="77777777" w:rsidR="007715F1" w:rsidRPr="006B5F69" w:rsidRDefault="007715F1" w:rsidP="00F7132F">
            <w:pPr>
              <w:spacing w:after="0" w:line="240" w:lineRule="auto"/>
              <w:jc w:val="right"/>
              <w:rPr>
                <w:rFonts w:ascii="Times New Roman" w:eastAsia="Times New Roman" w:hAnsi="Times New Roman" w:cs="Times New Roman"/>
                <w:sz w:val="18"/>
                <w:szCs w:val="20"/>
                <w:lang w:eastAsia="pt-BR"/>
              </w:rPr>
            </w:pPr>
          </w:p>
        </w:tc>
        <w:tc>
          <w:tcPr>
            <w:tcW w:w="1098" w:type="pct"/>
            <w:tcBorders>
              <w:top w:val="nil"/>
              <w:left w:val="nil"/>
              <w:bottom w:val="nil"/>
              <w:right w:val="nil"/>
            </w:tcBorders>
            <w:shd w:val="clear" w:color="auto" w:fill="auto"/>
            <w:noWrap/>
            <w:vAlign w:val="center"/>
            <w:hideMark/>
          </w:tcPr>
          <w:p w14:paraId="39B0B55B" w14:textId="77777777" w:rsidR="007715F1" w:rsidRPr="006B5F69" w:rsidRDefault="007715F1" w:rsidP="00F7132F">
            <w:pPr>
              <w:spacing w:after="0" w:line="240" w:lineRule="auto"/>
              <w:jc w:val="right"/>
              <w:rPr>
                <w:rFonts w:ascii="Times New Roman" w:eastAsia="Times New Roman" w:hAnsi="Times New Roman" w:cs="Times New Roman"/>
                <w:sz w:val="18"/>
                <w:szCs w:val="20"/>
                <w:lang w:eastAsia="pt-BR"/>
              </w:rPr>
            </w:pPr>
          </w:p>
        </w:tc>
      </w:tr>
      <w:tr w:rsidR="007715F1" w:rsidRPr="006B5F69" w14:paraId="55582AE1"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2E89F2BF" w14:textId="77777777" w:rsidR="007715F1" w:rsidRPr="006B5F69" w:rsidRDefault="007715F1" w:rsidP="007715F1">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REALIZÁVEL A LONGO PRAZO</w:t>
            </w:r>
          </w:p>
        </w:tc>
        <w:tc>
          <w:tcPr>
            <w:tcW w:w="103" w:type="pct"/>
            <w:tcBorders>
              <w:top w:val="nil"/>
              <w:left w:val="nil"/>
              <w:bottom w:val="nil"/>
              <w:right w:val="nil"/>
            </w:tcBorders>
            <w:shd w:val="clear" w:color="auto" w:fill="auto"/>
            <w:noWrap/>
            <w:vAlign w:val="center"/>
            <w:hideMark/>
          </w:tcPr>
          <w:p w14:paraId="7D324CE5" w14:textId="77777777" w:rsidR="007715F1" w:rsidRPr="006B5F69" w:rsidRDefault="007715F1" w:rsidP="007715F1">
            <w:pPr>
              <w:spacing w:after="0" w:line="240" w:lineRule="auto"/>
              <w:rPr>
                <w:rFonts w:ascii="Verdana" w:eastAsia="Times New Roman" w:hAnsi="Verdana" w:cs="Calibri"/>
                <w:sz w:val="18"/>
                <w:szCs w:val="20"/>
                <w:lang w:eastAsia="pt-BR"/>
              </w:rPr>
            </w:pPr>
          </w:p>
        </w:tc>
        <w:tc>
          <w:tcPr>
            <w:tcW w:w="521" w:type="pct"/>
            <w:tcBorders>
              <w:top w:val="nil"/>
              <w:left w:val="nil"/>
              <w:bottom w:val="nil"/>
              <w:right w:val="nil"/>
            </w:tcBorders>
            <w:shd w:val="clear" w:color="auto" w:fill="auto"/>
            <w:noWrap/>
            <w:vAlign w:val="center"/>
            <w:hideMark/>
          </w:tcPr>
          <w:p w14:paraId="0DBCE049" w14:textId="77777777" w:rsidR="007715F1" w:rsidRPr="006B5F69" w:rsidRDefault="007715F1" w:rsidP="007715F1">
            <w:pPr>
              <w:spacing w:after="0" w:line="240" w:lineRule="auto"/>
              <w:rPr>
                <w:rFonts w:ascii="Times New Roman" w:eastAsia="Times New Roman" w:hAnsi="Times New Roman" w:cs="Times New Roman"/>
                <w:sz w:val="18"/>
                <w:szCs w:val="20"/>
                <w:lang w:eastAsia="pt-BR"/>
              </w:rPr>
            </w:pPr>
          </w:p>
        </w:tc>
        <w:tc>
          <w:tcPr>
            <w:tcW w:w="71" w:type="pct"/>
            <w:tcBorders>
              <w:top w:val="nil"/>
              <w:left w:val="nil"/>
              <w:bottom w:val="nil"/>
              <w:right w:val="nil"/>
            </w:tcBorders>
            <w:shd w:val="clear" w:color="auto" w:fill="auto"/>
            <w:noWrap/>
            <w:vAlign w:val="center"/>
            <w:hideMark/>
          </w:tcPr>
          <w:p w14:paraId="21F503FF" w14:textId="77777777" w:rsidR="007715F1" w:rsidRPr="006B5F69" w:rsidRDefault="007715F1" w:rsidP="007715F1">
            <w:pPr>
              <w:spacing w:after="0" w:line="240" w:lineRule="auto"/>
              <w:jc w:val="center"/>
              <w:rPr>
                <w:rFonts w:ascii="Times New Roman" w:eastAsia="Times New Roman" w:hAnsi="Times New Roman" w:cs="Times New Roman"/>
                <w:sz w:val="18"/>
                <w:szCs w:val="20"/>
                <w:lang w:eastAsia="pt-BR"/>
              </w:rPr>
            </w:pPr>
          </w:p>
        </w:tc>
        <w:tc>
          <w:tcPr>
            <w:tcW w:w="1021" w:type="pct"/>
            <w:tcBorders>
              <w:top w:val="nil"/>
              <w:left w:val="nil"/>
              <w:bottom w:val="nil"/>
              <w:right w:val="nil"/>
            </w:tcBorders>
            <w:shd w:val="clear" w:color="auto" w:fill="auto"/>
            <w:noWrap/>
            <w:vAlign w:val="center"/>
            <w:hideMark/>
          </w:tcPr>
          <w:p w14:paraId="4FA71F4F" w14:textId="77777777" w:rsidR="007715F1" w:rsidRPr="006B5F69" w:rsidRDefault="007715F1" w:rsidP="00F7132F">
            <w:pPr>
              <w:spacing w:after="0" w:line="240" w:lineRule="auto"/>
              <w:jc w:val="right"/>
              <w:rPr>
                <w:rFonts w:ascii="Times New Roman" w:eastAsia="Times New Roman" w:hAnsi="Times New Roman" w:cs="Times New Roman"/>
                <w:sz w:val="18"/>
                <w:szCs w:val="20"/>
                <w:lang w:eastAsia="pt-BR"/>
              </w:rPr>
            </w:pPr>
          </w:p>
        </w:tc>
        <w:tc>
          <w:tcPr>
            <w:tcW w:w="103" w:type="pct"/>
            <w:tcBorders>
              <w:top w:val="nil"/>
              <w:left w:val="nil"/>
              <w:bottom w:val="nil"/>
              <w:right w:val="nil"/>
            </w:tcBorders>
            <w:shd w:val="clear" w:color="auto" w:fill="auto"/>
            <w:noWrap/>
            <w:vAlign w:val="center"/>
            <w:hideMark/>
          </w:tcPr>
          <w:p w14:paraId="5968F316" w14:textId="77777777" w:rsidR="007715F1" w:rsidRPr="006B5F69" w:rsidRDefault="007715F1" w:rsidP="00F7132F">
            <w:pPr>
              <w:spacing w:after="0" w:line="240" w:lineRule="auto"/>
              <w:jc w:val="right"/>
              <w:rPr>
                <w:rFonts w:ascii="Times New Roman" w:eastAsia="Times New Roman" w:hAnsi="Times New Roman" w:cs="Times New Roman"/>
                <w:sz w:val="18"/>
                <w:szCs w:val="20"/>
                <w:lang w:eastAsia="pt-BR"/>
              </w:rPr>
            </w:pPr>
          </w:p>
        </w:tc>
        <w:tc>
          <w:tcPr>
            <w:tcW w:w="1098" w:type="pct"/>
            <w:tcBorders>
              <w:top w:val="nil"/>
              <w:left w:val="nil"/>
              <w:bottom w:val="nil"/>
              <w:right w:val="nil"/>
            </w:tcBorders>
            <w:shd w:val="clear" w:color="auto" w:fill="auto"/>
            <w:noWrap/>
            <w:vAlign w:val="center"/>
            <w:hideMark/>
          </w:tcPr>
          <w:p w14:paraId="2A428795" w14:textId="77777777" w:rsidR="007715F1" w:rsidRPr="006B5F69" w:rsidRDefault="007715F1" w:rsidP="00F7132F">
            <w:pPr>
              <w:spacing w:after="0" w:line="240" w:lineRule="auto"/>
              <w:jc w:val="right"/>
              <w:rPr>
                <w:rFonts w:ascii="Times New Roman" w:eastAsia="Times New Roman" w:hAnsi="Times New Roman" w:cs="Times New Roman"/>
                <w:sz w:val="18"/>
                <w:szCs w:val="20"/>
                <w:lang w:eastAsia="pt-BR"/>
              </w:rPr>
            </w:pPr>
          </w:p>
        </w:tc>
      </w:tr>
      <w:tr w:rsidR="007715F1" w:rsidRPr="006B5F69" w14:paraId="7C971666"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3271EC14" w14:textId="77777777" w:rsidR="007715F1" w:rsidRPr="006B5F69" w:rsidRDefault="007715F1" w:rsidP="007715F1">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Títulos e valores mobiliários</w:t>
            </w:r>
          </w:p>
        </w:tc>
        <w:tc>
          <w:tcPr>
            <w:tcW w:w="103" w:type="pct"/>
            <w:tcBorders>
              <w:top w:val="nil"/>
              <w:left w:val="nil"/>
              <w:bottom w:val="nil"/>
              <w:right w:val="nil"/>
            </w:tcBorders>
            <w:shd w:val="clear" w:color="auto" w:fill="auto"/>
            <w:noWrap/>
            <w:vAlign w:val="center"/>
            <w:hideMark/>
          </w:tcPr>
          <w:p w14:paraId="577A9C26" w14:textId="77777777" w:rsidR="007715F1" w:rsidRPr="006B5F69" w:rsidRDefault="007715F1" w:rsidP="007715F1">
            <w:pPr>
              <w:spacing w:after="0" w:line="240" w:lineRule="auto"/>
              <w:rPr>
                <w:rFonts w:ascii="Verdana" w:eastAsia="Times New Roman" w:hAnsi="Verdana" w:cs="Calibri"/>
                <w:sz w:val="18"/>
                <w:szCs w:val="20"/>
                <w:lang w:eastAsia="pt-BR"/>
              </w:rPr>
            </w:pPr>
          </w:p>
        </w:tc>
        <w:tc>
          <w:tcPr>
            <w:tcW w:w="521" w:type="pct"/>
            <w:tcBorders>
              <w:top w:val="nil"/>
              <w:left w:val="nil"/>
              <w:bottom w:val="nil"/>
              <w:right w:val="nil"/>
            </w:tcBorders>
            <w:shd w:val="clear" w:color="auto" w:fill="auto"/>
            <w:noWrap/>
            <w:vAlign w:val="center"/>
            <w:hideMark/>
          </w:tcPr>
          <w:p w14:paraId="15C53254" w14:textId="77777777" w:rsidR="007715F1" w:rsidRPr="006B5F69" w:rsidRDefault="007715F1" w:rsidP="00581D1F">
            <w:pPr>
              <w:spacing w:after="0" w:line="240" w:lineRule="auto"/>
              <w:jc w:val="center"/>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1</w:t>
            </w:r>
            <w:r w:rsidR="00581D1F">
              <w:rPr>
                <w:rFonts w:ascii="Verdana" w:eastAsia="Times New Roman" w:hAnsi="Verdana" w:cs="Calibri"/>
                <w:b/>
                <w:bCs/>
                <w:sz w:val="18"/>
                <w:szCs w:val="20"/>
                <w:lang w:eastAsia="pt-BR"/>
              </w:rPr>
              <w:t>0</w:t>
            </w:r>
            <w:r w:rsidRPr="006B5F69">
              <w:rPr>
                <w:rFonts w:ascii="Verdana" w:eastAsia="Times New Roman" w:hAnsi="Verdana" w:cs="Calibri"/>
                <w:b/>
                <w:bCs/>
                <w:sz w:val="18"/>
                <w:szCs w:val="20"/>
                <w:lang w:eastAsia="pt-BR"/>
              </w:rPr>
              <w:t xml:space="preserve"> </w:t>
            </w:r>
          </w:p>
        </w:tc>
        <w:tc>
          <w:tcPr>
            <w:tcW w:w="71" w:type="pct"/>
            <w:tcBorders>
              <w:top w:val="nil"/>
              <w:left w:val="nil"/>
              <w:bottom w:val="nil"/>
              <w:right w:val="nil"/>
            </w:tcBorders>
            <w:shd w:val="clear" w:color="auto" w:fill="auto"/>
            <w:noWrap/>
            <w:vAlign w:val="center"/>
            <w:hideMark/>
          </w:tcPr>
          <w:p w14:paraId="49286FCC" w14:textId="77777777" w:rsidR="007715F1" w:rsidRPr="006B5F69" w:rsidRDefault="007715F1" w:rsidP="007715F1">
            <w:pPr>
              <w:spacing w:after="0" w:line="240" w:lineRule="auto"/>
              <w:jc w:val="center"/>
              <w:rPr>
                <w:rFonts w:ascii="Verdana" w:eastAsia="Times New Roman" w:hAnsi="Verdana" w:cs="Calibri"/>
                <w:b/>
                <w:bCs/>
                <w:sz w:val="18"/>
                <w:szCs w:val="20"/>
                <w:lang w:eastAsia="pt-BR"/>
              </w:rPr>
            </w:pPr>
          </w:p>
        </w:tc>
        <w:tc>
          <w:tcPr>
            <w:tcW w:w="1021" w:type="pct"/>
            <w:tcBorders>
              <w:top w:val="nil"/>
              <w:left w:val="nil"/>
              <w:bottom w:val="nil"/>
              <w:right w:val="nil"/>
            </w:tcBorders>
            <w:shd w:val="clear" w:color="auto" w:fill="auto"/>
            <w:noWrap/>
            <w:vAlign w:val="bottom"/>
            <w:hideMark/>
          </w:tcPr>
          <w:p w14:paraId="2F55B030" w14:textId="77777777" w:rsidR="007715F1" w:rsidRPr="006B5F69" w:rsidRDefault="007715F1"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   </w:t>
            </w:r>
          </w:p>
        </w:tc>
        <w:tc>
          <w:tcPr>
            <w:tcW w:w="103" w:type="pct"/>
            <w:tcBorders>
              <w:top w:val="nil"/>
              <w:left w:val="nil"/>
              <w:bottom w:val="nil"/>
              <w:right w:val="nil"/>
            </w:tcBorders>
            <w:shd w:val="clear" w:color="auto" w:fill="auto"/>
            <w:noWrap/>
            <w:vAlign w:val="bottom"/>
            <w:hideMark/>
          </w:tcPr>
          <w:p w14:paraId="0554FB6E" w14:textId="77777777" w:rsidR="007715F1" w:rsidRPr="006B5F69" w:rsidRDefault="007715F1" w:rsidP="00F7132F">
            <w:pPr>
              <w:spacing w:after="0" w:line="240" w:lineRule="auto"/>
              <w:jc w:val="right"/>
              <w:rPr>
                <w:rFonts w:ascii="Verdana" w:eastAsia="Times New Roman" w:hAnsi="Verdana" w:cs="Calibri"/>
                <w:sz w:val="18"/>
                <w:szCs w:val="20"/>
                <w:lang w:eastAsia="pt-BR"/>
              </w:rPr>
            </w:pPr>
          </w:p>
        </w:tc>
        <w:tc>
          <w:tcPr>
            <w:tcW w:w="1098" w:type="pct"/>
            <w:tcBorders>
              <w:top w:val="nil"/>
              <w:left w:val="nil"/>
              <w:bottom w:val="nil"/>
              <w:right w:val="nil"/>
            </w:tcBorders>
            <w:shd w:val="clear" w:color="auto" w:fill="auto"/>
            <w:noWrap/>
            <w:vAlign w:val="bottom"/>
            <w:hideMark/>
          </w:tcPr>
          <w:p w14:paraId="283E6435" w14:textId="77777777" w:rsidR="007715F1" w:rsidRPr="006B5F69" w:rsidRDefault="007715F1"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2.251.433 </w:t>
            </w:r>
          </w:p>
        </w:tc>
      </w:tr>
      <w:tr w:rsidR="007715F1" w:rsidRPr="006B5F69" w14:paraId="7BFCA103"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4B433C64" w14:textId="77777777" w:rsidR="007715F1" w:rsidRPr="006B5F69" w:rsidRDefault="007715F1" w:rsidP="007715F1">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Estoque de combustível nuclear</w:t>
            </w:r>
          </w:p>
        </w:tc>
        <w:tc>
          <w:tcPr>
            <w:tcW w:w="103" w:type="pct"/>
            <w:tcBorders>
              <w:top w:val="nil"/>
              <w:left w:val="nil"/>
              <w:bottom w:val="nil"/>
              <w:right w:val="nil"/>
            </w:tcBorders>
            <w:shd w:val="clear" w:color="auto" w:fill="auto"/>
            <w:noWrap/>
            <w:vAlign w:val="center"/>
            <w:hideMark/>
          </w:tcPr>
          <w:p w14:paraId="6D70B38C" w14:textId="77777777" w:rsidR="007715F1" w:rsidRPr="006B5F69" w:rsidRDefault="007715F1" w:rsidP="007715F1">
            <w:pPr>
              <w:spacing w:after="0" w:line="240" w:lineRule="auto"/>
              <w:rPr>
                <w:rFonts w:ascii="Verdana" w:eastAsia="Times New Roman" w:hAnsi="Verdana" w:cs="Calibri"/>
                <w:sz w:val="18"/>
                <w:szCs w:val="20"/>
                <w:lang w:eastAsia="pt-BR"/>
              </w:rPr>
            </w:pPr>
          </w:p>
        </w:tc>
        <w:tc>
          <w:tcPr>
            <w:tcW w:w="521" w:type="pct"/>
            <w:tcBorders>
              <w:top w:val="nil"/>
              <w:left w:val="nil"/>
              <w:bottom w:val="nil"/>
              <w:right w:val="nil"/>
            </w:tcBorders>
            <w:shd w:val="clear" w:color="auto" w:fill="auto"/>
            <w:noWrap/>
            <w:vAlign w:val="center"/>
            <w:hideMark/>
          </w:tcPr>
          <w:p w14:paraId="17A4FF4B" w14:textId="77777777" w:rsidR="007715F1" w:rsidRPr="006B5F69" w:rsidRDefault="00581D1F" w:rsidP="007715F1">
            <w:pPr>
              <w:spacing w:after="0" w:line="240" w:lineRule="auto"/>
              <w:jc w:val="center"/>
              <w:rPr>
                <w:rFonts w:ascii="Verdana" w:eastAsia="Times New Roman" w:hAnsi="Verdana" w:cs="Calibri"/>
                <w:b/>
                <w:bCs/>
                <w:sz w:val="18"/>
                <w:szCs w:val="20"/>
                <w:lang w:eastAsia="pt-BR"/>
              </w:rPr>
            </w:pPr>
            <w:r>
              <w:rPr>
                <w:rFonts w:ascii="Verdana" w:eastAsia="Times New Roman" w:hAnsi="Verdana" w:cs="Calibri"/>
                <w:b/>
                <w:bCs/>
                <w:sz w:val="18"/>
                <w:szCs w:val="20"/>
                <w:lang w:eastAsia="pt-BR"/>
              </w:rPr>
              <w:t>9</w:t>
            </w:r>
            <w:r w:rsidR="007715F1" w:rsidRPr="006B5F69">
              <w:rPr>
                <w:rFonts w:ascii="Verdana" w:eastAsia="Times New Roman" w:hAnsi="Verdana" w:cs="Calibri"/>
                <w:b/>
                <w:bCs/>
                <w:sz w:val="18"/>
                <w:szCs w:val="20"/>
                <w:lang w:eastAsia="pt-BR"/>
              </w:rPr>
              <w:t xml:space="preserve"> </w:t>
            </w:r>
          </w:p>
        </w:tc>
        <w:tc>
          <w:tcPr>
            <w:tcW w:w="71" w:type="pct"/>
            <w:tcBorders>
              <w:top w:val="nil"/>
              <w:left w:val="nil"/>
              <w:bottom w:val="nil"/>
              <w:right w:val="nil"/>
            </w:tcBorders>
            <w:shd w:val="clear" w:color="auto" w:fill="auto"/>
            <w:noWrap/>
            <w:vAlign w:val="center"/>
            <w:hideMark/>
          </w:tcPr>
          <w:p w14:paraId="2FE2966C" w14:textId="77777777" w:rsidR="007715F1" w:rsidRPr="006B5F69" w:rsidRDefault="007715F1" w:rsidP="007715F1">
            <w:pPr>
              <w:spacing w:after="0" w:line="240" w:lineRule="auto"/>
              <w:jc w:val="center"/>
              <w:rPr>
                <w:rFonts w:ascii="Verdana" w:eastAsia="Times New Roman" w:hAnsi="Verdana" w:cs="Calibri"/>
                <w:b/>
                <w:bCs/>
                <w:sz w:val="18"/>
                <w:szCs w:val="20"/>
                <w:lang w:eastAsia="pt-BR"/>
              </w:rPr>
            </w:pPr>
          </w:p>
        </w:tc>
        <w:tc>
          <w:tcPr>
            <w:tcW w:w="1021" w:type="pct"/>
            <w:tcBorders>
              <w:top w:val="nil"/>
              <w:left w:val="nil"/>
              <w:bottom w:val="nil"/>
              <w:right w:val="nil"/>
            </w:tcBorders>
            <w:shd w:val="clear" w:color="auto" w:fill="auto"/>
            <w:noWrap/>
            <w:vAlign w:val="bottom"/>
            <w:hideMark/>
          </w:tcPr>
          <w:p w14:paraId="22B16D3A" w14:textId="77777777" w:rsidR="007715F1" w:rsidRPr="006B5F69" w:rsidRDefault="007715F1"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   </w:t>
            </w:r>
          </w:p>
        </w:tc>
        <w:tc>
          <w:tcPr>
            <w:tcW w:w="103" w:type="pct"/>
            <w:tcBorders>
              <w:top w:val="nil"/>
              <w:left w:val="nil"/>
              <w:bottom w:val="nil"/>
              <w:right w:val="nil"/>
            </w:tcBorders>
            <w:shd w:val="clear" w:color="auto" w:fill="auto"/>
            <w:noWrap/>
            <w:vAlign w:val="bottom"/>
            <w:hideMark/>
          </w:tcPr>
          <w:p w14:paraId="0BB80232" w14:textId="77777777" w:rsidR="007715F1" w:rsidRPr="006B5F69" w:rsidRDefault="007715F1" w:rsidP="00F7132F">
            <w:pPr>
              <w:spacing w:after="0" w:line="240" w:lineRule="auto"/>
              <w:jc w:val="right"/>
              <w:rPr>
                <w:rFonts w:ascii="Verdana" w:eastAsia="Times New Roman" w:hAnsi="Verdana" w:cs="Calibri"/>
                <w:sz w:val="18"/>
                <w:szCs w:val="20"/>
                <w:lang w:eastAsia="pt-BR"/>
              </w:rPr>
            </w:pPr>
          </w:p>
        </w:tc>
        <w:tc>
          <w:tcPr>
            <w:tcW w:w="1098" w:type="pct"/>
            <w:tcBorders>
              <w:top w:val="nil"/>
              <w:left w:val="nil"/>
              <w:bottom w:val="nil"/>
              <w:right w:val="nil"/>
            </w:tcBorders>
            <w:shd w:val="clear" w:color="auto" w:fill="auto"/>
            <w:noWrap/>
            <w:vAlign w:val="bottom"/>
            <w:hideMark/>
          </w:tcPr>
          <w:p w14:paraId="2D38ED84" w14:textId="77777777" w:rsidR="007715F1" w:rsidRPr="006B5F69" w:rsidRDefault="007715F1"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1.333.440 </w:t>
            </w:r>
          </w:p>
        </w:tc>
      </w:tr>
      <w:tr w:rsidR="007715F1" w:rsidRPr="006B5F69" w14:paraId="71C3CAA1"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25B9FBE8" w14:textId="77777777" w:rsidR="007715F1" w:rsidRPr="006B5F69" w:rsidRDefault="007715F1" w:rsidP="007715F1">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Cauções e depósitos vinculados</w:t>
            </w:r>
          </w:p>
        </w:tc>
        <w:tc>
          <w:tcPr>
            <w:tcW w:w="103" w:type="pct"/>
            <w:tcBorders>
              <w:top w:val="nil"/>
              <w:left w:val="nil"/>
              <w:bottom w:val="nil"/>
              <w:right w:val="nil"/>
            </w:tcBorders>
            <w:shd w:val="clear" w:color="auto" w:fill="auto"/>
            <w:noWrap/>
            <w:vAlign w:val="center"/>
            <w:hideMark/>
          </w:tcPr>
          <w:p w14:paraId="6B01CB05" w14:textId="77777777" w:rsidR="007715F1" w:rsidRPr="006B5F69" w:rsidRDefault="007715F1" w:rsidP="007715F1">
            <w:pPr>
              <w:spacing w:after="0" w:line="240" w:lineRule="auto"/>
              <w:rPr>
                <w:rFonts w:ascii="Verdana" w:eastAsia="Times New Roman" w:hAnsi="Verdana" w:cs="Calibri"/>
                <w:sz w:val="18"/>
                <w:szCs w:val="20"/>
                <w:lang w:eastAsia="pt-BR"/>
              </w:rPr>
            </w:pPr>
          </w:p>
        </w:tc>
        <w:tc>
          <w:tcPr>
            <w:tcW w:w="521" w:type="pct"/>
            <w:tcBorders>
              <w:top w:val="nil"/>
              <w:left w:val="nil"/>
              <w:bottom w:val="nil"/>
              <w:right w:val="nil"/>
            </w:tcBorders>
            <w:shd w:val="clear" w:color="auto" w:fill="auto"/>
            <w:noWrap/>
            <w:vAlign w:val="center"/>
            <w:hideMark/>
          </w:tcPr>
          <w:p w14:paraId="3ED6738E" w14:textId="77777777" w:rsidR="007715F1" w:rsidRPr="006B5F69" w:rsidRDefault="007715F1" w:rsidP="007715F1">
            <w:pPr>
              <w:spacing w:after="0" w:line="240" w:lineRule="auto"/>
              <w:jc w:val="center"/>
              <w:rPr>
                <w:rFonts w:ascii="Times New Roman" w:eastAsia="Times New Roman" w:hAnsi="Times New Roman" w:cs="Times New Roman"/>
                <w:sz w:val="18"/>
                <w:szCs w:val="20"/>
                <w:lang w:eastAsia="pt-BR"/>
              </w:rPr>
            </w:pPr>
          </w:p>
        </w:tc>
        <w:tc>
          <w:tcPr>
            <w:tcW w:w="71" w:type="pct"/>
            <w:tcBorders>
              <w:top w:val="nil"/>
              <w:left w:val="nil"/>
              <w:bottom w:val="nil"/>
              <w:right w:val="nil"/>
            </w:tcBorders>
            <w:shd w:val="clear" w:color="auto" w:fill="auto"/>
            <w:noWrap/>
            <w:vAlign w:val="center"/>
            <w:hideMark/>
          </w:tcPr>
          <w:p w14:paraId="441BE86D" w14:textId="77777777" w:rsidR="007715F1" w:rsidRPr="006B5F69" w:rsidRDefault="007715F1" w:rsidP="007715F1">
            <w:pPr>
              <w:spacing w:after="0" w:line="240" w:lineRule="auto"/>
              <w:jc w:val="center"/>
              <w:rPr>
                <w:rFonts w:ascii="Times New Roman" w:eastAsia="Times New Roman" w:hAnsi="Times New Roman" w:cs="Times New Roman"/>
                <w:sz w:val="18"/>
                <w:szCs w:val="20"/>
                <w:lang w:eastAsia="pt-BR"/>
              </w:rPr>
            </w:pPr>
          </w:p>
        </w:tc>
        <w:tc>
          <w:tcPr>
            <w:tcW w:w="1021" w:type="pct"/>
            <w:tcBorders>
              <w:top w:val="nil"/>
              <w:left w:val="nil"/>
              <w:bottom w:val="nil"/>
              <w:right w:val="nil"/>
            </w:tcBorders>
            <w:shd w:val="clear" w:color="auto" w:fill="auto"/>
            <w:noWrap/>
            <w:vAlign w:val="bottom"/>
            <w:hideMark/>
          </w:tcPr>
          <w:p w14:paraId="7DB06F44" w14:textId="77777777" w:rsidR="007715F1" w:rsidRPr="00983DF0" w:rsidRDefault="007715F1" w:rsidP="00F7132F">
            <w:pPr>
              <w:spacing w:after="0" w:line="240" w:lineRule="auto"/>
              <w:jc w:val="right"/>
              <w:rPr>
                <w:rFonts w:ascii="Verdana" w:eastAsia="Times New Roman" w:hAnsi="Verdana" w:cs="Calibri"/>
                <w:sz w:val="18"/>
                <w:szCs w:val="20"/>
                <w:lang w:eastAsia="pt-BR"/>
              </w:rPr>
            </w:pPr>
            <w:r w:rsidRPr="00983DF0">
              <w:rPr>
                <w:rFonts w:ascii="Verdana" w:eastAsia="Times New Roman" w:hAnsi="Verdana" w:cs="Calibri"/>
                <w:sz w:val="18"/>
                <w:szCs w:val="20"/>
                <w:lang w:eastAsia="pt-BR"/>
              </w:rPr>
              <w:t xml:space="preserve">                   592 </w:t>
            </w:r>
          </w:p>
        </w:tc>
        <w:tc>
          <w:tcPr>
            <w:tcW w:w="103" w:type="pct"/>
            <w:tcBorders>
              <w:top w:val="nil"/>
              <w:left w:val="nil"/>
              <w:bottom w:val="nil"/>
              <w:right w:val="nil"/>
            </w:tcBorders>
            <w:shd w:val="clear" w:color="auto" w:fill="auto"/>
            <w:noWrap/>
            <w:vAlign w:val="bottom"/>
            <w:hideMark/>
          </w:tcPr>
          <w:p w14:paraId="74A98374" w14:textId="77777777" w:rsidR="007715F1" w:rsidRPr="00D930E7" w:rsidRDefault="007715F1" w:rsidP="00F7132F">
            <w:pPr>
              <w:spacing w:after="0" w:line="240" w:lineRule="auto"/>
              <w:jc w:val="right"/>
              <w:rPr>
                <w:rFonts w:ascii="Verdana" w:eastAsia="Times New Roman" w:hAnsi="Verdana" w:cs="Calibri"/>
                <w:sz w:val="18"/>
                <w:szCs w:val="20"/>
                <w:highlight w:val="green"/>
                <w:lang w:eastAsia="pt-BR"/>
              </w:rPr>
            </w:pPr>
          </w:p>
        </w:tc>
        <w:tc>
          <w:tcPr>
            <w:tcW w:w="1098" w:type="pct"/>
            <w:tcBorders>
              <w:top w:val="nil"/>
              <w:left w:val="nil"/>
              <w:bottom w:val="nil"/>
              <w:right w:val="nil"/>
            </w:tcBorders>
            <w:shd w:val="clear" w:color="auto" w:fill="auto"/>
            <w:noWrap/>
            <w:vAlign w:val="bottom"/>
            <w:hideMark/>
          </w:tcPr>
          <w:p w14:paraId="2624EDCE" w14:textId="77777777" w:rsidR="007715F1" w:rsidRPr="006B5F69" w:rsidRDefault="007715F1"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67.500 </w:t>
            </w:r>
          </w:p>
        </w:tc>
      </w:tr>
      <w:tr w:rsidR="007715F1" w:rsidRPr="006B5F69" w14:paraId="618A7C35"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7F4177AC" w14:textId="77777777" w:rsidR="007715F1" w:rsidRPr="006B5F69" w:rsidRDefault="007715F1" w:rsidP="007715F1">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Ativo fiscal diferido</w:t>
            </w:r>
          </w:p>
        </w:tc>
        <w:tc>
          <w:tcPr>
            <w:tcW w:w="103" w:type="pct"/>
            <w:tcBorders>
              <w:top w:val="nil"/>
              <w:left w:val="nil"/>
              <w:bottom w:val="nil"/>
              <w:right w:val="nil"/>
            </w:tcBorders>
            <w:shd w:val="clear" w:color="auto" w:fill="auto"/>
            <w:noWrap/>
            <w:vAlign w:val="center"/>
            <w:hideMark/>
          </w:tcPr>
          <w:p w14:paraId="0D9904FD" w14:textId="77777777" w:rsidR="007715F1" w:rsidRPr="006B5F69" w:rsidRDefault="007715F1" w:rsidP="007715F1">
            <w:pPr>
              <w:spacing w:after="0" w:line="240" w:lineRule="auto"/>
              <w:rPr>
                <w:rFonts w:ascii="Verdana" w:eastAsia="Times New Roman" w:hAnsi="Verdana" w:cs="Calibri"/>
                <w:sz w:val="18"/>
                <w:szCs w:val="20"/>
                <w:lang w:eastAsia="pt-BR"/>
              </w:rPr>
            </w:pPr>
          </w:p>
        </w:tc>
        <w:tc>
          <w:tcPr>
            <w:tcW w:w="521" w:type="pct"/>
            <w:tcBorders>
              <w:top w:val="nil"/>
              <w:left w:val="nil"/>
              <w:bottom w:val="nil"/>
              <w:right w:val="nil"/>
            </w:tcBorders>
            <w:shd w:val="clear" w:color="auto" w:fill="auto"/>
            <w:noWrap/>
            <w:vAlign w:val="center"/>
            <w:hideMark/>
          </w:tcPr>
          <w:p w14:paraId="426108FE" w14:textId="77777777" w:rsidR="007715F1" w:rsidRPr="006B5F69" w:rsidRDefault="007715F1" w:rsidP="007715F1">
            <w:pPr>
              <w:spacing w:after="0" w:line="240" w:lineRule="auto"/>
              <w:jc w:val="center"/>
              <w:rPr>
                <w:rFonts w:ascii="Times New Roman" w:eastAsia="Times New Roman" w:hAnsi="Times New Roman" w:cs="Times New Roman"/>
                <w:sz w:val="18"/>
                <w:szCs w:val="20"/>
                <w:lang w:eastAsia="pt-BR"/>
              </w:rPr>
            </w:pPr>
          </w:p>
        </w:tc>
        <w:tc>
          <w:tcPr>
            <w:tcW w:w="71" w:type="pct"/>
            <w:tcBorders>
              <w:top w:val="nil"/>
              <w:left w:val="nil"/>
              <w:bottom w:val="nil"/>
              <w:right w:val="nil"/>
            </w:tcBorders>
            <w:shd w:val="clear" w:color="auto" w:fill="auto"/>
            <w:noWrap/>
            <w:vAlign w:val="center"/>
            <w:hideMark/>
          </w:tcPr>
          <w:p w14:paraId="1FA2E320" w14:textId="77777777" w:rsidR="007715F1" w:rsidRPr="006B5F69" w:rsidRDefault="007715F1" w:rsidP="007715F1">
            <w:pPr>
              <w:spacing w:after="0" w:line="240" w:lineRule="auto"/>
              <w:jc w:val="center"/>
              <w:rPr>
                <w:rFonts w:ascii="Times New Roman" w:eastAsia="Times New Roman" w:hAnsi="Times New Roman" w:cs="Times New Roman"/>
                <w:sz w:val="18"/>
                <w:szCs w:val="20"/>
                <w:lang w:eastAsia="pt-BR"/>
              </w:rPr>
            </w:pPr>
          </w:p>
        </w:tc>
        <w:tc>
          <w:tcPr>
            <w:tcW w:w="1021" w:type="pct"/>
            <w:tcBorders>
              <w:top w:val="nil"/>
              <w:left w:val="nil"/>
              <w:bottom w:val="nil"/>
              <w:right w:val="nil"/>
            </w:tcBorders>
            <w:shd w:val="clear" w:color="auto" w:fill="auto"/>
            <w:noWrap/>
            <w:vAlign w:val="bottom"/>
            <w:hideMark/>
          </w:tcPr>
          <w:p w14:paraId="46EFF6DA" w14:textId="77777777" w:rsidR="007715F1" w:rsidRPr="00983DF0" w:rsidRDefault="007715F1" w:rsidP="00F7132F">
            <w:pPr>
              <w:spacing w:after="0" w:line="240" w:lineRule="auto"/>
              <w:jc w:val="right"/>
              <w:rPr>
                <w:rFonts w:ascii="Verdana" w:eastAsia="Times New Roman" w:hAnsi="Verdana" w:cs="Calibri"/>
                <w:sz w:val="18"/>
                <w:szCs w:val="20"/>
                <w:lang w:eastAsia="pt-BR"/>
              </w:rPr>
            </w:pPr>
            <w:r w:rsidRPr="00983DF0">
              <w:rPr>
                <w:rFonts w:ascii="Verdana" w:eastAsia="Times New Roman" w:hAnsi="Verdana" w:cs="Calibri"/>
                <w:sz w:val="18"/>
                <w:szCs w:val="20"/>
                <w:lang w:eastAsia="pt-BR"/>
              </w:rPr>
              <w:t xml:space="preserve">              10.767 </w:t>
            </w:r>
          </w:p>
        </w:tc>
        <w:tc>
          <w:tcPr>
            <w:tcW w:w="103" w:type="pct"/>
            <w:tcBorders>
              <w:top w:val="nil"/>
              <w:left w:val="nil"/>
              <w:bottom w:val="nil"/>
              <w:right w:val="nil"/>
            </w:tcBorders>
            <w:shd w:val="clear" w:color="auto" w:fill="auto"/>
            <w:noWrap/>
            <w:vAlign w:val="bottom"/>
            <w:hideMark/>
          </w:tcPr>
          <w:p w14:paraId="7EDDD3D2" w14:textId="77777777" w:rsidR="007715F1" w:rsidRPr="006B5F69" w:rsidRDefault="007715F1" w:rsidP="00F7132F">
            <w:pPr>
              <w:spacing w:after="0" w:line="240" w:lineRule="auto"/>
              <w:jc w:val="right"/>
              <w:rPr>
                <w:rFonts w:ascii="Verdana" w:eastAsia="Times New Roman" w:hAnsi="Verdana" w:cs="Calibri"/>
                <w:sz w:val="18"/>
                <w:szCs w:val="20"/>
                <w:lang w:eastAsia="pt-BR"/>
              </w:rPr>
            </w:pPr>
          </w:p>
        </w:tc>
        <w:tc>
          <w:tcPr>
            <w:tcW w:w="1098" w:type="pct"/>
            <w:tcBorders>
              <w:top w:val="nil"/>
              <w:left w:val="nil"/>
              <w:bottom w:val="nil"/>
              <w:right w:val="nil"/>
            </w:tcBorders>
            <w:shd w:val="clear" w:color="auto" w:fill="auto"/>
            <w:noWrap/>
            <w:vAlign w:val="bottom"/>
            <w:hideMark/>
          </w:tcPr>
          <w:p w14:paraId="1F141C32" w14:textId="77777777" w:rsidR="007715F1" w:rsidRPr="006B5F69" w:rsidRDefault="007715F1"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10.767 </w:t>
            </w:r>
          </w:p>
        </w:tc>
      </w:tr>
      <w:tr w:rsidR="007715F1" w:rsidRPr="006B5F69" w14:paraId="46765606"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18CBF97D" w14:textId="77777777" w:rsidR="007715F1" w:rsidRPr="006B5F69" w:rsidRDefault="007715F1" w:rsidP="007715F1">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Outros</w:t>
            </w:r>
          </w:p>
        </w:tc>
        <w:tc>
          <w:tcPr>
            <w:tcW w:w="103" w:type="pct"/>
            <w:tcBorders>
              <w:top w:val="nil"/>
              <w:left w:val="nil"/>
              <w:bottom w:val="nil"/>
              <w:right w:val="nil"/>
            </w:tcBorders>
            <w:shd w:val="clear" w:color="auto" w:fill="auto"/>
            <w:noWrap/>
            <w:vAlign w:val="center"/>
            <w:hideMark/>
          </w:tcPr>
          <w:p w14:paraId="642EEA07" w14:textId="77777777" w:rsidR="007715F1" w:rsidRPr="006B5F69" w:rsidRDefault="007715F1" w:rsidP="007715F1">
            <w:pPr>
              <w:spacing w:after="0" w:line="240" w:lineRule="auto"/>
              <w:rPr>
                <w:rFonts w:ascii="Verdana" w:eastAsia="Times New Roman" w:hAnsi="Verdana" w:cs="Calibri"/>
                <w:sz w:val="18"/>
                <w:szCs w:val="20"/>
                <w:lang w:eastAsia="pt-BR"/>
              </w:rPr>
            </w:pPr>
          </w:p>
        </w:tc>
        <w:tc>
          <w:tcPr>
            <w:tcW w:w="521" w:type="pct"/>
            <w:tcBorders>
              <w:top w:val="nil"/>
              <w:left w:val="nil"/>
              <w:bottom w:val="nil"/>
              <w:right w:val="nil"/>
            </w:tcBorders>
            <w:shd w:val="clear" w:color="auto" w:fill="auto"/>
            <w:noWrap/>
            <w:vAlign w:val="center"/>
            <w:hideMark/>
          </w:tcPr>
          <w:p w14:paraId="76D50287" w14:textId="77777777" w:rsidR="007715F1" w:rsidRPr="006B5F69" w:rsidRDefault="007715F1" w:rsidP="007715F1">
            <w:pPr>
              <w:spacing w:after="0" w:line="240" w:lineRule="auto"/>
              <w:jc w:val="center"/>
              <w:rPr>
                <w:rFonts w:ascii="Times New Roman" w:eastAsia="Times New Roman" w:hAnsi="Times New Roman" w:cs="Times New Roman"/>
                <w:sz w:val="18"/>
                <w:szCs w:val="20"/>
                <w:lang w:eastAsia="pt-BR"/>
              </w:rPr>
            </w:pPr>
          </w:p>
        </w:tc>
        <w:tc>
          <w:tcPr>
            <w:tcW w:w="71" w:type="pct"/>
            <w:tcBorders>
              <w:top w:val="nil"/>
              <w:left w:val="nil"/>
              <w:bottom w:val="nil"/>
              <w:right w:val="nil"/>
            </w:tcBorders>
            <w:shd w:val="clear" w:color="auto" w:fill="auto"/>
            <w:noWrap/>
            <w:vAlign w:val="center"/>
            <w:hideMark/>
          </w:tcPr>
          <w:p w14:paraId="64CEFC23" w14:textId="77777777" w:rsidR="007715F1" w:rsidRPr="006B5F69" w:rsidRDefault="007715F1" w:rsidP="007715F1">
            <w:pPr>
              <w:spacing w:after="0" w:line="240" w:lineRule="auto"/>
              <w:jc w:val="center"/>
              <w:rPr>
                <w:rFonts w:ascii="Times New Roman" w:eastAsia="Times New Roman" w:hAnsi="Times New Roman" w:cs="Times New Roman"/>
                <w:sz w:val="18"/>
                <w:szCs w:val="20"/>
                <w:lang w:eastAsia="pt-BR"/>
              </w:rPr>
            </w:pPr>
          </w:p>
        </w:tc>
        <w:tc>
          <w:tcPr>
            <w:tcW w:w="1021" w:type="pct"/>
            <w:tcBorders>
              <w:top w:val="nil"/>
              <w:left w:val="nil"/>
              <w:bottom w:val="nil"/>
              <w:right w:val="nil"/>
            </w:tcBorders>
            <w:shd w:val="clear" w:color="auto" w:fill="auto"/>
            <w:noWrap/>
            <w:vAlign w:val="bottom"/>
            <w:hideMark/>
          </w:tcPr>
          <w:p w14:paraId="73ABB7BC" w14:textId="77777777" w:rsidR="007715F1" w:rsidRPr="006B5F69" w:rsidRDefault="007715F1"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   </w:t>
            </w:r>
          </w:p>
        </w:tc>
        <w:tc>
          <w:tcPr>
            <w:tcW w:w="103" w:type="pct"/>
            <w:tcBorders>
              <w:top w:val="nil"/>
              <w:left w:val="nil"/>
              <w:bottom w:val="nil"/>
              <w:right w:val="nil"/>
            </w:tcBorders>
            <w:shd w:val="clear" w:color="auto" w:fill="auto"/>
            <w:noWrap/>
            <w:vAlign w:val="bottom"/>
            <w:hideMark/>
          </w:tcPr>
          <w:p w14:paraId="1DB48C27" w14:textId="77777777" w:rsidR="007715F1" w:rsidRPr="006B5F69" w:rsidRDefault="007715F1" w:rsidP="00F7132F">
            <w:pPr>
              <w:spacing w:after="0" w:line="240" w:lineRule="auto"/>
              <w:jc w:val="right"/>
              <w:rPr>
                <w:rFonts w:ascii="Verdana" w:eastAsia="Times New Roman" w:hAnsi="Verdana" w:cs="Calibri"/>
                <w:sz w:val="18"/>
                <w:szCs w:val="20"/>
                <w:lang w:eastAsia="pt-BR"/>
              </w:rPr>
            </w:pPr>
          </w:p>
        </w:tc>
        <w:tc>
          <w:tcPr>
            <w:tcW w:w="1098" w:type="pct"/>
            <w:tcBorders>
              <w:top w:val="nil"/>
              <w:left w:val="nil"/>
              <w:bottom w:val="nil"/>
              <w:right w:val="nil"/>
            </w:tcBorders>
            <w:shd w:val="clear" w:color="auto" w:fill="auto"/>
            <w:noWrap/>
            <w:vAlign w:val="bottom"/>
            <w:hideMark/>
          </w:tcPr>
          <w:p w14:paraId="32717A87" w14:textId="77777777" w:rsidR="007715F1" w:rsidRPr="006B5F69" w:rsidRDefault="007715F1"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1.289 </w:t>
            </w:r>
          </w:p>
        </w:tc>
      </w:tr>
      <w:tr w:rsidR="007715F1" w:rsidRPr="006B5F69" w14:paraId="4C8299F0"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44CEFADF" w14:textId="77777777" w:rsidR="007715F1" w:rsidRPr="006B5F69" w:rsidRDefault="007715F1" w:rsidP="007715F1">
            <w:pPr>
              <w:spacing w:after="0" w:line="240" w:lineRule="auto"/>
              <w:jc w:val="center"/>
              <w:rPr>
                <w:rFonts w:ascii="Verdana" w:eastAsia="Times New Roman" w:hAnsi="Verdana" w:cs="Calibri"/>
                <w:sz w:val="18"/>
                <w:szCs w:val="20"/>
                <w:lang w:eastAsia="pt-BR"/>
              </w:rPr>
            </w:pPr>
          </w:p>
        </w:tc>
        <w:tc>
          <w:tcPr>
            <w:tcW w:w="103" w:type="pct"/>
            <w:tcBorders>
              <w:top w:val="nil"/>
              <w:left w:val="nil"/>
              <w:bottom w:val="nil"/>
              <w:right w:val="nil"/>
            </w:tcBorders>
            <w:shd w:val="clear" w:color="auto" w:fill="auto"/>
            <w:noWrap/>
            <w:vAlign w:val="center"/>
            <w:hideMark/>
          </w:tcPr>
          <w:p w14:paraId="537B1CEB" w14:textId="77777777" w:rsidR="007715F1" w:rsidRPr="006B5F69" w:rsidRDefault="007715F1" w:rsidP="007715F1">
            <w:pPr>
              <w:spacing w:after="0" w:line="240" w:lineRule="auto"/>
              <w:rPr>
                <w:rFonts w:ascii="Times New Roman" w:eastAsia="Times New Roman" w:hAnsi="Times New Roman" w:cs="Times New Roman"/>
                <w:sz w:val="18"/>
                <w:szCs w:val="20"/>
                <w:lang w:eastAsia="pt-BR"/>
              </w:rPr>
            </w:pPr>
          </w:p>
        </w:tc>
        <w:tc>
          <w:tcPr>
            <w:tcW w:w="521" w:type="pct"/>
            <w:tcBorders>
              <w:top w:val="nil"/>
              <w:left w:val="nil"/>
              <w:bottom w:val="nil"/>
              <w:right w:val="nil"/>
            </w:tcBorders>
            <w:shd w:val="clear" w:color="auto" w:fill="auto"/>
            <w:noWrap/>
            <w:vAlign w:val="center"/>
            <w:hideMark/>
          </w:tcPr>
          <w:p w14:paraId="35115065" w14:textId="77777777" w:rsidR="007715F1" w:rsidRPr="006B5F69" w:rsidRDefault="007715F1" w:rsidP="007715F1">
            <w:pPr>
              <w:spacing w:after="0" w:line="240" w:lineRule="auto"/>
              <w:jc w:val="center"/>
              <w:rPr>
                <w:rFonts w:ascii="Times New Roman" w:eastAsia="Times New Roman" w:hAnsi="Times New Roman" w:cs="Times New Roman"/>
                <w:sz w:val="18"/>
                <w:szCs w:val="20"/>
                <w:lang w:eastAsia="pt-BR"/>
              </w:rPr>
            </w:pPr>
          </w:p>
        </w:tc>
        <w:tc>
          <w:tcPr>
            <w:tcW w:w="71" w:type="pct"/>
            <w:tcBorders>
              <w:top w:val="nil"/>
              <w:left w:val="nil"/>
              <w:bottom w:val="nil"/>
              <w:right w:val="nil"/>
            </w:tcBorders>
            <w:shd w:val="clear" w:color="auto" w:fill="auto"/>
            <w:noWrap/>
            <w:vAlign w:val="center"/>
            <w:hideMark/>
          </w:tcPr>
          <w:p w14:paraId="7445F12E" w14:textId="77777777" w:rsidR="007715F1" w:rsidRPr="006B5F69" w:rsidRDefault="007715F1" w:rsidP="007715F1">
            <w:pPr>
              <w:spacing w:after="0" w:line="240" w:lineRule="auto"/>
              <w:jc w:val="center"/>
              <w:rPr>
                <w:rFonts w:ascii="Times New Roman" w:eastAsia="Times New Roman" w:hAnsi="Times New Roman" w:cs="Times New Roman"/>
                <w:sz w:val="18"/>
                <w:szCs w:val="20"/>
                <w:lang w:eastAsia="pt-BR"/>
              </w:rPr>
            </w:pPr>
          </w:p>
        </w:tc>
        <w:tc>
          <w:tcPr>
            <w:tcW w:w="1021" w:type="pct"/>
            <w:tcBorders>
              <w:top w:val="single" w:sz="4" w:space="0" w:color="auto"/>
              <w:left w:val="nil"/>
              <w:bottom w:val="nil"/>
              <w:right w:val="nil"/>
            </w:tcBorders>
            <w:shd w:val="clear" w:color="auto" w:fill="auto"/>
            <w:noWrap/>
            <w:vAlign w:val="bottom"/>
            <w:hideMark/>
          </w:tcPr>
          <w:p w14:paraId="3A425E48" w14:textId="77777777" w:rsidR="007715F1" w:rsidRPr="006B5F69" w:rsidRDefault="007715F1" w:rsidP="00F7132F">
            <w:pPr>
              <w:spacing w:after="0" w:line="240" w:lineRule="auto"/>
              <w:jc w:val="right"/>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xml:space="preserve">                 11.359 </w:t>
            </w:r>
          </w:p>
        </w:tc>
        <w:tc>
          <w:tcPr>
            <w:tcW w:w="103" w:type="pct"/>
            <w:tcBorders>
              <w:top w:val="nil"/>
              <w:left w:val="nil"/>
              <w:bottom w:val="nil"/>
              <w:right w:val="nil"/>
            </w:tcBorders>
            <w:shd w:val="clear" w:color="auto" w:fill="auto"/>
            <w:noWrap/>
            <w:vAlign w:val="center"/>
            <w:hideMark/>
          </w:tcPr>
          <w:p w14:paraId="1F27D1A4" w14:textId="77777777" w:rsidR="007715F1" w:rsidRPr="006B5F69" w:rsidRDefault="007715F1" w:rsidP="00F7132F">
            <w:pPr>
              <w:spacing w:after="0" w:line="240" w:lineRule="auto"/>
              <w:jc w:val="right"/>
              <w:rPr>
                <w:rFonts w:ascii="Verdana" w:eastAsia="Times New Roman" w:hAnsi="Verdana" w:cs="Calibri"/>
                <w:b/>
                <w:bCs/>
                <w:sz w:val="18"/>
                <w:szCs w:val="20"/>
                <w:lang w:eastAsia="pt-BR"/>
              </w:rPr>
            </w:pPr>
          </w:p>
        </w:tc>
        <w:tc>
          <w:tcPr>
            <w:tcW w:w="1098" w:type="pct"/>
            <w:tcBorders>
              <w:top w:val="single" w:sz="4" w:space="0" w:color="auto"/>
              <w:left w:val="nil"/>
              <w:bottom w:val="nil"/>
              <w:right w:val="nil"/>
            </w:tcBorders>
            <w:shd w:val="clear" w:color="auto" w:fill="auto"/>
            <w:noWrap/>
            <w:vAlign w:val="bottom"/>
            <w:hideMark/>
          </w:tcPr>
          <w:p w14:paraId="55A2401E" w14:textId="77777777" w:rsidR="007715F1" w:rsidRPr="006B5F69" w:rsidRDefault="007715F1" w:rsidP="00F7132F">
            <w:pPr>
              <w:spacing w:after="0" w:line="240" w:lineRule="auto"/>
              <w:jc w:val="right"/>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xml:space="preserve">          3.664.429 </w:t>
            </w:r>
          </w:p>
        </w:tc>
      </w:tr>
      <w:tr w:rsidR="007715F1" w:rsidRPr="006B5F69" w14:paraId="3F9287ED"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49585A43" w14:textId="77777777" w:rsidR="007715F1" w:rsidRPr="006B5F69" w:rsidRDefault="007715F1" w:rsidP="007715F1">
            <w:pPr>
              <w:spacing w:after="0" w:line="240" w:lineRule="auto"/>
              <w:jc w:val="center"/>
              <w:rPr>
                <w:rFonts w:ascii="Verdana" w:eastAsia="Times New Roman" w:hAnsi="Verdana" w:cs="Calibri"/>
                <w:b/>
                <w:bCs/>
                <w:sz w:val="18"/>
                <w:szCs w:val="20"/>
                <w:lang w:eastAsia="pt-BR"/>
              </w:rPr>
            </w:pPr>
          </w:p>
        </w:tc>
        <w:tc>
          <w:tcPr>
            <w:tcW w:w="103" w:type="pct"/>
            <w:tcBorders>
              <w:top w:val="nil"/>
              <w:left w:val="nil"/>
              <w:bottom w:val="nil"/>
              <w:right w:val="nil"/>
            </w:tcBorders>
            <w:shd w:val="clear" w:color="auto" w:fill="auto"/>
            <w:noWrap/>
            <w:vAlign w:val="center"/>
            <w:hideMark/>
          </w:tcPr>
          <w:p w14:paraId="5D8BA084" w14:textId="77777777" w:rsidR="007715F1" w:rsidRPr="006B5F69" w:rsidRDefault="007715F1" w:rsidP="007715F1">
            <w:pPr>
              <w:spacing w:after="0" w:line="240" w:lineRule="auto"/>
              <w:rPr>
                <w:rFonts w:ascii="Times New Roman" w:eastAsia="Times New Roman" w:hAnsi="Times New Roman" w:cs="Times New Roman"/>
                <w:sz w:val="18"/>
                <w:szCs w:val="20"/>
                <w:lang w:eastAsia="pt-BR"/>
              </w:rPr>
            </w:pPr>
          </w:p>
        </w:tc>
        <w:tc>
          <w:tcPr>
            <w:tcW w:w="521" w:type="pct"/>
            <w:tcBorders>
              <w:top w:val="nil"/>
              <w:left w:val="nil"/>
              <w:bottom w:val="nil"/>
              <w:right w:val="nil"/>
            </w:tcBorders>
            <w:shd w:val="clear" w:color="auto" w:fill="auto"/>
            <w:noWrap/>
            <w:vAlign w:val="center"/>
            <w:hideMark/>
          </w:tcPr>
          <w:p w14:paraId="5099E289" w14:textId="77777777" w:rsidR="007715F1" w:rsidRPr="006B5F69" w:rsidRDefault="007715F1" w:rsidP="007715F1">
            <w:pPr>
              <w:spacing w:after="0" w:line="240" w:lineRule="auto"/>
              <w:jc w:val="center"/>
              <w:rPr>
                <w:rFonts w:ascii="Times New Roman" w:eastAsia="Times New Roman" w:hAnsi="Times New Roman" w:cs="Times New Roman"/>
                <w:sz w:val="18"/>
                <w:szCs w:val="20"/>
                <w:lang w:eastAsia="pt-BR"/>
              </w:rPr>
            </w:pPr>
          </w:p>
        </w:tc>
        <w:tc>
          <w:tcPr>
            <w:tcW w:w="71" w:type="pct"/>
            <w:tcBorders>
              <w:top w:val="nil"/>
              <w:left w:val="nil"/>
              <w:bottom w:val="nil"/>
              <w:right w:val="nil"/>
            </w:tcBorders>
            <w:shd w:val="clear" w:color="auto" w:fill="auto"/>
            <w:noWrap/>
            <w:vAlign w:val="center"/>
            <w:hideMark/>
          </w:tcPr>
          <w:p w14:paraId="3A9481E7" w14:textId="77777777" w:rsidR="007715F1" w:rsidRPr="006B5F69" w:rsidRDefault="007715F1" w:rsidP="007715F1">
            <w:pPr>
              <w:spacing w:after="0" w:line="240" w:lineRule="auto"/>
              <w:jc w:val="center"/>
              <w:rPr>
                <w:rFonts w:ascii="Times New Roman" w:eastAsia="Times New Roman" w:hAnsi="Times New Roman" w:cs="Times New Roman"/>
                <w:sz w:val="18"/>
                <w:szCs w:val="20"/>
                <w:lang w:eastAsia="pt-BR"/>
              </w:rPr>
            </w:pPr>
          </w:p>
        </w:tc>
        <w:tc>
          <w:tcPr>
            <w:tcW w:w="1021" w:type="pct"/>
            <w:tcBorders>
              <w:top w:val="nil"/>
              <w:left w:val="nil"/>
              <w:bottom w:val="nil"/>
              <w:right w:val="nil"/>
            </w:tcBorders>
            <w:shd w:val="clear" w:color="auto" w:fill="auto"/>
            <w:noWrap/>
            <w:vAlign w:val="bottom"/>
            <w:hideMark/>
          </w:tcPr>
          <w:p w14:paraId="6E48567A" w14:textId="77777777" w:rsidR="007715F1" w:rsidRPr="006B5F69" w:rsidRDefault="007715F1" w:rsidP="00F7132F">
            <w:pPr>
              <w:spacing w:after="0" w:line="240" w:lineRule="auto"/>
              <w:jc w:val="right"/>
              <w:rPr>
                <w:rFonts w:ascii="Times New Roman" w:eastAsia="Times New Roman" w:hAnsi="Times New Roman" w:cs="Times New Roman"/>
                <w:sz w:val="18"/>
                <w:szCs w:val="20"/>
                <w:lang w:eastAsia="pt-BR"/>
              </w:rPr>
            </w:pPr>
          </w:p>
        </w:tc>
        <w:tc>
          <w:tcPr>
            <w:tcW w:w="103" w:type="pct"/>
            <w:tcBorders>
              <w:top w:val="nil"/>
              <w:left w:val="nil"/>
              <w:bottom w:val="nil"/>
              <w:right w:val="nil"/>
            </w:tcBorders>
            <w:shd w:val="clear" w:color="auto" w:fill="auto"/>
            <w:noWrap/>
            <w:vAlign w:val="bottom"/>
            <w:hideMark/>
          </w:tcPr>
          <w:p w14:paraId="682A852C" w14:textId="77777777" w:rsidR="007715F1" w:rsidRPr="006B5F69" w:rsidRDefault="007715F1" w:rsidP="00F7132F">
            <w:pPr>
              <w:spacing w:after="0" w:line="240" w:lineRule="auto"/>
              <w:jc w:val="right"/>
              <w:rPr>
                <w:rFonts w:ascii="Times New Roman" w:eastAsia="Times New Roman" w:hAnsi="Times New Roman" w:cs="Times New Roman"/>
                <w:sz w:val="18"/>
                <w:szCs w:val="20"/>
                <w:lang w:eastAsia="pt-BR"/>
              </w:rPr>
            </w:pPr>
          </w:p>
        </w:tc>
        <w:tc>
          <w:tcPr>
            <w:tcW w:w="1098" w:type="pct"/>
            <w:tcBorders>
              <w:top w:val="nil"/>
              <w:left w:val="nil"/>
              <w:bottom w:val="nil"/>
              <w:right w:val="nil"/>
            </w:tcBorders>
            <w:shd w:val="clear" w:color="auto" w:fill="auto"/>
            <w:noWrap/>
            <w:vAlign w:val="bottom"/>
            <w:hideMark/>
          </w:tcPr>
          <w:p w14:paraId="4243D6C1" w14:textId="77777777" w:rsidR="007715F1" w:rsidRPr="006B5F69" w:rsidRDefault="007715F1" w:rsidP="00F7132F">
            <w:pPr>
              <w:spacing w:after="0" w:line="240" w:lineRule="auto"/>
              <w:jc w:val="right"/>
              <w:rPr>
                <w:rFonts w:ascii="Times New Roman" w:eastAsia="Times New Roman" w:hAnsi="Times New Roman" w:cs="Times New Roman"/>
                <w:sz w:val="18"/>
                <w:szCs w:val="20"/>
                <w:lang w:eastAsia="pt-BR"/>
              </w:rPr>
            </w:pPr>
          </w:p>
        </w:tc>
      </w:tr>
      <w:tr w:rsidR="007715F1" w:rsidRPr="006B5F69" w14:paraId="1A4EE18D"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73755275" w14:textId="77777777" w:rsidR="007715F1" w:rsidRPr="006B5F69" w:rsidRDefault="007715F1" w:rsidP="007715F1">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INVESTIMENTOS</w:t>
            </w:r>
          </w:p>
        </w:tc>
        <w:tc>
          <w:tcPr>
            <w:tcW w:w="103" w:type="pct"/>
            <w:tcBorders>
              <w:top w:val="nil"/>
              <w:left w:val="nil"/>
              <w:bottom w:val="nil"/>
              <w:right w:val="nil"/>
            </w:tcBorders>
            <w:shd w:val="clear" w:color="auto" w:fill="auto"/>
            <w:noWrap/>
            <w:vAlign w:val="center"/>
            <w:hideMark/>
          </w:tcPr>
          <w:p w14:paraId="76E937A7" w14:textId="77777777" w:rsidR="007715F1" w:rsidRPr="006B5F69" w:rsidRDefault="007715F1" w:rsidP="007715F1">
            <w:pPr>
              <w:spacing w:after="0" w:line="240" w:lineRule="auto"/>
              <w:rPr>
                <w:rFonts w:ascii="Verdana" w:eastAsia="Times New Roman" w:hAnsi="Verdana" w:cs="Calibri"/>
                <w:sz w:val="18"/>
                <w:szCs w:val="20"/>
                <w:lang w:eastAsia="pt-BR"/>
              </w:rPr>
            </w:pPr>
          </w:p>
        </w:tc>
        <w:tc>
          <w:tcPr>
            <w:tcW w:w="521" w:type="pct"/>
            <w:tcBorders>
              <w:top w:val="nil"/>
              <w:left w:val="nil"/>
              <w:bottom w:val="nil"/>
              <w:right w:val="nil"/>
            </w:tcBorders>
            <w:shd w:val="clear" w:color="auto" w:fill="auto"/>
            <w:noWrap/>
            <w:vAlign w:val="center"/>
            <w:hideMark/>
          </w:tcPr>
          <w:p w14:paraId="6C090A43" w14:textId="77777777" w:rsidR="007715F1" w:rsidRPr="006B5F69" w:rsidRDefault="00581D1F" w:rsidP="007715F1">
            <w:pPr>
              <w:spacing w:after="0" w:line="240" w:lineRule="auto"/>
              <w:jc w:val="center"/>
              <w:rPr>
                <w:rFonts w:ascii="Verdana" w:eastAsia="Times New Roman" w:hAnsi="Verdana" w:cs="Calibri"/>
                <w:b/>
                <w:bCs/>
                <w:sz w:val="18"/>
                <w:szCs w:val="20"/>
                <w:lang w:eastAsia="pt-BR"/>
              </w:rPr>
            </w:pPr>
            <w:r>
              <w:rPr>
                <w:rFonts w:ascii="Verdana" w:eastAsia="Times New Roman" w:hAnsi="Verdana" w:cs="Calibri"/>
                <w:b/>
                <w:bCs/>
                <w:sz w:val="18"/>
                <w:szCs w:val="20"/>
                <w:lang w:eastAsia="pt-BR"/>
              </w:rPr>
              <w:t>11</w:t>
            </w:r>
            <w:r w:rsidR="007715F1" w:rsidRPr="006B5F69">
              <w:rPr>
                <w:rFonts w:ascii="Verdana" w:eastAsia="Times New Roman" w:hAnsi="Verdana" w:cs="Calibri"/>
                <w:b/>
                <w:bCs/>
                <w:sz w:val="18"/>
                <w:szCs w:val="20"/>
                <w:lang w:eastAsia="pt-BR"/>
              </w:rPr>
              <w:t xml:space="preserve"> </w:t>
            </w:r>
          </w:p>
        </w:tc>
        <w:tc>
          <w:tcPr>
            <w:tcW w:w="71" w:type="pct"/>
            <w:tcBorders>
              <w:top w:val="nil"/>
              <w:left w:val="nil"/>
              <w:bottom w:val="nil"/>
              <w:right w:val="nil"/>
            </w:tcBorders>
            <w:shd w:val="clear" w:color="auto" w:fill="auto"/>
            <w:noWrap/>
            <w:vAlign w:val="center"/>
            <w:hideMark/>
          </w:tcPr>
          <w:p w14:paraId="31DB8B46" w14:textId="77777777" w:rsidR="007715F1" w:rsidRPr="006B5F69" w:rsidRDefault="007715F1" w:rsidP="007715F1">
            <w:pPr>
              <w:spacing w:after="0" w:line="240" w:lineRule="auto"/>
              <w:jc w:val="center"/>
              <w:rPr>
                <w:rFonts w:ascii="Verdana" w:eastAsia="Times New Roman" w:hAnsi="Verdana" w:cs="Calibri"/>
                <w:b/>
                <w:bCs/>
                <w:sz w:val="18"/>
                <w:szCs w:val="20"/>
                <w:lang w:eastAsia="pt-BR"/>
              </w:rPr>
            </w:pPr>
          </w:p>
        </w:tc>
        <w:tc>
          <w:tcPr>
            <w:tcW w:w="1021" w:type="pct"/>
            <w:tcBorders>
              <w:top w:val="nil"/>
              <w:left w:val="nil"/>
              <w:bottom w:val="nil"/>
              <w:right w:val="nil"/>
            </w:tcBorders>
            <w:shd w:val="clear" w:color="auto" w:fill="auto"/>
            <w:noWrap/>
            <w:vAlign w:val="bottom"/>
            <w:hideMark/>
          </w:tcPr>
          <w:p w14:paraId="4E7ADBAA" w14:textId="77777777" w:rsidR="007715F1" w:rsidRPr="00983DF0" w:rsidRDefault="007715F1" w:rsidP="00F7132F">
            <w:pPr>
              <w:spacing w:after="0" w:line="240" w:lineRule="auto"/>
              <w:jc w:val="right"/>
              <w:rPr>
                <w:rFonts w:ascii="Verdana" w:eastAsia="Times New Roman" w:hAnsi="Verdana" w:cs="Calibri"/>
                <w:sz w:val="18"/>
                <w:szCs w:val="20"/>
                <w:lang w:eastAsia="pt-BR"/>
              </w:rPr>
            </w:pPr>
            <w:r w:rsidRPr="00983DF0">
              <w:rPr>
                <w:rFonts w:ascii="Verdana" w:eastAsia="Times New Roman" w:hAnsi="Verdana" w:cs="Calibri"/>
                <w:sz w:val="18"/>
                <w:szCs w:val="20"/>
                <w:lang w:eastAsia="pt-BR"/>
              </w:rPr>
              <w:t xml:space="preserve">          4.782.279 </w:t>
            </w:r>
          </w:p>
        </w:tc>
        <w:tc>
          <w:tcPr>
            <w:tcW w:w="103" w:type="pct"/>
            <w:tcBorders>
              <w:top w:val="nil"/>
              <w:left w:val="nil"/>
              <w:bottom w:val="nil"/>
              <w:right w:val="nil"/>
            </w:tcBorders>
            <w:shd w:val="clear" w:color="auto" w:fill="auto"/>
            <w:noWrap/>
            <w:vAlign w:val="bottom"/>
            <w:hideMark/>
          </w:tcPr>
          <w:p w14:paraId="5A49DD6D" w14:textId="77777777" w:rsidR="007715F1" w:rsidRPr="00983DF0" w:rsidRDefault="007715F1" w:rsidP="00F7132F">
            <w:pPr>
              <w:spacing w:after="0" w:line="240" w:lineRule="auto"/>
              <w:jc w:val="right"/>
              <w:rPr>
                <w:rFonts w:ascii="Verdana" w:eastAsia="Times New Roman" w:hAnsi="Verdana" w:cs="Calibri"/>
                <w:sz w:val="18"/>
                <w:szCs w:val="20"/>
                <w:lang w:eastAsia="pt-BR"/>
              </w:rPr>
            </w:pPr>
          </w:p>
        </w:tc>
        <w:tc>
          <w:tcPr>
            <w:tcW w:w="1098" w:type="pct"/>
            <w:tcBorders>
              <w:top w:val="nil"/>
              <w:left w:val="nil"/>
              <w:bottom w:val="nil"/>
              <w:right w:val="nil"/>
            </w:tcBorders>
            <w:shd w:val="clear" w:color="auto" w:fill="auto"/>
            <w:noWrap/>
            <w:vAlign w:val="bottom"/>
            <w:hideMark/>
          </w:tcPr>
          <w:p w14:paraId="5EC0822D" w14:textId="77777777" w:rsidR="007715F1" w:rsidRPr="006B5F69" w:rsidRDefault="007715F1"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1.290.036 </w:t>
            </w:r>
          </w:p>
        </w:tc>
      </w:tr>
      <w:tr w:rsidR="007715F1" w:rsidRPr="006B5F69" w14:paraId="4E4FE30F"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5F2F9299" w14:textId="77777777" w:rsidR="007715F1" w:rsidRPr="006B5F69" w:rsidRDefault="007715F1" w:rsidP="007715F1">
            <w:pPr>
              <w:spacing w:after="0" w:line="240" w:lineRule="auto"/>
              <w:jc w:val="center"/>
              <w:rPr>
                <w:rFonts w:ascii="Verdana" w:eastAsia="Times New Roman" w:hAnsi="Verdana" w:cs="Calibri"/>
                <w:sz w:val="18"/>
                <w:szCs w:val="20"/>
                <w:lang w:eastAsia="pt-BR"/>
              </w:rPr>
            </w:pPr>
          </w:p>
        </w:tc>
        <w:tc>
          <w:tcPr>
            <w:tcW w:w="103" w:type="pct"/>
            <w:tcBorders>
              <w:top w:val="nil"/>
              <w:left w:val="nil"/>
              <w:bottom w:val="nil"/>
              <w:right w:val="nil"/>
            </w:tcBorders>
            <w:shd w:val="clear" w:color="auto" w:fill="auto"/>
            <w:noWrap/>
            <w:vAlign w:val="center"/>
            <w:hideMark/>
          </w:tcPr>
          <w:p w14:paraId="3F17D026" w14:textId="77777777" w:rsidR="007715F1" w:rsidRPr="006B5F69" w:rsidRDefault="007715F1" w:rsidP="007715F1">
            <w:pPr>
              <w:spacing w:after="0" w:line="240" w:lineRule="auto"/>
              <w:rPr>
                <w:rFonts w:ascii="Times New Roman" w:eastAsia="Times New Roman" w:hAnsi="Times New Roman" w:cs="Times New Roman"/>
                <w:sz w:val="18"/>
                <w:szCs w:val="20"/>
                <w:lang w:eastAsia="pt-BR"/>
              </w:rPr>
            </w:pPr>
          </w:p>
        </w:tc>
        <w:tc>
          <w:tcPr>
            <w:tcW w:w="521" w:type="pct"/>
            <w:tcBorders>
              <w:top w:val="nil"/>
              <w:left w:val="nil"/>
              <w:bottom w:val="nil"/>
              <w:right w:val="nil"/>
            </w:tcBorders>
            <w:shd w:val="clear" w:color="auto" w:fill="auto"/>
            <w:noWrap/>
            <w:vAlign w:val="center"/>
            <w:hideMark/>
          </w:tcPr>
          <w:p w14:paraId="0F99101C" w14:textId="77777777" w:rsidR="007715F1" w:rsidRPr="006B5F69" w:rsidRDefault="007715F1" w:rsidP="007715F1">
            <w:pPr>
              <w:spacing w:after="0" w:line="240" w:lineRule="auto"/>
              <w:jc w:val="center"/>
              <w:rPr>
                <w:rFonts w:ascii="Times New Roman" w:eastAsia="Times New Roman" w:hAnsi="Times New Roman" w:cs="Times New Roman"/>
                <w:sz w:val="18"/>
                <w:szCs w:val="20"/>
                <w:lang w:eastAsia="pt-BR"/>
              </w:rPr>
            </w:pPr>
          </w:p>
        </w:tc>
        <w:tc>
          <w:tcPr>
            <w:tcW w:w="71" w:type="pct"/>
            <w:tcBorders>
              <w:top w:val="nil"/>
              <w:left w:val="nil"/>
              <w:bottom w:val="nil"/>
              <w:right w:val="nil"/>
            </w:tcBorders>
            <w:shd w:val="clear" w:color="auto" w:fill="auto"/>
            <w:noWrap/>
            <w:vAlign w:val="center"/>
            <w:hideMark/>
          </w:tcPr>
          <w:p w14:paraId="7E0BAE87" w14:textId="77777777" w:rsidR="007715F1" w:rsidRPr="006B5F69" w:rsidRDefault="007715F1" w:rsidP="007715F1">
            <w:pPr>
              <w:spacing w:after="0" w:line="240" w:lineRule="auto"/>
              <w:jc w:val="center"/>
              <w:rPr>
                <w:rFonts w:ascii="Times New Roman" w:eastAsia="Times New Roman" w:hAnsi="Times New Roman" w:cs="Times New Roman"/>
                <w:sz w:val="18"/>
                <w:szCs w:val="20"/>
                <w:lang w:eastAsia="pt-BR"/>
              </w:rPr>
            </w:pPr>
          </w:p>
        </w:tc>
        <w:tc>
          <w:tcPr>
            <w:tcW w:w="1021" w:type="pct"/>
            <w:tcBorders>
              <w:top w:val="nil"/>
              <w:left w:val="nil"/>
              <w:bottom w:val="nil"/>
              <w:right w:val="nil"/>
            </w:tcBorders>
            <w:shd w:val="clear" w:color="auto" w:fill="auto"/>
            <w:noWrap/>
            <w:vAlign w:val="bottom"/>
            <w:hideMark/>
          </w:tcPr>
          <w:p w14:paraId="21335F44" w14:textId="77777777" w:rsidR="007715F1" w:rsidRPr="00983DF0" w:rsidRDefault="007715F1" w:rsidP="00F7132F">
            <w:pPr>
              <w:spacing w:after="0" w:line="240" w:lineRule="auto"/>
              <w:jc w:val="right"/>
              <w:rPr>
                <w:rFonts w:ascii="Times New Roman" w:eastAsia="Times New Roman" w:hAnsi="Times New Roman" w:cs="Times New Roman"/>
                <w:sz w:val="18"/>
                <w:szCs w:val="20"/>
                <w:lang w:eastAsia="pt-BR"/>
              </w:rPr>
            </w:pPr>
          </w:p>
        </w:tc>
        <w:tc>
          <w:tcPr>
            <w:tcW w:w="103" w:type="pct"/>
            <w:tcBorders>
              <w:top w:val="nil"/>
              <w:left w:val="nil"/>
              <w:bottom w:val="nil"/>
              <w:right w:val="nil"/>
            </w:tcBorders>
            <w:shd w:val="clear" w:color="auto" w:fill="auto"/>
            <w:noWrap/>
            <w:vAlign w:val="bottom"/>
            <w:hideMark/>
          </w:tcPr>
          <w:p w14:paraId="4ADA6EAC" w14:textId="77777777" w:rsidR="007715F1" w:rsidRPr="00983DF0" w:rsidRDefault="007715F1" w:rsidP="00F7132F">
            <w:pPr>
              <w:spacing w:after="0" w:line="240" w:lineRule="auto"/>
              <w:jc w:val="right"/>
              <w:rPr>
                <w:rFonts w:ascii="Times New Roman" w:eastAsia="Times New Roman" w:hAnsi="Times New Roman" w:cs="Times New Roman"/>
                <w:sz w:val="18"/>
                <w:szCs w:val="20"/>
                <w:lang w:eastAsia="pt-BR"/>
              </w:rPr>
            </w:pPr>
          </w:p>
        </w:tc>
        <w:tc>
          <w:tcPr>
            <w:tcW w:w="1098" w:type="pct"/>
            <w:tcBorders>
              <w:top w:val="nil"/>
              <w:left w:val="nil"/>
              <w:bottom w:val="nil"/>
              <w:right w:val="nil"/>
            </w:tcBorders>
            <w:shd w:val="clear" w:color="auto" w:fill="auto"/>
            <w:noWrap/>
            <w:vAlign w:val="bottom"/>
            <w:hideMark/>
          </w:tcPr>
          <w:p w14:paraId="38D49473" w14:textId="77777777" w:rsidR="007715F1" w:rsidRPr="006B5F69" w:rsidRDefault="007715F1" w:rsidP="00F7132F">
            <w:pPr>
              <w:spacing w:after="0" w:line="240" w:lineRule="auto"/>
              <w:jc w:val="right"/>
              <w:rPr>
                <w:rFonts w:ascii="Times New Roman" w:eastAsia="Times New Roman" w:hAnsi="Times New Roman" w:cs="Times New Roman"/>
                <w:sz w:val="18"/>
                <w:szCs w:val="20"/>
                <w:lang w:eastAsia="pt-BR"/>
              </w:rPr>
            </w:pPr>
          </w:p>
        </w:tc>
      </w:tr>
      <w:tr w:rsidR="007715F1" w:rsidRPr="006B5F69" w14:paraId="62C8BA0E"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69C683C6" w14:textId="77777777" w:rsidR="007715F1" w:rsidRPr="006B5F69" w:rsidRDefault="007715F1" w:rsidP="007715F1">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IMOBILIZADO</w:t>
            </w:r>
          </w:p>
        </w:tc>
        <w:tc>
          <w:tcPr>
            <w:tcW w:w="103" w:type="pct"/>
            <w:tcBorders>
              <w:top w:val="nil"/>
              <w:left w:val="nil"/>
              <w:bottom w:val="nil"/>
              <w:right w:val="nil"/>
            </w:tcBorders>
            <w:shd w:val="clear" w:color="auto" w:fill="auto"/>
            <w:noWrap/>
            <w:vAlign w:val="center"/>
            <w:hideMark/>
          </w:tcPr>
          <w:p w14:paraId="7FBA2E26" w14:textId="77777777" w:rsidR="007715F1" w:rsidRPr="006B5F69" w:rsidRDefault="007715F1" w:rsidP="007715F1">
            <w:pPr>
              <w:spacing w:after="0" w:line="240" w:lineRule="auto"/>
              <w:rPr>
                <w:rFonts w:ascii="Verdana" w:eastAsia="Times New Roman" w:hAnsi="Verdana" w:cs="Calibri"/>
                <w:sz w:val="18"/>
                <w:szCs w:val="20"/>
                <w:lang w:eastAsia="pt-BR"/>
              </w:rPr>
            </w:pPr>
          </w:p>
        </w:tc>
        <w:tc>
          <w:tcPr>
            <w:tcW w:w="521" w:type="pct"/>
            <w:tcBorders>
              <w:top w:val="nil"/>
              <w:left w:val="nil"/>
              <w:bottom w:val="nil"/>
              <w:right w:val="nil"/>
            </w:tcBorders>
            <w:shd w:val="clear" w:color="auto" w:fill="auto"/>
            <w:noWrap/>
            <w:vAlign w:val="center"/>
            <w:hideMark/>
          </w:tcPr>
          <w:p w14:paraId="2489653D" w14:textId="77777777" w:rsidR="007715F1" w:rsidRPr="006B5F69" w:rsidRDefault="00581D1F" w:rsidP="007715F1">
            <w:pPr>
              <w:spacing w:after="0" w:line="240" w:lineRule="auto"/>
              <w:jc w:val="center"/>
              <w:rPr>
                <w:rFonts w:ascii="Verdana" w:eastAsia="Times New Roman" w:hAnsi="Verdana" w:cs="Calibri"/>
                <w:b/>
                <w:bCs/>
                <w:sz w:val="18"/>
                <w:szCs w:val="20"/>
                <w:lang w:eastAsia="pt-BR"/>
              </w:rPr>
            </w:pPr>
            <w:r>
              <w:rPr>
                <w:rFonts w:ascii="Verdana" w:eastAsia="Times New Roman" w:hAnsi="Verdana" w:cs="Calibri"/>
                <w:b/>
                <w:bCs/>
                <w:sz w:val="18"/>
                <w:szCs w:val="20"/>
                <w:lang w:eastAsia="pt-BR"/>
              </w:rPr>
              <w:t>12</w:t>
            </w:r>
            <w:r w:rsidR="007715F1" w:rsidRPr="006B5F69">
              <w:rPr>
                <w:rFonts w:ascii="Verdana" w:eastAsia="Times New Roman" w:hAnsi="Verdana" w:cs="Calibri"/>
                <w:b/>
                <w:bCs/>
                <w:sz w:val="18"/>
                <w:szCs w:val="20"/>
                <w:lang w:eastAsia="pt-BR"/>
              </w:rPr>
              <w:t xml:space="preserve"> </w:t>
            </w:r>
          </w:p>
        </w:tc>
        <w:tc>
          <w:tcPr>
            <w:tcW w:w="71" w:type="pct"/>
            <w:tcBorders>
              <w:top w:val="nil"/>
              <w:left w:val="nil"/>
              <w:bottom w:val="nil"/>
              <w:right w:val="nil"/>
            </w:tcBorders>
            <w:shd w:val="clear" w:color="auto" w:fill="auto"/>
            <w:noWrap/>
            <w:vAlign w:val="center"/>
            <w:hideMark/>
          </w:tcPr>
          <w:p w14:paraId="45FD8B55" w14:textId="77777777" w:rsidR="007715F1" w:rsidRPr="006B5F69" w:rsidRDefault="007715F1" w:rsidP="007715F1">
            <w:pPr>
              <w:spacing w:after="0" w:line="240" w:lineRule="auto"/>
              <w:jc w:val="center"/>
              <w:rPr>
                <w:rFonts w:ascii="Verdana" w:eastAsia="Times New Roman" w:hAnsi="Verdana" w:cs="Calibri"/>
                <w:b/>
                <w:bCs/>
                <w:sz w:val="18"/>
                <w:szCs w:val="20"/>
                <w:lang w:eastAsia="pt-BR"/>
              </w:rPr>
            </w:pPr>
          </w:p>
        </w:tc>
        <w:tc>
          <w:tcPr>
            <w:tcW w:w="1021" w:type="pct"/>
            <w:tcBorders>
              <w:top w:val="nil"/>
              <w:left w:val="nil"/>
              <w:bottom w:val="nil"/>
              <w:right w:val="nil"/>
            </w:tcBorders>
            <w:shd w:val="clear" w:color="auto" w:fill="auto"/>
            <w:noWrap/>
            <w:vAlign w:val="bottom"/>
            <w:hideMark/>
          </w:tcPr>
          <w:p w14:paraId="2AD7223C" w14:textId="77777777" w:rsidR="007715F1" w:rsidRPr="00983DF0" w:rsidRDefault="007715F1" w:rsidP="00F7132F">
            <w:pPr>
              <w:spacing w:after="0" w:line="240" w:lineRule="auto"/>
              <w:jc w:val="right"/>
              <w:rPr>
                <w:rFonts w:ascii="Verdana" w:eastAsia="Times New Roman" w:hAnsi="Verdana" w:cs="Calibri"/>
                <w:sz w:val="18"/>
                <w:szCs w:val="20"/>
                <w:lang w:eastAsia="pt-BR"/>
              </w:rPr>
            </w:pPr>
            <w:r w:rsidRPr="00983DF0">
              <w:rPr>
                <w:rFonts w:ascii="Verdana" w:eastAsia="Times New Roman" w:hAnsi="Verdana" w:cs="Calibri"/>
                <w:sz w:val="18"/>
                <w:szCs w:val="20"/>
                <w:lang w:eastAsia="pt-BR"/>
              </w:rPr>
              <w:t xml:space="preserve">                8.508 </w:t>
            </w:r>
          </w:p>
        </w:tc>
        <w:tc>
          <w:tcPr>
            <w:tcW w:w="103" w:type="pct"/>
            <w:tcBorders>
              <w:top w:val="nil"/>
              <w:left w:val="nil"/>
              <w:bottom w:val="nil"/>
              <w:right w:val="nil"/>
            </w:tcBorders>
            <w:shd w:val="clear" w:color="auto" w:fill="auto"/>
            <w:noWrap/>
            <w:vAlign w:val="bottom"/>
            <w:hideMark/>
          </w:tcPr>
          <w:p w14:paraId="1A490FEC" w14:textId="77777777" w:rsidR="007715F1" w:rsidRPr="00983DF0" w:rsidRDefault="007715F1" w:rsidP="00F7132F">
            <w:pPr>
              <w:spacing w:after="0" w:line="240" w:lineRule="auto"/>
              <w:jc w:val="right"/>
              <w:rPr>
                <w:rFonts w:ascii="Verdana" w:eastAsia="Times New Roman" w:hAnsi="Verdana" w:cs="Calibri"/>
                <w:sz w:val="18"/>
                <w:szCs w:val="20"/>
                <w:lang w:eastAsia="pt-BR"/>
              </w:rPr>
            </w:pPr>
          </w:p>
        </w:tc>
        <w:tc>
          <w:tcPr>
            <w:tcW w:w="1098" w:type="pct"/>
            <w:tcBorders>
              <w:top w:val="nil"/>
              <w:left w:val="nil"/>
              <w:bottom w:val="nil"/>
              <w:right w:val="nil"/>
            </w:tcBorders>
            <w:shd w:val="clear" w:color="auto" w:fill="auto"/>
            <w:noWrap/>
            <w:vAlign w:val="bottom"/>
            <w:hideMark/>
          </w:tcPr>
          <w:p w14:paraId="7FF48614" w14:textId="77777777" w:rsidR="007715F1" w:rsidRPr="006B5F69" w:rsidRDefault="007715F1"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13.956.157 </w:t>
            </w:r>
          </w:p>
        </w:tc>
      </w:tr>
      <w:tr w:rsidR="007715F1" w:rsidRPr="006B5F69" w14:paraId="7F5B97D9"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4996909D" w14:textId="77777777" w:rsidR="007715F1" w:rsidRPr="006B5F69" w:rsidRDefault="007715F1" w:rsidP="007715F1">
            <w:pPr>
              <w:spacing w:after="0" w:line="240" w:lineRule="auto"/>
              <w:jc w:val="center"/>
              <w:rPr>
                <w:rFonts w:ascii="Verdana" w:eastAsia="Times New Roman" w:hAnsi="Verdana" w:cs="Calibri"/>
                <w:sz w:val="18"/>
                <w:szCs w:val="20"/>
                <w:lang w:eastAsia="pt-BR"/>
              </w:rPr>
            </w:pPr>
          </w:p>
        </w:tc>
        <w:tc>
          <w:tcPr>
            <w:tcW w:w="103" w:type="pct"/>
            <w:tcBorders>
              <w:top w:val="nil"/>
              <w:left w:val="nil"/>
              <w:bottom w:val="nil"/>
              <w:right w:val="nil"/>
            </w:tcBorders>
            <w:shd w:val="clear" w:color="auto" w:fill="auto"/>
            <w:noWrap/>
            <w:vAlign w:val="center"/>
            <w:hideMark/>
          </w:tcPr>
          <w:p w14:paraId="3036B599" w14:textId="77777777" w:rsidR="007715F1" w:rsidRPr="006B5F69" w:rsidRDefault="007715F1" w:rsidP="007715F1">
            <w:pPr>
              <w:spacing w:after="0" w:line="240" w:lineRule="auto"/>
              <w:rPr>
                <w:rFonts w:ascii="Times New Roman" w:eastAsia="Times New Roman" w:hAnsi="Times New Roman" w:cs="Times New Roman"/>
                <w:sz w:val="18"/>
                <w:szCs w:val="20"/>
                <w:lang w:eastAsia="pt-BR"/>
              </w:rPr>
            </w:pPr>
          </w:p>
        </w:tc>
        <w:tc>
          <w:tcPr>
            <w:tcW w:w="521" w:type="pct"/>
            <w:tcBorders>
              <w:top w:val="nil"/>
              <w:left w:val="nil"/>
              <w:bottom w:val="nil"/>
              <w:right w:val="nil"/>
            </w:tcBorders>
            <w:shd w:val="clear" w:color="auto" w:fill="auto"/>
            <w:noWrap/>
            <w:vAlign w:val="center"/>
            <w:hideMark/>
          </w:tcPr>
          <w:p w14:paraId="3DE16AE6" w14:textId="77777777" w:rsidR="007715F1" w:rsidRPr="006B5F69" w:rsidRDefault="007715F1" w:rsidP="007715F1">
            <w:pPr>
              <w:spacing w:after="0" w:line="240" w:lineRule="auto"/>
              <w:jc w:val="center"/>
              <w:rPr>
                <w:rFonts w:ascii="Times New Roman" w:eastAsia="Times New Roman" w:hAnsi="Times New Roman" w:cs="Times New Roman"/>
                <w:sz w:val="18"/>
                <w:szCs w:val="20"/>
                <w:lang w:eastAsia="pt-BR"/>
              </w:rPr>
            </w:pPr>
          </w:p>
        </w:tc>
        <w:tc>
          <w:tcPr>
            <w:tcW w:w="71" w:type="pct"/>
            <w:tcBorders>
              <w:top w:val="nil"/>
              <w:left w:val="nil"/>
              <w:bottom w:val="nil"/>
              <w:right w:val="nil"/>
            </w:tcBorders>
            <w:shd w:val="clear" w:color="auto" w:fill="auto"/>
            <w:noWrap/>
            <w:vAlign w:val="center"/>
            <w:hideMark/>
          </w:tcPr>
          <w:p w14:paraId="0BCEDBDD" w14:textId="77777777" w:rsidR="007715F1" w:rsidRPr="006B5F69" w:rsidRDefault="007715F1" w:rsidP="007715F1">
            <w:pPr>
              <w:spacing w:after="0" w:line="240" w:lineRule="auto"/>
              <w:jc w:val="center"/>
              <w:rPr>
                <w:rFonts w:ascii="Times New Roman" w:eastAsia="Times New Roman" w:hAnsi="Times New Roman" w:cs="Times New Roman"/>
                <w:sz w:val="18"/>
                <w:szCs w:val="20"/>
                <w:lang w:eastAsia="pt-BR"/>
              </w:rPr>
            </w:pPr>
          </w:p>
        </w:tc>
        <w:tc>
          <w:tcPr>
            <w:tcW w:w="1021" w:type="pct"/>
            <w:tcBorders>
              <w:top w:val="nil"/>
              <w:left w:val="nil"/>
              <w:bottom w:val="nil"/>
              <w:right w:val="nil"/>
            </w:tcBorders>
            <w:shd w:val="clear" w:color="auto" w:fill="auto"/>
            <w:noWrap/>
            <w:vAlign w:val="bottom"/>
            <w:hideMark/>
          </w:tcPr>
          <w:p w14:paraId="19D56CC1" w14:textId="77777777" w:rsidR="007715F1" w:rsidRPr="006B5F69" w:rsidRDefault="007715F1" w:rsidP="00F7132F">
            <w:pPr>
              <w:spacing w:after="0" w:line="240" w:lineRule="auto"/>
              <w:jc w:val="right"/>
              <w:rPr>
                <w:rFonts w:ascii="Times New Roman" w:eastAsia="Times New Roman" w:hAnsi="Times New Roman" w:cs="Times New Roman"/>
                <w:sz w:val="18"/>
                <w:szCs w:val="20"/>
                <w:lang w:eastAsia="pt-BR"/>
              </w:rPr>
            </w:pPr>
          </w:p>
        </w:tc>
        <w:tc>
          <w:tcPr>
            <w:tcW w:w="103" w:type="pct"/>
            <w:tcBorders>
              <w:top w:val="nil"/>
              <w:left w:val="nil"/>
              <w:bottom w:val="nil"/>
              <w:right w:val="nil"/>
            </w:tcBorders>
            <w:shd w:val="clear" w:color="auto" w:fill="auto"/>
            <w:noWrap/>
            <w:vAlign w:val="bottom"/>
            <w:hideMark/>
          </w:tcPr>
          <w:p w14:paraId="2BB9D5D2" w14:textId="77777777" w:rsidR="007715F1" w:rsidRPr="006B5F69" w:rsidRDefault="007715F1" w:rsidP="00F7132F">
            <w:pPr>
              <w:spacing w:after="0" w:line="240" w:lineRule="auto"/>
              <w:jc w:val="right"/>
              <w:rPr>
                <w:rFonts w:ascii="Times New Roman" w:eastAsia="Times New Roman" w:hAnsi="Times New Roman" w:cs="Times New Roman"/>
                <w:sz w:val="18"/>
                <w:szCs w:val="20"/>
                <w:lang w:eastAsia="pt-BR"/>
              </w:rPr>
            </w:pPr>
          </w:p>
        </w:tc>
        <w:tc>
          <w:tcPr>
            <w:tcW w:w="1098" w:type="pct"/>
            <w:tcBorders>
              <w:top w:val="nil"/>
              <w:left w:val="nil"/>
              <w:bottom w:val="nil"/>
              <w:right w:val="nil"/>
            </w:tcBorders>
            <w:shd w:val="clear" w:color="auto" w:fill="auto"/>
            <w:noWrap/>
            <w:vAlign w:val="bottom"/>
            <w:hideMark/>
          </w:tcPr>
          <w:p w14:paraId="134CAB7D" w14:textId="77777777" w:rsidR="007715F1" w:rsidRPr="006B5F69" w:rsidRDefault="007715F1" w:rsidP="00F7132F">
            <w:pPr>
              <w:spacing w:after="0" w:line="240" w:lineRule="auto"/>
              <w:jc w:val="right"/>
              <w:rPr>
                <w:rFonts w:ascii="Times New Roman" w:eastAsia="Times New Roman" w:hAnsi="Times New Roman" w:cs="Times New Roman"/>
                <w:sz w:val="18"/>
                <w:szCs w:val="20"/>
                <w:lang w:eastAsia="pt-BR"/>
              </w:rPr>
            </w:pPr>
          </w:p>
        </w:tc>
      </w:tr>
      <w:tr w:rsidR="007715F1" w:rsidRPr="006B5F69" w14:paraId="77841C9B"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77DD5DEF" w14:textId="77777777" w:rsidR="007715F1" w:rsidRPr="006B5F69" w:rsidRDefault="007715F1" w:rsidP="007715F1">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INTANGÍVEL</w:t>
            </w:r>
          </w:p>
        </w:tc>
        <w:tc>
          <w:tcPr>
            <w:tcW w:w="103" w:type="pct"/>
            <w:tcBorders>
              <w:top w:val="nil"/>
              <w:left w:val="nil"/>
              <w:bottom w:val="nil"/>
              <w:right w:val="nil"/>
            </w:tcBorders>
            <w:shd w:val="clear" w:color="auto" w:fill="auto"/>
            <w:noWrap/>
            <w:vAlign w:val="center"/>
            <w:hideMark/>
          </w:tcPr>
          <w:p w14:paraId="02698EA4" w14:textId="77777777" w:rsidR="007715F1" w:rsidRPr="006B5F69" w:rsidRDefault="007715F1" w:rsidP="007715F1">
            <w:pPr>
              <w:spacing w:after="0" w:line="240" w:lineRule="auto"/>
              <w:rPr>
                <w:rFonts w:ascii="Verdana" w:eastAsia="Times New Roman" w:hAnsi="Verdana" w:cs="Calibri"/>
                <w:sz w:val="18"/>
                <w:szCs w:val="20"/>
                <w:lang w:eastAsia="pt-BR"/>
              </w:rPr>
            </w:pPr>
          </w:p>
        </w:tc>
        <w:tc>
          <w:tcPr>
            <w:tcW w:w="521" w:type="pct"/>
            <w:tcBorders>
              <w:top w:val="nil"/>
              <w:left w:val="nil"/>
              <w:bottom w:val="nil"/>
              <w:right w:val="nil"/>
            </w:tcBorders>
            <w:shd w:val="clear" w:color="auto" w:fill="auto"/>
            <w:noWrap/>
            <w:vAlign w:val="center"/>
            <w:hideMark/>
          </w:tcPr>
          <w:p w14:paraId="2691E3F3" w14:textId="77777777" w:rsidR="007715F1" w:rsidRPr="006B5F69" w:rsidRDefault="00581D1F" w:rsidP="007715F1">
            <w:pPr>
              <w:spacing w:after="0" w:line="240" w:lineRule="auto"/>
              <w:jc w:val="center"/>
              <w:rPr>
                <w:rFonts w:ascii="Verdana" w:eastAsia="Times New Roman" w:hAnsi="Verdana" w:cs="Calibri"/>
                <w:b/>
                <w:bCs/>
                <w:sz w:val="18"/>
                <w:szCs w:val="20"/>
                <w:lang w:eastAsia="pt-BR"/>
              </w:rPr>
            </w:pPr>
            <w:r>
              <w:rPr>
                <w:rFonts w:ascii="Verdana" w:eastAsia="Times New Roman" w:hAnsi="Verdana" w:cs="Calibri"/>
                <w:b/>
                <w:bCs/>
                <w:sz w:val="18"/>
                <w:szCs w:val="20"/>
                <w:lang w:eastAsia="pt-BR"/>
              </w:rPr>
              <w:t>13</w:t>
            </w:r>
            <w:r w:rsidR="007715F1" w:rsidRPr="006B5F69">
              <w:rPr>
                <w:rFonts w:ascii="Verdana" w:eastAsia="Times New Roman" w:hAnsi="Verdana" w:cs="Calibri"/>
                <w:b/>
                <w:bCs/>
                <w:sz w:val="18"/>
                <w:szCs w:val="20"/>
                <w:lang w:eastAsia="pt-BR"/>
              </w:rPr>
              <w:t xml:space="preserve"> </w:t>
            </w:r>
          </w:p>
        </w:tc>
        <w:tc>
          <w:tcPr>
            <w:tcW w:w="71" w:type="pct"/>
            <w:tcBorders>
              <w:top w:val="nil"/>
              <w:left w:val="nil"/>
              <w:bottom w:val="nil"/>
              <w:right w:val="nil"/>
            </w:tcBorders>
            <w:shd w:val="clear" w:color="auto" w:fill="auto"/>
            <w:noWrap/>
            <w:vAlign w:val="center"/>
            <w:hideMark/>
          </w:tcPr>
          <w:p w14:paraId="45E2A7DD" w14:textId="77777777" w:rsidR="007715F1" w:rsidRPr="006B5F69" w:rsidRDefault="007715F1" w:rsidP="007715F1">
            <w:pPr>
              <w:spacing w:after="0" w:line="240" w:lineRule="auto"/>
              <w:jc w:val="center"/>
              <w:rPr>
                <w:rFonts w:ascii="Verdana" w:eastAsia="Times New Roman" w:hAnsi="Verdana" w:cs="Calibri"/>
                <w:b/>
                <w:bCs/>
                <w:sz w:val="18"/>
                <w:szCs w:val="20"/>
                <w:lang w:eastAsia="pt-BR"/>
              </w:rPr>
            </w:pPr>
          </w:p>
        </w:tc>
        <w:tc>
          <w:tcPr>
            <w:tcW w:w="1021" w:type="pct"/>
            <w:tcBorders>
              <w:top w:val="nil"/>
              <w:left w:val="nil"/>
              <w:bottom w:val="nil"/>
              <w:right w:val="nil"/>
            </w:tcBorders>
            <w:shd w:val="clear" w:color="auto" w:fill="auto"/>
            <w:noWrap/>
            <w:vAlign w:val="bottom"/>
            <w:hideMark/>
          </w:tcPr>
          <w:p w14:paraId="234E97D0" w14:textId="77777777" w:rsidR="007715F1" w:rsidRPr="006B5F69" w:rsidRDefault="007715F1"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   </w:t>
            </w:r>
          </w:p>
        </w:tc>
        <w:tc>
          <w:tcPr>
            <w:tcW w:w="103" w:type="pct"/>
            <w:tcBorders>
              <w:top w:val="nil"/>
              <w:left w:val="nil"/>
              <w:bottom w:val="nil"/>
              <w:right w:val="nil"/>
            </w:tcBorders>
            <w:shd w:val="clear" w:color="auto" w:fill="auto"/>
            <w:noWrap/>
            <w:vAlign w:val="bottom"/>
            <w:hideMark/>
          </w:tcPr>
          <w:p w14:paraId="1922C7D4" w14:textId="77777777" w:rsidR="007715F1" w:rsidRPr="006B5F69" w:rsidRDefault="007715F1" w:rsidP="00F7132F">
            <w:pPr>
              <w:spacing w:after="0" w:line="240" w:lineRule="auto"/>
              <w:jc w:val="right"/>
              <w:rPr>
                <w:rFonts w:ascii="Verdana" w:eastAsia="Times New Roman" w:hAnsi="Verdana" w:cs="Calibri"/>
                <w:sz w:val="18"/>
                <w:szCs w:val="20"/>
                <w:lang w:eastAsia="pt-BR"/>
              </w:rPr>
            </w:pPr>
          </w:p>
        </w:tc>
        <w:tc>
          <w:tcPr>
            <w:tcW w:w="1098" w:type="pct"/>
            <w:tcBorders>
              <w:top w:val="nil"/>
              <w:left w:val="nil"/>
              <w:bottom w:val="nil"/>
              <w:right w:val="nil"/>
            </w:tcBorders>
            <w:shd w:val="clear" w:color="auto" w:fill="auto"/>
            <w:noWrap/>
            <w:vAlign w:val="bottom"/>
            <w:hideMark/>
          </w:tcPr>
          <w:p w14:paraId="6658CB82" w14:textId="77777777" w:rsidR="007715F1" w:rsidRPr="006B5F69" w:rsidRDefault="007715F1"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471.194 </w:t>
            </w:r>
          </w:p>
        </w:tc>
      </w:tr>
      <w:tr w:rsidR="007715F1" w:rsidRPr="006B5F69" w14:paraId="6B511037"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224A531B" w14:textId="77777777" w:rsidR="007715F1" w:rsidRPr="006B5F69" w:rsidRDefault="007715F1" w:rsidP="007715F1">
            <w:pPr>
              <w:spacing w:after="0" w:line="240" w:lineRule="auto"/>
              <w:jc w:val="center"/>
              <w:rPr>
                <w:rFonts w:ascii="Verdana" w:eastAsia="Times New Roman" w:hAnsi="Verdana" w:cs="Calibri"/>
                <w:sz w:val="18"/>
                <w:szCs w:val="20"/>
                <w:lang w:eastAsia="pt-BR"/>
              </w:rPr>
            </w:pPr>
          </w:p>
        </w:tc>
        <w:tc>
          <w:tcPr>
            <w:tcW w:w="103" w:type="pct"/>
            <w:tcBorders>
              <w:top w:val="nil"/>
              <w:left w:val="nil"/>
              <w:bottom w:val="nil"/>
              <w:right w:val="nil"/>
            </w:tcBorders>
            <w:shd w:val="clear" w:color="auto" w:fill="auto"/>
            <w:noWrap/>
            <w:vAlign w:val="center"/>
            <w:hideMark/>
          </w:tcPr>
          <w:p w14:paraId="186302C3" w14:textId="77777777" w:rsidR="007715F1" w:rsidRPr="006B5F69" w:rsidRDefault="007715F1" w:rsidP="007715F1">
            <w:pPr>
              <w:spacing w:after="0" w:line="240" w:lineRule="auto"/>
              <w:rPr>
                <w:rFonts w:ascii="Times New Roman" w:eastAsia="Times New Roman" w:hAnsi="Times New Roman" w:cs="Times New Roman"/>
                <w:sz w:val="18"/>
                <w:szCs w:val="20"/>
                <w:lang w:eastAsia="pt-BR"/>
              </w:rPr>
            </w:pPr>
          </w:p>
        </w:tc>
        <w:tc>
          <w:tcPr>
            <w:tcW w:w="521" w:type="pct"/>
            <w:tcBorders>
              <w:top w:val="nil"/>
              <w:left w:val="nil"/>
              <w:bottom w:val="nil"/>
              <w:right w:val="nil"/>
            </w:tcBorders>
            <w:shd w:val="clear" w:color="auto" w:fill="auto"/>
            <w:noWrap/>
            <w:vAlign w:val="center"/>
            <w:hideMark/>
          </w:tcPr>
          <w:p w14:paraId="296D9F0D" w14:textId="77777777" w:rsidR="007715F1" w:rsidRPr="006B5F69" w:rsidRDefault="007715F1" w:rsidP="007715F1">
            <w:pPr>
              <w:spacing w:after="0" w:line="240" w:lineRule="auto"/>
              <w:jc w:val="center"/>
              <w:rPr>
                <w:rFonts w:ascii="Times New Roman" w:eastAsia="Times New Roman" w:hAnsi="Times New Roman" w:cs="Times New Roman"/>
                <w:sz w:val="18"/>
                <w:szCs w:val="20"/>
                <w:lang w:eastAsia="pt-BR"/>
              </w:rPr>
            </w:pPr>
          </w:p>
        </w:tc>
        <w:tc>
          <w:tcPr>
            <w:tcW w:w="71" w:type="pct"/>
            <w:tcBorders>
              <w:top w:val="nil"/>
              <w:left w:val="nil"/>
              <w:bottom w:val="nil"/>
              <w:right w:val="nil"/>
            </w:tcBorders>
            <w:shd w:val="clear" w:color="auto" w:fill="auto"/>
            <w:noWrap/>
            <w:vAlign w:val="center"/>
            <w:hideMark/>
          </w:tcPr>
          <w:p w14:paraId="6D7B6FA4" w14:textId="77777777" w:rsidR="007715F1" w:rsidRPr="006B5F69" w:rsidRDefault="007715F1" w:rsidP="007715F1">
            <w:pPr>
              <w:spacing w:after="0" w:line="240" w:lineRule="auto"/>
              <w:jc w:val="center"/>
              <w:rPr>
                <w:rFonts w:ascii="Times New Roman" w:eastAsia="Times New Roman" w:hAnsi="Times New Roman" w:cs="Times New Roman"/>
                <w:sz w:val="18"/>
                <w:szCs w:val="20"/>
                <w:lang w:eastAsia="pt-BR"/>
              </w:rPr>
            </w:pPr>
          </w:p>
        </w:tc>
        <w:tc>
          <w:tcPr>
            <w:tcW w:w="1021" w:type="pct"/>
            <w:tcBorders>
              <w:top w:val="single" w:sz="4" w:space="0" w:color="auto"/>
              <w:left w:val="nil"/>
              <w:bottom w:val="nil"/>
              <w:right w:val="nil"/>
            </w:tcBorders>
            <w:shd w:val="clear" w:color="auto" w:fill="auto"/>
            <w:noWrap/>
            <w:vAlign w:val="bottom"/>
            <w:hideMark/>
          </w:tcPr>
          <w:p w14:paraId="3376D014" w14:textId="77777777" w:rsidR="007715F1" w:rsidRPr="006B5F69" w:rsidRDefault="007715F1"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103" w:type="pct"/>
            <w:tcBorders>
              <w:top w:val="nil"/>
              <w:left w:val="nil"/>
              <w:bottom w:val="nil"/>
              <w:right w:val="nil"/>
            </w:tcBorders>
            <w:shd w:val="clear" w:color="auto" w:fill="auto"/>
            <w:noWrap/>
            <w:vAlign w:val="bottom"/>
            <w:hideMark/>
          </w:tcPr>
          <w:p w14:paraId="70195F83" w14:textId="77777777" w:rsidR="007715F1" w:rsidRPr="006B5F69" w:rsidRDefault="007715F1" w:rsidP="00F7132F">
            <w:pPr>
              <w:spacing w:after="0" w:line="240" w:lineRule="auto"/>
              <w:jc w:val="right"/>
              <w:rPr>
                <w:rFonts w:ascii="Verdana" w:eastAsia="Times New Roman" w:hAnsi="Verdana" w:cs="Calibri"/>
                <w:sz w:val="18"/>
                <w:szCs w:val="20"/>
                <w:lang w:eastAsia="pt-BR"/>
              </w:rPr>
            </w:pPr>
          </w:p>
        </w:tc>
        <w:tc>
          <w:tcPr>
            <w:tcW w:w="1098" w:type="pct"/>
            <w:tcBorders>
              <w:top w:val="single" w:sz="4" w:space="0" w:color="auto"/>
              <w:left w:val="nil"/>
              <w:bottom w:val="nil"/>
              <w:right w:val="nil"/>
            </w:tcBorders>
            <w:shd w:val="clear" w:color="auto" w:fill="auto"/>
            <w:noWrap/>
            <w:vAlign w:val="bottom"/>
            <w:hideMark/>
          </w:tcPr>
          <w:p w14:paraId="18721309" w14:textId="77777777" w:rsidR="007715F1" w:rsidRPr="006B5F69" w:rsidRDefault="007715F1"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r>
      <w:tr w:rsidR="007715F1" w:rsidRPr="006B5F69" w14:paraId="3B5F233C"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1FE806EB" w14:textId="77777777" w:rsidR="007715F1" w:rsidRPr="006B5F69" w:rsidRDefault="007715F1" w:rsidP="007715F1">
            <w:pPr>
              <w:spacing w:after="0" w:line="240" w:lineRule="auto"/>
              <w:jc w:val="center"/>
              <w:rPr>
                <w:rFonts w:ascii="Verdana" w:eastAsia="Times New Roman" w:hAnsi="Verdana" w:cs="Calibri"/>
                <w:sz w:val="18"/>
                <w:szCs w:val="20"/>
                <w:lang w:eastAsia="pt-BR"/>
              </w:rPr>
            </w:pPr>
          </w:p>
        </w:tc>
        <w:tc>
          <w:tcPr>
            <w:tcW w:w="103" w:type="pct"/>
            <w:tcBorders>
              <w:top w:val="nil"/>
              <w:left w:val="nil"/>
              <w:bottom w:val="nil"/>
              <w:right w:val="nil"/>
            </w:tcBorders>
            <w:shd w:val="clear" w:color="auto" w:fill="auto"/>
            <w:noWrap/>
            <w:vAlign w:val="center"/>
            <w:hideMark/>
          </w:tcPr>
          <w:p w14:paraId="235E1F71" w14:textId="77777777" w:rsidR="007715F1" w:rsidRPr="006B5F69" w:rsidRDefault="007715F1" w:rsidP="007715F1">
            <w:pPr>
              <w:spacing w:after="0" w:line="240" w:lineRule="auto"/>
              <w:rPr>
                <w:rFonts w:ascii="Times New Roman" w:eastAsia="Times New Roman" w:hAnsi="Times New Roman" w:cs="Times New Roman"/>
                <w:sz w:val="18"/>
                <w:szCs w:val="20"/>
                <w:lang w:eastAsia="pt-BR"/>
              </w:rPr>
            </w:pPr>
          </w:p>
        </w:tc>
        <w:tc>
          <w:tcPr>
            <w:tcW w:w="521" w:type="pct"/>
            <w:tcBorders>
              <w:top w:val="nil"/>
              <w:left w:val="nil"/>
              <w:bottom w:val="nil"/>
              <w:right w:val="nil"/>
            </w:tcBorders>
            <w:shd w:val="clear" w:color="auto" w:fill="auto"/>
            <w:noWrap/>
            <w:vAlign w:val="center"/>
            <w:hideMark/>
          </w:tcPr>
          <w:p w14:paraId="6CE9031F" w14:textId="77777777" w:rsidR="007715F1" w:rsidRPr="006B5F69" w:rsidRDefault="007715F1" w:rsidP="007715F1">
            <w:pPr>
              <w:spacing w:after="0" w:line="240" w:lineRule="auto"/>
              <w:jc w:val="center"/>
              <w:rPr>
                <w:rFonts w:ascii="Times New Roman" w:eastAsia="Times New Roman" w:hAnsi="Times New Roman" w:cs="Times New Roman"/>
                <w:sz w:val="18"/>
                <w:szCs w:val="20"/>
                <w:lang w:eastAsia="pt-BR"/>
              </w:rPr>
            </w:pPr>
          </w:p>
        </w:tc>
        <w:tc>
          <w:tcPr>
            <w:tcW w:w="71" w:type="pct"/>
            <w:tcBorders>
              <w:top w:val="nil"/>
              <w:left w:val="nil"/>
              <w:bottom w:val="nil"/>
              <w:right w:val="nil"/>
            </w:tcBorders>
            <w:shd w:val="clear" w:color="auto" w:fill="auto"/>
            <w:noWrap/>
            <w:vAlign w:val="center"/>
            <w:hideMark/>
          </w:tcPr>
          <w:p w14:paraId="4229AAA2" w14:textId="77777777" w:rsidR="007715F1" w:rsidRPr="006B5F69" w:rsidRDefault="007715F1" w:rsidP="007715F1">
            <w:pPr>
              <w:spacing w:after="0" w:line="240" w:lineRule="auto"/>
              <w:jc w:val="center"/>
              <w:rPr>
                <w:rFonts w:ascii="Times New Roman" w:eastAsia="Times New Roman" w:hAnsi="Times New Roman" w:cs="Times New Roman"/>
                <w:sz w:val="18"/>
                <w:szCs w:val="20"/>
                <w:lang w:eastAsia="pt-BR"/>
              </w:rPr>
            </w:pPr>
          </w:p>
        </w:tc>
        <w:tc>
          <w:tcPr>
            <w:tcW w:w="1021" w:type="pct"/>
            <w:tcBorders>
              <w:top w:val="nil"/>
              <w:left w:val="nil"/>
              <w:bottom w:val="nil"/>
              <w:right w:val="nil"/>
            </w:tcBorders>
            <w:shd w:val="clear" w:color="auto" w:fill="auto"/>
            <w:noWrap/>
            <w:vAlign w:val="bottom"/>
            <w:hideMark/>
          </w:tcPr>
          <w:p w14:paraId="5383D1C2" w14:textId="77777777" w:rsidR="007715F1" w:rsidRPr="006B5F69" w:rsidRDefault="007715F1" w:rsidP="00F7132F">
            <w:pPr>
              <w:spacing w:after="0" w:line="240" w:lineRule="auto"/>
              <w:jc w:val="right"/>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xml:space="preserve">           4.802.146 </w:t>
            </w:r>
          </w:p>
        </w:tc>
        <w:tc>
          <w:tcPr>
            <w:tcW w:w="103" w:type="pct"/>
            <w:tcBorders>
              <w:top w:val="nil"/>
              <w:left w:val="nil"/>
              <w:bottom w:val="nil"/>
              <w:right w:val="nil"/>
            </w:tcBorders>
            <w:shd w:val="clear" w:color="auto" w:fill="auto"/>
            <w:noWrap/>
            <w:vAlign w:val="bottom"/>
            <w:hideMark/>
          </w:tcPr>
          <w:p w14:paraId="0312CF34" w14:textId="77777777" w:rsidR="007715F1" w:rsidRPr="006B5F69" w:rsidRDefault="007715F1" w:rsidP="00F7132F">
            <w:pPr>
              <w:spacing w:after="0" w:line="240" w:lineRule="auto"/>
              <w:jc w:val="right"/>
              <w:rPr>
                <w:rFonts w:ascii="Verdana" w:eastAsia="Times New Roman" w:hAnsi="Verdana" w:cs="Calibri"/>
                <w:b/>
                <w:bCs/>
                <w:sz w:val="18"/>
                <w:szCs w:val="20"/>
                <w:lang w:eastAsia="pt-BR"/>
              </w:rPr>
            </w:pPr>
          </w:p>
        </w:tc>
        <w:tc>
          <w:tcPr>
            <w:tcW w:w="1098" w:type="pct"/>
            <w:tcBorders>
              <w:top w:val="nil"/>
              <w:left w:val="nil"/>
              <w:bottom w:val="nil"/>
              <w:right w:val="nil"/>
            </w:tcBorders>
            <w:shd w:val="clear" w:color="auto" w:fill="auto"/>
            <w:noWrap/>
            <w:vAlign w:val="bottom"/>
            <w:hideMark/>
          </w:tcPr>
          <w:p w14:paraId="03A3BB90" w14:textId="77777777" w:rsidR="007715F1" w:rsidRPr="006B5F69" w:rsidRDefault="007715F1" w:rsidP="00F7132F">
            <w:pPr>
              <w:spacing w:after="0" w:line="240" w:lineRule="auto"/>
              <w:jc w:val="right"/>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xml:space="preserve">       19.381.816 </w:t>
            </w:r>
          </w:p>
        </w:tc>
      </w:tr>
      <w:tr w:rsidR="007715F1" w:rsidRPr="006B5F69" w14:paraId="62ED01F3"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4BD78DCD" w14:textId="77777777" w:rsidR="007715F1" w:rsidRPr="006B5F69" w:rsidRDefault="007715F1" w:rsidP="007715F1">
            <w:pPr>
              <w:spacing w:after="0" w:line="240" w:lineRule="auto"/>
              <w:jc w:val="center"/>
              <w:rPr>
                <w:rFonts w:ascii="Verdana" w:eastAsia="Times New Roman" w:hAnsi="Verdana" w:cs="Calibri"/>
                <w:b/>
                <w:bCs/>
                <w:sz w:val="18"/>
                <w:szCs w:val="20"/>
                <w:lang w:eastAsia="pt-BR"/>
              </w:rPr>
            </w:pPr>
          </w:p>
        </w:tc>
        <w:tc>
          <w:tcPr>
            <w:tcW w:w="103" w:type="pct"/>
            <w:tcBorders>
              <w:top w:val="nil"/>
              <w:left w:val="nil"/>
              <w:bottom w:val="nil"/>
              <w:right w:val="nil"/>
            </w:tcBorders>
            <w:shd w:val="clear" w:color="auto" w:fill="auto"/>
            <w:noWrap/>
            <w:vAlign w:val="center"/>
            <w:hideMark/>
          </w:tcPr>
          <w:p w14:paraId="2767DA4D" w14:textId="77777777" w:rsidR="007715F1" w:rsidRPr="006B5F69" w:rsidRDefault="007715F1" w:rsidP="007715F1">
            <w:pPr>
              <w:spacing w:after="0" w:line="240" w:lineRule="auto"/>
              <w:rPr>
                <w:rFonts w:ascii="Times New Roman" w:eastAsia="Times New Roman" w:hAnsi="Times New Roman" w:cs="Times New Roman"/>
                <w:sz w:val="18"/>
                <w:szCs w:val="20"/>
                <w:lang w:eastAsia="pt-BR"/>
              </w:rPr>
            </w:pPr>
          </w:p>
        </w:tc>
        <w:tc>
          <w:tcPr>
            <w:tcW w:w="521" w:type="pct"/>
            <w:tcBorders>
              <w:top w:val="nil"/>
              <w:left w:val="nil"/>
              <w:bottom w:val="nil"/>
              <w:right w:val="nil"/>
            </w:tcBorders>
            <w:shd w:val="clear" w:color="auto" w:fill="auto"/>
            <w:noWrap/>
            <w:vAlign w:val="center"/>
            <w:hideMark/>
          </w:tcPr>
          <w:p w14:paraId="562E73DE" w14:textId="77777777" w:rsidR="007715F1" w:rsidRPr="006B5F69" w:rsidRDefault="007715F1" w:rsidP="007715F1">
            <w:pPr>
              <w:spacing w:after="0" w:line="240" w:lineRule="auto"/>
              <w:jc w:val="center"/>
              <w:rPr>
                <w:rFonts w:ascii="Times New Roman" w:eastAsia="Times New Roman" w:hAnsi="Times New Roman" w:cs="Times New Roman"/>
                <w:sz w:val="18"/>
                <w:szCs w:val="20"/>
                <w:lang w:eastAsia="pt-BR"/>
              </w:rPr>
            </w:pPr>
          </w:p>
        </w:tc>
        <w:tc>
          <w:tcPr>
            <w:tcW w:w="71" w:type="pct"/>
            <w:tcBorders>
              <w:top w:val="nil"/>
              <w:left w:val="nil"/>
              <w:bottom w:val="nil"/>
              <w:right w:val="nil"/>
            </w:tcBorders>
            <w:shd w:val="clear" w:color="auto" w:fill="auto"/>
            <w:noWrap/>
            <w:vAlign w:val="center"/>
            <w:hideMark/>
          </w:tcPr>
          <w:p w14:paraId="4F1FF8D2" w14:textId="77777777" w:rsidR="007715F1" w:rsidRPr="006B5F69" w:rsidRDefault="007715F1" w:rsidP="007715F1">
            <w:pPr>
              <w:spacing w:after="0" w:line="240" w:lineRule="auto"/>
              <w:jc w:val="center"/>
              <w:rPr>
                <w:rFonts w:ascii="Times New Roman" w:eastAsia="Times New Roman" w:hAnsi="Times New Roman" w:cs="Times New Roman"/>
                <w:sz w:val="18"/>
                <w:szCs w:val="20"/>
                <w:lang w:eastAsia="pt-BR"/>
              </w:rPr>
            </w:pPr>
          </w:p>
        </w:tc>
        <w:tc>
          <w:tcPr>
            <w:tcW w:w="1021" w:type="pct"/>
            <w:tcBorders>
              <w:top w:val="nil"/>
              <w:left w:val="nil"/>
              <w:bottom w:val="nil"/>
              <w:right w:val="nil"/>
            </w:tcBorders>
            <w:shd w:val="clear" w:color="auto" w:fill="auto"/>
            <w:noWrap/>
            <w:vAlign w:val="bottom"/>
            <w:hideMark/>
          </w:tcPr>
          <w:p w14:paraId="18995CB8" w14:textId="77777777" w:rsidR="007715F1" w:rsidRPr="006B5F69" w:rsidRDefault="007715F1" w:rsidP="00F7132F">
            <w:pPr>
              <w:spacing w:after="0" w:line="240" w:lineRule="auto"/>
              <w:jc w:val="right"/>
              <w:rPr>
                <w:rFonts w:ascii="Times New Roman" w:eastAsia="Times New Roman" w:hAnsi="Times New Roman" w:cs="Times New Roman"/>
                <w:sz w:val="18"/>
                <w:szCs w:val="20"/>
                <w:lang w:eastAsia="pt-BR"/>
              </w:rPr>
            </w:pPr>
          </w:p>
        </w:tc>
        <w:tc>
          <w:tcPr>
            <w:tcW w:w="103" w:type="pct"/>
            <w:tcBorders>
              <w:top w:val="nil"/>
              <w:left w:val="nil"/>
              <w:bottom w:val="nil"/>
              <w:right w:val="nil"/>
            </w:tcBorders>
            <w:shd w:val="clear" w:color="auto" w:fill="auto"/>
            <w:noWrap/>
            <w:vAlign w:val="bottom"/>
            <w:hideMark/>
          </w:tcPr>
          <w:p w14:paraId="4E86BCCF" w14:textId="77777777" w:rsidR="007715F1" w:rsidRPr="006B5F69" w:rsidRDefault="007715F1" w:rsidP="00F7132F">
            <w:pPr>
              <w:spacing w:after="0" w:line="240" w:lineRule="auto"/>
              <w:jc w:val="right"/>
              <w:rPr>
                <w:rFonts w:ascii="Times New Roman" w:eastAsia="Times New Roman" w:hAnsi="Times New Roman" w:cs="Times New Roman"/>
                <w:sz w:val="18"/>
                <w:szCs w:val="20"/>
                <w:lang w:eastAsia="pt-BR"/>
              </w:rPr>
            </w:pPr>
          </w:p>
        </w:tc>
        <w:tc>
          <w:tcPr>
            <w:tcW w:w="1098" w:type="pct"/>
            <w:tcBorders>
              <w:top w:val="nil"/>
              <w:left w:val="nil"/>
              <w:bottom w:val="nil"/>
              <w:right w:val="nil"/>
            </w:tcBorders>
            <w:shd w:val="clear" w:color="auto" w:fill="auto"/>
            <w:noWrap/>
            <w:vAlign w:val="bottom"/>
            <w:hideMark/>
          </w:tcPr>
          <w:p w14:paraId="2206335C" w14:textId="77777777" w:rsidR="007715F1" w:rsidRPr="006B5F69" w:rsidRDefault="007715F1" w:rsidP="00F7132F">
            <w:pPr>
              <w:spacing w:after="0" w:line="240" w:lineRule="auto"/>
              <w:jc w:val="right"/>
              <w:rPr>
                <w:rFonts w:ascii="Times New Roman" w:eastAsia="Times New Roman" w:hAnsi="Times New Roman" w:cs="Times New Roman"/>
                <w:sz w:val="18"/>
                <w:szCs w:val="20"/>
                <w:lang w:eastAsia="pt-BR"/>
              </w:rPr>
            </w:pPr>
          </w:p>
        </w:tc>
      </w:tr>
      <w:tr w:rsidR="007715F1" w:rsidRPr="006B5F69" w14:paraId="5BEAF154"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3970A397" w14:textId="77777777" w:rsidR="007715F1" w:rsidRPr="006B5F69" w:rsidRDefault="007715F1" w:rsidP="007715F1">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TOTAL DO ATIVO</w:t>
            </w:r>
          </w:p>
        </w:tc>
        <w:tc>
          <w:tcPr>
            <w:tcW w:w="103" w:type="pct"/>
            <w:tcBorders>
              <w:top w:val="nil"/>
              <w:left w:val="nil"/>
              <w:bottom w:val="nil"/>
              <w:right w:val="nil"/>
            </w:tcBorders>
            <w:shd w:val="clear" w:color="auto" w:fill="auto"/>
            <w:noWrap/>
            <w:vAlign w:val="center"/>
            <w:hideMark/>
          </w:tcPr>
          <w:p w14:paraId="3140A94E" w14:textId="77777777" w:rsidR="007715F1" w:rsidRPr="006B5F69" w:rsidRDefault="007715F1" w:rsidP="007715F1">
            <w:pPr>
              <w:spacing w:after="0" w:line="240" w:lineRule="auto"/>
              <w:rPr>
                <w:rFonts w:ascii="Verdana" w:eastAsia="Times New Roman" w:hAnsi="Verdana" w:cs="Calibri"/>
                <w:b/>
                <w:bCs/>
                <w:sz w:val="18"/>
                <w:szCs w:val="20"/>
                <w:lang w:eastAsia="pt-BR"/>
              </w:rPr>
            </w:pPr>
          </w:p>
        </w:tc>
        <w:tc>
          <w:tcPr>
            <w:tcW w:w="521" w:type="pct"/>
            <w:tcBorders>
              <w:top w:val="nil"/>
              <w:left w:val="nil"/>
              <w:bottom w:val="nil"/>
              <w:right w:val="nil"/>
            </w:tcBorders>
            <w:shd w:val="clear" w:color="auto" w:fill="auto"/>
            <w:noWrap/>
            <w:vAlign w:val="center"/>
            <w:hideMark/>
          </w:tcPr>
          <w:p w14:paraId="18ABD9D3" w14:textId="77777777" w:rsidR="007715F1" w:rsidRPr="006B5F69" w:rsidRDefault="007715F1" w:rsidP="007715F1">
            <w:pPr>
              <w:spacing w:after="0" w:line="240" w:lineRule="auto"/>
              <w:jc w:val="center"/>
              <w:rPr>
                <w:rFonts w:ascii="Times New Roman" w:eastAsia="Times New Roman" w:hAnsi="Times New Roman" w:cs="Times New Roman"/>
                <w:sz w:val="18"/>
                <w:szCs w:val="20"/>
                <w:lang w:eastAsia="pt-BR"/>
              </w:rPr>
            </w:pPr>
          </w:p>
        </w:tc>
        <w:tc>
          <w:tcPr>
            <w:tcW w:w="71" w:type="pct"/>
            <w:tcBorders>
              <w:top w:val="nil"/>
              <w:left w:val="nil"/>
              <w:bottom w:val="nil"/>
              <w:right w:val="nil"/>
            </w:tcBorders>
            <w:shd w:val="clear" w:color="auto" w:fill="auto"/>
            <w:noWrap/>
            <w:vAlign w:val="center"/>
            <w:hideMark/>
          </w:tcPr>
          <w:p w14:paraId="13D027E1" w14:textId="77777777" w:rsidR="007715F1" w:rsidRPr="006B5F69" w:rsidRDefault="007715F1" w:rsidP="007715F1">
            <w:pPr>
              <w:spacing w:after="0" w:line="240" w:lineRule="auto"/>
              <w:jc w:val="center"/>
              <w:rPr>
                <w:rFonts w:ascii="Times New Roman" w:eastAsia="Times New Roman" w:hAnsi="Times New Roman" w:cs="Times New Roman"/>
                <w:sz w:val="18"/>
                <w:szCs w:val="20"/>
                <w:lang w:eastAsia="pt-BR"/>
              </w:rPr>
            </w:pPr>
          </w:p>
        </w:tc>
        <w:tc>
          <w:tcPr>
            <w:tcW w:w="1021" w:type="pct"/>
            <w:tcBorders>
              <w:top w:val="single" w:sz="4" w:space="0" w:color="auto"/>
              <w:left w:val="nil"/>
              <w:bottom w:val="double" w:sz="6" w:space="0" w:color="auto"/>
              <w:right w:val="nil"/>
            </w:tcBorders>
            <w:shd w:val="clear" w:color="auto" w:fill="auto"/>
            <w:noWrap/>
            <w:vAlign w:val="bottom"/>
            <w:hideMark/>
          </w:tcPr>
          <w:p w14:paraId="3396AD5E" w14:textId="77777777" w:rsidR="007715F1" w:rsidRPr="006B5F69" w:rsidRDefault="007715F1" w:rsidP="00F7132F">
            <w:pPr>
              <w:spacing w:after="0" w:line="240" w:lineRule="auto"/>
              <w:jc w:val="right"/>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xml:space="preserve">           7.886.452 </w:t>
            </w:r>
          </w:p>
        </w:tc>
        <w:tc>
          <w:tcPr>
            <w:tcW w:w="103" w:type="pct"/>
            <w:tcBorders>
              <w:top w:val="nil"/>
              <w:left w:val="nil"/>
              <w:bottom w:val="nil"/>
              <w:right w:val="nil"/>
            </w:tcBorders>
            <w:shd w:val="clear" w:color="auto" w:fill="auto"/>
            <w:noWrap/>
            <w:vAlign w:val="bottom"/>
            <w:hideMark/>
          </w:tcPr>
          <w:p w14:paraId="3685C5B1" w14:textId="77777777" w:rsidR="007715F1" w:rsidRPr="006B5F69" w:rsidRDefault="007715F1" w:rsidP="00F7132F">
            <w:pPr>
              <w:spacing w:after="0" w:line="240" w:lineRule="auto"/>
              <w:jc w:val="right"/>
              <w:rPr>
                <w:rFonts w:ascii="Verdana" w:eastAsia="Times New Roman" w:hAnsi="Verdana" w:cs="Calibri"/>
                <w:b/>
                <w:bCs/>
                <w:sz w:val="18"/>
                <w:szCs w:val="20"/>
                <w:lang w:eastAsia="pt-BR"/>
              </w:rPr>
            </w:pPr>
          </w:p>
        </w:tc>
        <w:tc>
          <w:tcPr>
            <w:tcW w:w="1098" w:type="pct"/>
            <w:tcBorders>
              <w:top w:val="single" w:sz="4" w:space="0" w:color="auto"/>
              <w:left w:val="nil"/>
              <w:bottom w:val="double" w:sz="6" w:space="0" w:color="auto"/>
              <w:right w:val="nil"/>
            </w:tcBorders>
            <w:shd w:val="clear" w:color="auto" w:fill="auto"/>
            <w:noWrap/>
            <w:vAlign w:val="bottom"/>
            <w:hideMark/>
          </w:tcPr>
          <w:p w14:paraId="44FDE946" w14:textId="77777777" w:rsidR="007715F1" w:rsidRPr="006B5F69" w:rsidRDefault="007715F1" w:rsidP="00F7132F">
            <w:pPr>
              <w:spacing w:after="0" w:line="240" w:lineRule="auto"/>
              <w:jc w:val="right"/>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xml:space="preserve">       27.593.032 </w:t>
            </w:r>
          </w:p>
        </w:tc>
      </w:tr>
    </w:tbl>
    <w:p w14:paraId="5F39079E"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29E62C04"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7E335357"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12113229"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38BE049E"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6CC4044D"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36E5F52F"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2EFBE59D"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10A49433"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14D62C0A"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7764485B"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66DA9B16" w14:textId="14A602BD" w:rsidR="003D318B" w:rsidRPr="003072B4" w:rsidRDefault="003072B4" w:rsidP="003072B4">
      <w:pPr>
        <w:widowControl w:val="0"/>
        <w:rPr>
          <w:rFonts w:ascii="Verdana" w:hAnsi="Verdana"/>
          <w:bCs/>
          <w:sz w:val="18"/>
          <w:szCs w:val="18"/>
        </w:rPr>
        <w:sectPr w:rsidR="003D318B" w:rsidRPr="003072B4">
          <w:headerReference w:type="default" r:id="rId10"/>
          <w:footerReference w:type="default" r:id="rId11"/>
          <w:pgSz w:w="11906" w:h="16838"/>
          <w:pgMar w:top="1417" w:right="1701" w:bottom="1417" w:left="1701" w:header="708" w:footer="708" w:gutter="0"/>
          <w:cols w:space="708"/>
          <w:docGrid w:linePitch="360"/>
        </w:sectPr>
      </w:pPr>
      <w:r w:rsidRPr="003072B4">
        <w:rPr>
          <w:rFonts w:ascii="Verdana" w:hAnsi="Verdana"/>
          <w:bCs/>
          <w:sz w:val="18"/>
        </w:rPr>
        <w:t>As notas explicativas são parte integrante das demonstrações financeiras intermediárias.</w:t>
      </w:r>
    </w:p>
    <w:p w14:paraId="6B7C7B59" w14:textId="77777777" w:rsidR="006E1B4F" w:rsidRDefault="006E1B4F" w:rsidP="00C11BC9">
      <w:pPr>
        <w:widowControl w:val="0"/>
        <w:spacing w:after="0"/>
        <w:rPr>
          <w:rFonts w:ascii="Verdana" w:hAnsi="Verdana"/>
          <w:bCs/>
          <w:szCs w:val="26"/>
        </w:rPr>
      </w:pPr>
    </w:p>
    <w:p w14:paraId="2194F5CD" w14:textId="77777777" w:rsidR="001C19DB" w:rsidRDefault="001C19DB" w:rsidP="00F7132F">
      <w:pPr>
        <w:widowControl w:val="0"/>
        <w:spacing w:after="0"/>
        <w:jc w:val="center"/>
        <w:rPr>
          <w:rFonts w:ascii="Verdana" w:hAnsi="Verdana"/>
          <w:b/>
          <w:bCs/>
          <w:szCs w:val="26"/>
        </w:rPr>
      </w:pPr>
    </w:p>
    <w:p w14:paraId="6AA685AC" w14:textId="77777777" w:rsidR="00F52374" w:rsidRPr="006E1B4F" w:rsidRDefault="00F52374" w:rsidP="00F7132F">
      <w:pPr>
        <w:widowControl w:val="0"/>
        <w:spacing w:after="0"/>
        <w:jc w:val="center"/>
        <w:rPr>
          <w:rFonts w:ascii="Verdana" w:hAnsi="Verdana"/>
          <w:b/>
          <w:bCs/>
          <w:szCs w:val="26"/>
        </w:rPr>
      </w:pPr>
      <w:r w:rsidRPr="006E1B4F">
        <w:rPr>
          <w:rFonts w:ascii="Verdana" w:hAnsi="Verdana"/>
          <w:b/>
          <w:bCs/>
          <w:szCs w:val="26"/>
        </w:rPr>
        <w:t>Balanço patrimonial</w:t>
      </w:r>
    </w:p>
    <w:p w14:paraId="11630D46" w14:textId="77777777" w:rsidR="007715F1" w:rsidRPr="00C11BC9" w:rsidRDefault="007715F1" w:rsidP="007835BD">
      <w:pPr>
        <w:spacing w:after="0" w:line="240" w:lineRule="auto"/>
        <w:jc w:val="both"/>
        <w:rPr>
          <w:rFonts w:ascii="Verdana" w:hAnsi="Verdana" w:cstheme="minorHAnsi"/>
          <w:b/>
          <w:color w:val="767171" w:themeColor="background2" w:themeShade="80"/>
        </w:rPr>
      </w:pPr>
    </w:p>
    <w:p w14:paraId="2000FE97"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61339742" w14:textId="77777777" w:rsidR="007835BD" w:rsidRPr="00C11BC9" w:rsidRDefault="007835BD" w:rsidP="007835BD">
      <w:pPr>
        <w:spacing w:after="0" w:line="240" w:lineRule="auto"/>
        <w:jc w:val="both"/>
        <w:rPr>
          <w:rFonts w:ascii="Verdana" w:hAnsi="Verdana" w:cstheme="minorHAnsi"/>
          <w:b/>
          <w:color w:val="767171" w:themeColor="background2" w:themeShade="80"/>
        </w:rPr>
      </w:pPr>
    </w:p>
    <w:tbl>
      <w:tblPr>
        <w:tblW w:w="10073" w:type="dxa"/>
        <w:jc w:val="center"/>
        <w:tblCellMar>
          <w:left w:w="70" w:type="dxa"/>
          <w:right w:w="70" w:type="dxa"/>
        </w:tblCellMar>
        <w:tblLook w:val="04A0" w:firstRow="1" w:lastRow="0" w:firstColumn="1" w:lastColumn="0" w:noHBand="0" w:noVBand="1"/>
      </w:tblPr>
      <w:tblGrid>
        <w:gridCol w:w="4820"/>
        <w:gridCol w:w="211"/>
        <w:gridCol w:w="771"/>
        <w:gridCol w:w="211"/>
        <w:gridCol w:w="2018"/>
        <w:gridCol w:w="211"/>
        <w:gridCol w:w="1831"/>
      </w:tblGrid>
      <w:tr w:rsidR="005579BC" w:rsidRPr="006B5F69" w14:paraId="2562BE2C" w14:textId="77777777" w:rsidTr="00BA3EEF">
        <w:trPr>
          <w:trHeight w:val="212"/>
          <w:jc w:val="center"/>
        </w:trPr>
        <w:tc>
          <w:tcPr>
            <w:tcW w:w="4820" w:type="dxa"/>
            <w:tcBorders>
              <w:top w:val="nil"/>
              <w:left w:val="nil"/>
              <w:bottom w:val="nil"/>
              <w:right w:val="nil"/>
            </w:tcBorders>
            <w:shd w:val="clear" w:color="auto" w:fill="auto"/>
            <w:noWrap/>
            <w:vAlign w:val="center"/>
          </w:tcPr>
          <w:p w14:paraId="133EA5DB" w14:textId="77777777" w:rsidR="005579BC" w:rsidRPr="006B5F69" w:rsidRDefault="005579BC" w:rsidP="00536317">
            <w:pPr>
              <w:spacing w:after="0" w:line="240" w:lineRule="auto"/>
              <w:rPr>
                <w:rFonts w:ascii="Verdana" w:eastAsia="Times New Roman" w:hAnsi="Verdana" w:cs="Calibri"/>
                <w:b/>
                <w:bCs/>
                <w:sz w:val="18"/>
                <w:szCs w:val="20"/>
                <w:lang w:eastAsia="pt-BR"/>
              </w:rPr>
            </w:pPr>
          </w:p>
        </w:tc>
        <w:tc>
          <w:tcPr>
            <w:tcW w:w="211" w:type="dxa"/>
            <w:tcBorders>
              <w:top w:val="nil"/>
              <w:left w:val="nil"/>
              <w:bottom w:val="nil"/>
              <w:right w:val="nil"/>
            </w:tcBorders>
            <w:shd w:val="clear" w:color="auto" w:fill="auto"/>
            <w:noWrap/>
            <w:vAlign w:val="bottom"/>
          </w:tcPr>
          <w:p w14:paraId="656D8518" w14:textId="77777777" w:rsidR="005579BC" w:rsidRPr="006B5F69" w:rsidRDefault="005579BC" w:rsidP="00536317">
            <w:pPr>
              <w:spacing w:after="0" w:line="240" w:lineRule="auto"/>
              <w:rPr>
                <w:rFonts w:ascii="Verdana" w:eastAsia="Times New Roman" w:hAnsi="Verdana" w:cs="Calibri"/>
                <w:b/>
                <w:bCs/>
                <w:sz w:val="18"/>
                <w:szCs w:val="20"/>
                <w:lang w:eastAsia="pt-BR"/>
              </w:rPr>
            </w:pPr>
          </w:p>
        </w:tc>
        <w:tc>
          <w:tcPr>
            <w:tcW w:w="771" w:type="dxa"/>
            <w:tcBorders>
              <w:top w:val="nil"/>
              <w:left w:val="nil"/>
              <w:bottom w:val="nil"/>
              <w:right w:val="nil"/>
            </w:tcBorders>
            <w:shd w:val="clear" w:color="auto" w:fill="auto"/>
            <w:noWrap/>
            <w:vAlign w:val="center"/>
          </w:tcPr>
          <w:p w14:paraId="3597CEF3" w14:textId="77777777" w:rsidR="005579BC" w:rsidRPr="006B5F69" w:rsidRDefault="005579BC" w:rsidP="00536317">
            <w:pPr>
              <w:spacing w:after="0" w:line="240" w:lineRule="auto"/>
              <w:jc w:val="center"/>
              <w:rPr>
                <w:rFonts w:ascii="Verdana" w:eastAsia="Times New Roman" w:hAnsi="Verdana" w:cs="Calibri"/>
                <w:b/>
                <w:bCs/>
                <w:sz w:val="18"/>
                <w:szCs w:val="20"/>
                <w:lang w:eastAsia="pt-BR"/>
              </w:rPr>
            </w:pPr>
          </w:p>
        </w:tc>
        <w:tc>
          <w:tcPr>
            <w:tcW w:w="211" w:type="dxa"/>
            <w:tcBorders>
              <w:top w:val="nil"/>
              <w:left w:val="nil"/>
              <w:bottom w:val="nil"/>
              <w:right w:val="nil"/>
            </w:tcBorders>
            <w:shd w:val="clear" w:color="auto" w:fill="auto"/>
            <w:noWrap/>
            <w:vAlign w:val="center"/>
          </w:tcPr>
          <w:p w14:paraId="1BEB02F7" w14:textId="77777777" w:rsidR="005579BC" w:rsidRPr="006B5F69" w:rsidRDefault="005579BC" w:rsidP="00536317">
            <w:pPr>
              <w:spacing w:after="0" w:line="240" w:lineRule="auto"/>
              <w:jc w:val="center"/>
              <w:rPr>
                <w:rFonts w:ascii="Verdana" w:eastAsia="Times New Roman" w:hAnsi="Verdana" w:cs="Calibri"/>
                <w:b/>
                <w:bCs/>
                <w:sz w:val="18"/>
                <w:szCs w:val="20"/>
                <w:lang w:eastAsia="pt-BR"/>
              </w:rPr>
            </w:pPr>
          </w:p>
        </w:tc>
        <w:tc>
          <w:tcPr>
            <w:tcW w:w="2018" w:type="dxa"/>
            <w:tcBorders>
              <w:top w:val="nil"/>
              <w:left w:val="nil"/>
              <w:bottom w:val="single" w:sz="4" w:space="0" w:color="auto"/>
              <w:right w:val="nil"/>
            </w:tcBorders>
            <w:shd w:val="clear" w:color="auto" w:fill="auto"/>
            <w:noWrap/>
            <w:vAlign w:val="center"/>
          </w:tcPr>
          <w:p w14:paraId="21DD8A89" w14:textId="77777777" w:rsidR="005579BC" w:rsidRPr="006B5F69" w:rsidRDefault="005579BC" w:rsidP="00536317">
            <w:pPr>
              <w:spacing w:after="0" w:line="240" w:lineRule="auto"/>
              <w:jc w:val="center"/>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CONTROLADORA</w:t>
            </w:r>
          </w:p>
        </w:tc>
        <w:tc>
          <w:tcPr>
            <w:tcW w:w="211" w:type="dxa"/>
            <w:tcBorders>
              <w:top w:val="nil"/>
              <w:left w:val="nil"/>
              <w:bottom w:val="nil"/>
              <w:right w:val="nil"/>
            </w:tcBorders>
            <w:shd w:val="clear" w:color="auto" w:fill="auto"/>
            <w:noWrap/>
            <w:vAlign w:val="center"/>
          </w:tcPr>
          <w:p w14:paraId="4B186437" w14:textId="77777777" w:rsidR="005579BC" w:rsidRPr="006B5F69" w:rsidRDefault="005579BC" w:rsidP="00536317">
            <w:pPr>
              <w:spacing w:after="0" w:line="240" w:lineRule="auto"/>
              <w:rPr>
                <w:rFonts w:ascii="Verdana" w:eastAsia="Times New Roman" w:hAnsi="Verdana" w:cs="Calibri"/>
                <w:b/>
                <w:bCs/>
                <w:sz w:val="18"/>
                <w:szCs w:val="20"/>
                <w:lang w:eastAsia="pt-BR"/>
              </w:rPr>
            </w:pPr>
          </w:p>
        </w:tc>
        <w:tc>
          <w:tcPr>
            <w:tcW w:w="1831" w:type="dxa"/>
            <w:tcBorders>
              <w:top w:val="nil"/>
              <w:left w:val="nil"/>
              <w:bottom w:val="single" w:sz="4" w:space="0" w:color="auto"/>
              <w:right w:val="nil"/>
            </w:tcBorders>
            <w:shd w:val="clear" w:color="auto" w:fill="auto"/>
            <w:noWrap/>
            <w:vAlign w:val="center"/>
          </w:tcPr>
          <w:p w14:paraId="01C95F89" w14:textId="77777777" w:rsidR="005579BC" w:rsidRPr="006B5F69" w:rsidRDefault="005579BC" w:rsidP="00536317">
            <w:pPr>
              <w:spacing w:after="0" w:line="240" w:lineRule="auto"/>
              <w:jc w:val="center"/>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CONSOLIDADO</w:t>
            </w:r>
          </w:p>
        </w:tc>
      </w:tr>
      <w:tr w:rsidR="00536317" w:rsidRPr="006B5F69" w14:paraId="0B626BDF" w14:textId="77777777" w:rsidTr="00BA3EEF">
        <w:trPr>
          <w:trHeight w:val="212"/>
          <w:jc w:val="center"/>
        </w:trPr>
        <w:tc>
          <w:tcPr>
            <w:tcW w:w="4820" w:type="dxa"/>
            <w:tcBorders>
              <w:top w:val="nil"/>
              <w:left w:val="nil"/>
              <w:bottom w:val="nil"/>
              <w:right w:val="nil"/>
            </w:tcBorders>
            <w:shd w:val="clear" w:color="auto" w:fill="auto"/>
            <w:noWrap/>
            <w:vAlign w:val="center"/>
            <w:hideMark/>
          </w:tcPr>
          <w:p w14:paraId="582668B0"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xml:space="preserve"> PASSIVO E PATRIMÔNIO LÍQUIDO </w:t>
            </w:r>
          </w:p>
        </w:tc>
        <w:tc>
          <w:tcPr>
            <w:tcW w:w="211" w:type="dxa"/>
            <w:tcBorders>
              <w:top w:val="nil"/>
              <w:left w:val="nil"/>
              <w:bottom w:val="nil"/>
              <w:right w:val="nil"/>
            </w:tcBorders>
            <w:shd w:val="clear" w:color="auto" w:fill="auto"/>
            <w:noWrap/>
            <w:vAlign w:val="bottom"/>
            <w:hideMark/>
          </w:tcPr>
          <w:p w14:paraId="548B1C73"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771" w:type="dxa"/>
            <w:tcBorders>
              <w:top w:val="nil"/>
              <w:left w:val="nil"/>
              <w:bottom w:val="nil"/>
              <w:right w:val="nil"/>
            </w:tcBorders>
            <w:shd w:val="clear" w:color="auto" w:fill="auto"/>
            <w:noWrap/>
            <w:vAlign w:val="center"/>
            <w:hideMark/>
          </w:tcPr>
          <w:p w14:paraId="77CF52EC" w14:textId="77777777" w:rsidR="00536317" w:rsidRPr="006B5F69" w:rsidRDefault="00536317" w:rsidP="00536317">
            <w:pPr>
              <w:spacing w:after="0" w:line="240" w:lineRule="auto"/>
              <w:jc w:val="center"/>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NOTA</w:t>
            </w:r>
          </w:p>
        </w:tc>
        <w:tc>
          <w:tcPr>
            <w:tcW w:w="211" w:type="dxa"/>
            <w:tcBorders>
              <w:top w:val="nil"/>
              <w:left w:val="nil"/>
              <w:bottom w:val="nil"/>
              <w:right w:val="nil"/>
            </w:tcBorders>
            <w:shd w:val="clear" w:color="auto" w:fill="auto"/>
            <w:noWrap/>
            <w:vAlign w:val="center"/>
            <w:hideMark/>
          </w:tcPr>
          <w:p w14:paraId="67AD1E32" w14:textId="77777777" w:rsidR="00536317" w:rsidRPr="006B5F69" w:rsidRDefault="00536317" w:rsidP="00536317">
            <w:pPr>
              <w:spacing w:after="0" w:line="240" w:lineRule="auto"/>
              <w:jc w:val="center"/>
              <w:rPr>
                <w:rFonts w:ascii="Verdana" w:eastAsia="Times New Roman" w:hAnsi="Verdana" w:cs="Calibri"/>
                <w:b/>
                <w:bCs/>
                <w:sz w:val="18"/>
                <w:szCs w:val="20"/>
                <w:lang w:eastAsia="pt-BR"/>
              </w:rPr>
            </w:pPr>
          </w:p>
        </w:tc>
        <w:tc>
          <w:tcPr>
            <w:tcW w:w="2018" w:type="dxa"/>
            <w:tcBorders>
              <w:top w:val="nil"/>
              <w:left w:val="nil"/>
              <w:bottom w:val="single" w:sz="4" w:space="0" w:color="auto"/>
              <w:right w:val="nil"/>
            </w:tcBorders>
            <w:shd w:val="clear" w:color="auto" w:fill="auto"/>
            <w:noWrap/>
            <w:vAlign w:val="center"/>
            <w:hideMark/>
          </w:tcPr>
          <w:p w14:paraId="776C44BE" w14:textId="77777777" w:rsidR="00536317" w:rsidRPr="006B5F69" w:rsidRDefault="00536317" w:rsidP="00536317">
            <w:pPr>
              <w:spacing w:after="0" w:line="240" w:lineRule="auto"/>
              <w:jc w:val="center"/>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xml:space="preserve"> 30/06/2022 </w:t>
            </w:r>
          </w:p>
        </w:tc>
        <w:tc>
          <w:tcPr>
            <w:tcW w:w="211" w:type="dxa"/>
            <w:tcBorders>
              <w:top w:val="nil"/>
              <w:left w:val="nil"/>
              <w:bottom w:val="nil"/>
              <w:right w:val="nil"/>
            </w:tcBorders>
            <w:shd w:val="clear" w:color="auto" w:fill="auto"/>
            <w:noWrap/>
            <w:vAlign w:val="center"/>
            <w:hideMark/>
          </w:tcPr>
          <w:p w14:paraId="0F963266"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1831" w:type="dxa"/>
            <w:tcBorders>
              <w:top w:val="nil"/>
              <w:left w:val="nil"/>
              <w:bottom w:val="single" w:sz="4" w:space="0" w:color="auto"/>
              <w:right w:val="nil"/>
            </w:tcBorders>
            <w:shd w:val="clear" w:color="auto" w:fill="auto"/>
            <w:noWrap/>
            <w:vAlign w:val="center"/>
            <w:hideMark/>
          </w:tcPr>
          <w:p w14:paraId="101832D2" w14:textId="77777777" w:rsidR="00536317" w:rsidRPr="006B5F69" w:rsidRDefault="00536317" w:rsidP="00536317">
            <w:pPr>
              <w:spacing w:after="0" w:line="240" w:lineRule="auto"/>
              <w:jc w:val="center"/>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xml:space="preserve"> 30/06/2022 </w:t>
            </w:r>
          </w:p>
        </w:tc>
      </w:tr>
      <w:tr w:rsidR="00536317" w:rsidRPr="006B5F69" w14:paraId="2F70E30D" w14:textId="77777777" w:rsidTr="00BA3EEF">
        <w:trPr>
          <w:trHeight w:val="249"/>
          <w:jc w:val="center"/>
        </w:trPr>
        <w:tc>
          <w:tcPr>
            <w:tcW w:w="4820" w:type="dxa"/>
            <w:tcBorders>
              <w:top w:val="nil"/>
              <w:left w:val="nil"/>
              <w:bottom w:val="nil"/>
              <w:right w:val="nil"/>
            </w:tcBorders>
            <w:shd w:val="clear" w:color="auto" w:fill="auto"/>
            <w:noWrap/>
            <w:vAlign w:val="bottom"/>
            <w:hideMark/>
          </w:tcPr>
          <w:p w14:paraId="59D10BB9" w14:textId="77777777" w:rsidR="00536317" w:rsidRPr="006B5F69" w:rsidRDefault="00536317" w:rsidP="00536317">
            <w:pPr>
              <w:spacing w:after="0" w:line="240" w:lineRule="auto"/>
              <w:jc w:val="center"/>
              <w:rPr>
                <w:rFonts w:ascii="Verdana" w:eastAsia="Times New Roman" w:hAnsi="Verdana" w:cs="Calibri"/>
                <w:b/>
                <w:bCs/>
                <w:sz w:val="18"/>
                <w:szCs w:val="20"/>
                <w:lang w:eastAsia="pt-BR"/>
              </w:rPr>
            </w:pPr>
          </w:p>
        </w:tc>
        <w:tc>
          <w:tcPr>
            <w:tcW w:w="211" w:type="dxa"/>
            <w:tcBorders>
              <w:top w:val="nil"/>
              <w:left w:val="nil"/>
              <w:bottom w:val="nil"/>
              <w:right w:val="nil"/>
            </w:tcBorders>
            <w:shd w:val="clear" w:color="auto" w:fill="auto"/>
            <w:noWrap/>
            <w:vAlign w:val="bottom"/>
            <w:hideMark/>
          </w:tcPr>
          <w:p w14:paraId="43BB9D83" w14:textId="77777777" w:rsidR="00536317" w:rsidRPr="006B5F69" w:rsidRDefault="00536317" w:rsidP="00536317">
            <w:pPr>
              <w:spacing w:after="0" w:line="240" w:lineRule="auto"/>
              <w:rPr>
                <w:rFonts w:ascii="Calibri" w:eastAsia="Times New Roman" w:hAnsi="Calibri" w:cs="Calibri"/>
                <w:color w:val="000000"/>
                <w:sz w:val="18"/>
                <w:lang w:eastAsia="pt-BR"/>
              </w:rPr>
            </w:pPr>
            <w:r w:rsidRPr="006B5F69">
              <w:rPr>
                <w:rFonts w:ascii="Calibri" w:eastAsia="Times New Roman" w:hAnsi="Calibri" w:cs="Calibri"/>
                <w:color w:val="000000"/>
                <w:sz w:val="18"/>
                <w:lang w:eastAsia="pt-BR"/>
              </w:rPr>
              <w:t> </w:t>
            </w:r>
          </w:p>
        </w:tc>
        <w:tc>
          <w:tcPr>
            <w:tcW w:w="771" w:type="dxa"/>
            <w:tcBorders>
              <w:top w:val="nil"/>
              <w:left w:val="nil"/>
              <w:bottom w:val="nil"/>
              <w:right w:val="nil"/>
            </w:tcBorders>
            <w:shd w:val="clear" w:color="auto" w:fill="auto"/>
            <w:noWrap/>
            <w:vAlign w:val="bottom"/>
            <w:hideMark/>
          </w:tcPr>
          <w:p w14:paraId="0F96743F" w14:textId="77777777" w:rsidR="00536317" w:rsidRPr="006B5F69" w:rsidRDefault="00536317" w:rsidP="00536317">
            <w:pPr>
              <w:spacing w:after="0" w:line="240" w:lineRule="auto"/>
              <w:rPr>
                <w:rFonts w:ascii="Calibri" w:eastAsia="Times New Roman" w:hAnsi="Calibri" w:cs="Calibri"/>
                <w:color w:val="000000"/>
                <w:sz w:val="18"/>
                <w:lang w:eastAsia="pt-BR"/>
              </w:rPr>
            </w:pPr>
          </w:p>
        </w:tc>
        <w:tc>
          <w:tcPr>
            <w:tcW w:w="211" w:type="dxa"/>
            <w:tcBorders>
              <w:top w:val="nil"/>
              <w:left w:val="nil"/>
              <w:bottom w:val="nil"/>
              <w:right w:val="nil"/>
            </w:tcBorders>
            <w:shd w:val="clear" w:color="auto" w:fill="auto"/>
            <w:noWrap/>
            <w:vAlign w:val="bottom"/>
            <w:hideMark/>
          </w:tcPr>
          <w:p w14:paraId="19F65D92" w14:textId="77777777" w:rsidR="00536317" w:rsidRPr="006B5F69" w:rsidRDefault="00536317" w:rsidP="00536317">
            <w:pPr>
              <w:spacing w:after="0" w:line="240" w:lineRule="auto"/>
              <w:rPr>
                <w:rFonts w:ascii="Times New Roman" w:eastAsia="Times New Roman" w:hAnsi="Times New Roman" w:cs="Times New Roman"/>
                <w:sz w:val="18"/>
                <w:szCs w:val="20"/>
                <w:lang w:eastAsia="pt-BR"/>
              </w:rPr>
            </w:pPr>
          </w:p>
        </w:tc>
        <w:tc>
          <w:tcPr>
            <w:tcW w:w="2018" w:type="dxa"/>
            <w:tcBorders>
              <w:top w:val="nil"/>
              <w:left w:val="nil"/>
              <w:bottom w:val="nil"/>
              <w:right w:val="nil"/>
            </w:tcBorders>
            <w:shd w:val="clear" w:color="auto" w:fill="auto"/>
            <w:noWrap/>
            <w:vAlign w:val="bottom"/>
            <w:hideMark/>
          </w:tcPr>
          <w:p w14:paraId="1B7064DC" w14:textId="77777777" w:rsidR="00536317" w:rsidRPr="006B5F69" w:rsidRDefault="00536317" w:rsidP="00536317">
            <w:pPr>
              <w:spacing w:after="0" w:line="240" w:lineRule="auto"/>
              <w:rPr>
                <w:rFonts w:ascii="Times New Roman" w:eastAsia="Times New Roman" w:hAnsi="Times New Roman" w:cs="Times New Roman"/>
                <w:sz w:val="18"/>
                <w:szCs w:val="20"/>
                <w:lang w:eastAsia="pt-BR"/>
              </w:rPr>
            </w:pPr>
          </w:p>
        </w:tc>
        <w:tc>
          <w:tcPr>
            <w:tcW w:w="211" w:type="dxa"/>
            <w:tcBorders>
              <w:top w:val="nil"/>
              <w:left w:val="nil"/>
              <w:bottom w:val="nil"/>
              <w:right w:val="nil"/>
            </w:tcBorders>
            <w:shd w:val="clear" w:color="auto" w:fill="auto"/>
            <w:noWrap/>
            <w:vAlign w:val="bottom"/>
            <w:hideMark/>
          </w:tcPr>
          <w:p w14:paraId="41DA15F4" w14:textId="77777777" w:rsidR="00536317" w:rsidRPr="006B5F69" w:rsidRDefault="00536317" w:rsidP="00536317">
            <w:pPr>
              <w:spacing w:after="0" w:line="240" w:lineRule="auto"/>
              <w:rPr>
                <w:rFonts w:ascii="Calibri" w:eastAsia="Times New Roman" w:hAnsi="Calibri" w:cs="Calibri"/>
                <w:color w:val="000000"/>
                <w:sz w:val="18"/>
                <w:lang w:eastAsia="pt-BR"/>
              </w:rPr>
            </w:pPr>
            <w:r w:rsidRPr="006B5F69">
              <w:rPr>
                <w:rFonts w:ascii="Calibri" w:eastAsia="Times New Roman" w:hAnsi="Calibri" w:cs="Calibri"/>
                <w:color w:val="000000"/>
                <w:sz w:val="18"/>
                <w:lang w:eastAsia="pt-BR"/>
              </w:rPr>
              <w:t> </w:t>
            </w:r>
          </w:p>
        </w:tc>
        <w:tc>
          <w:tcPr>
            <w:tcW w:w="1831" w:type="dxa"/>
            <w:tcBorders>
              <w:top w:val="nil"/>
              <w:left w:val="nil"/>
              <w:bottom w:val="nil"/>
              <w:right w:val="nil"/>
            </w:tcBorders>
            <w:shd w:val="clear" w:color="auto" w:fill="auto"/>
            <w:noWrap/>
            <w:vAlign w:val="bottom"/>
            <w:hideMark/>
          </w:tcPr>
          <w:p w14:paraId="6688F6CC" w14:textId="77777777" w:rsidR="00536317" w:rsidRPr="006B5F69" w:rsidRDefault="00536317" w:rsidP="00536317">
            <w:pPr>
              <w:spacing w:after="0" w:line="240" w:lineRule="auto"/>
              <w:rPr>
                <w:rFonts w:ascii="Calibri" w:eastAsia="Times New Roman" w:hAnsi="Calibri" w:cs="Calibri"/>
                <w:color w:val="000000"/>
                <w:sz w:val="18"/>
                <w:lang w:eastAsia="pt-BR"/>
              </w:rPr>
            </w:pPr>
          </w:p>
        </w:tc>
      </w:tr>
      <w:tr w:rsidR="00536317" w:rsidRPr="006B5F69" w14:paraId="726A8485" w14:textId="77777777" w:rsidTr="00BA3EEF">
        <w:trPr>
          <w:trHeight w:val="234"/>
          <w:jc w:val="center"/>
        </w:trPr>
        <w:tc>
          <w:tcPr>
            <w:tcW w:w="4820" w:type="dxa"/>
            <w:tcBorders>
              <w:top w:val="nil"/>
              <w:left w:val="nil"/>
              <w:bottom w:val="nil"/>
              <w:right w:val="nil"/>
            </w:tcBorders>
            <w:shd w:val="clear" w:color="auto" w:fill="auto"/>
            <w:noWrap/>
            <w:vAlign w:val="center"/>
            <w:hideMark/>
          </w:tcPr>
          <w:p w14:paraId="18C335A1"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CIRCULANTE</w:t>
            </w:r>
          </w:p>
        </w:tc>
        <w:tc>
          <w:tcPr>
            <w:tcW w:w="211" w:type="dxa"/>
            <w:tcBorders>
              <w:top w:val="nil"/>
              <w:left w:val="nil"/>
              <w:bottom w:val="nil"/>
              <w:right w:val="nil"/>
            </w:tcBorders>
            <w:shd w:val="clear" w:color="auto" w:fill="auto"/>
            <w:noWrap/>
            <w:vAlign w:val="bottom"/>
            <w:hideMark/>
          </w:tcPr>
          <w:p w14:paraId="13ED150B"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771" w:type="dxa"/>
            <w:tcBorders>
              <w:top w:val="nil"/>
              <w:left w:val="nil"/>
              <w:bottom w:val="nil"/>
              <w:right w:val="nil"/>
            </w:tcBorders>
            <w:shd w:val="clear" w:color="auto" w:fill="auto"/>
            <w:noWrap/>
            <w:vAlign w:val="center"/>
            <w:hideMark/>
          </w:tcPr>
          <w:p w14:paraId="094CF947" w14:textId="77777777" w:rsidR="00536317" w:rsidRPr="006B5F69" w:rsidRDefault="00536317" w:rsidP="00536317">
            <w:pPr>
              <w:spacing w:after="0" w:line="240" w:lineRule="auto"/>
              <w:rPr>
                <w:rFonts w:ascii="Verdana" w:eastAsia="Times New Roman" w:hAnsi="Verdana" w:cs="Calibri"/>
                <w:b/>
                <w:bCs/>
                <w:sz w:val="18"/>
                <w:szCs w:val="20"/>
                <w:lang w:eastAsia="pt-BR"/>
              </w:rPr>
            </w:pPr>
          </w:p>
        </w:tc>
        <w:tc>
          <w:tcPr>
            <w:tcW w:w="211" w:type="dxa"/>
            <w:tcBorders>
              <w:top w:val="nil"/>
              <w:left w:val="nil"/>
              <w:bottom w:val="nil"/>
              <w:right w:val="nil"/>
            </w:tcBorders>
            <w:shd w:val="clear" w:color="auto" w:fill="auto"/>
            <w:noWrap/>
            <w:vAlign w:val="center"/>
            <w:hideMark/>
          </w:tcPr>
          <w:p w14:paraId="6903C7B2" w14:textId="77777777" w:rsidR="00536317" w:rsidRPr="006B5F69" w:rsidRDefault="00536317" w:rsidP="00536317">
            <w:pPr>
              <w:spacing w:after="0" w:line="240" w:lineRule="auto"/>
              <w:jc w:val="center"/>
              <w:rPr>
                <w:rFonts w:ascii="Times New Roman" w:eastAsia="Times New Roman" w:hAnsi="Times New Roman" w:cs="Times New Roman"/>
                <w:sz w:val="18"/>
                <w:szCs w:val="20"/>
                <w:lang w:eastAsia="pt-BR"/>
              </w:rPr>
            </w:pPr>
          </w:p>
        </w:tc>
        <w:tc>
          <w:tcPr>
            <w:tcW w:w="2018" w:type="dxa"/>
            <w:tcBorders>
              <w:top w:val="nil"/>
              <w:left w:val="nil"/>
              <w:bottom w:val="nil"/>
              <w:right w:val="nil"/>
            </w:tcBorders>
            <w:shd w:val="clear" w:color="auto" w:fill="auto"/>
            <w:noWrap/>
            <w:vAlign w:val="center"/>
            <w:hideMark/>
          </w:tcPr>
          <w:p w14:paraId="5110ECA0" w14:textId="77777777" w:rsidR="00536317" w:rsidRPr="006B5F69" w:rsidRDefault="00536317" w:rsidP="00536317">
            <w:pPr>
              <w:spacing w:after="0" w:line="240" w:lineRule="auto"/>
              <w:jc w:val="center"/>
              <w:rPr>
                <w:rFonts w:ascii="Times New Roman" w:eastAsia="Times New Roman" w:hAnsi="Times New Roman" w:cs="Times New Roman"/>
                <w:sz w:val="18"/>
                <w:szCs w:val="20"/>
                <w:lang w:eastAsia="pt-BR"/>
              </w:rPr>
            </w:pPr>
          </w:p>
        </w:tc>
        <w:tc>
          <w:tcPr>
            <w:tcW w:w="211" w:type="dxa"/>
            <w:tcBorders>
              <w:top w:val="nil"/>
              <w:left w:val="nil"/>
              <w:bottom w:val="nil"/>
              <w:right w:val="nil"/>
            </w:tcBorders>
            <w:shd w:val="clear" w:color="auto" w:fill="auto"/>
            <w:noWrap/>
            <w:vAlign w:val="bottom"/>
            <w:hideMark/>
          </w:tcPr>
          <w:p w14:paraId="1152A4B9"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1831" w:type="dxa"/>
            <w:tcBorders>
              <w:top w:val="nil"/>
              <w:left w:val="nil"/>
              <w:bottom w:val="nil"/>
              <w:right w:val="nil"/>
            </w:tcBorders>
            <w:shd w:val="clear" w:color="auto" w:fill="auto"/>
            <w:noWrap/>
            <w:vAlign w:val="center"/>
            <w:hideMark/>
          </w:tcPr>
          <w:p w14:paraId="2A860495" w14:textId="77777777" w:rsidR="00536317" w:rsidRPr="006B5F69" w:rsidRDefault="00536317" w:rsidP="00536317">
            <w:pPr>
              <w:spacing w:after="0" w:line="240" w:lineRule="auto"/>
              <w:rPr>
                <w:rFonts w:ascii="Verdana" w:eastAsia="Times New Roman" w:hAnsi="Verdana" w:cs="Calibri"/>
                <w:b/>
                <w:bCs/>
                <w:sz w:val="18"/>
                <w:szCs w:val="20"/>
                <w:lang w:eastAsia="pt-BR"/>
              </w:rPr>
            </w:pPr>
          </w:p>
        </w:tc>
      </w:tr>
      <w:tr w:rsidR="00536317" w:rsidRPr="006B5F69" w14:paraId="0FDFDDA7" w14:textId="77777777" w:rsidTr="00BA3EEF">
        <w:trPr>
          <w:trHeight w:val="227"/>
          <w:jc w:val="center"/>
        </w:trPr>
        <w:tc>
          <w:tcPr>
            <w:tcW w:w="4820" w:type="dxa"/>
            <w:tcBorders>
              <w:top w:val="nil"/>
              <w:left w:val="nil"/>
              <w:bottom w:val="nil"/>
              <w:right w:val="nil"/>
            </w:tcBorders>
            <w:shd w:val="clear" w:color="auto" w:fill="auto"/>
            <w:noWrap/>
            <w:vAlign w:val="center"/>
            <w:hideMark/>
          </w:tcPr>
          <w:p w14:paraId="7B6ACB96"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Fornecedores</w:t>
            </w:r>
          </w:p>
        </w:tc>
        <w:tc>
          <w:tcPr>
            <w:tcW w:w="211" w:type="dxa"/>
            <w:tcBorders>
              <w:top w:val="nil"/>
              <w:left w:val="nil"/>
              <w:bottom w:val="nil"/>
              <w:right w:val="nil"/>
            </w:tcBorders>
            <w:shd w:val="clear" w:color="auto" w:fill="auto"/>
            <w:noWrap/>
            <w:vAlign w:val="bottom"/>
            <w:hideMark/>
          </w:tcPr>
          <w:p w14:paraId="4B1141A3"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771" w:type="dxa"/>
            <w:tcBorders>
              <w:top w:val="nil"/>
              <w:left w:val="nil"/>
              <w:bottom w:val="nil"/>
              <w:right w:val="nil"/>
            </w:tcBorders>
            <w:shd w:val="clear" w:color="auto" w:fill="auto"/>
            <w:noWrap/>
            <w:vAlign w:val="center"/>
            <w:hideMark/>
          </w:tcPr>
          <w:p w14:paraId="700FE5B3" w14:textId="77777777" w:rsidR="00536317" w:rsidRPr="006B5F69" w:rsidRDefault="00581D1F" w:rsidP="00536317">
            <w:pPr>
              <w:spacing w:after="0" w:line="240" w:lineRule="auto"/>
              <w:jc w:val="center"/>
              <w:rPr>
                <w:rFonts w:ascii="Verdana" w:eastAsia="Times New Roman" w:hAnsi="Verdana" w:cs="Calibri"/>
                <w:b/>
                <w:bCs/>
                <w:sz w:val="18"/>
                <w:szCs w:val="20"/>
                <w:lang w:eastAsia="pt-BR"/>
              </w:rPr>
            </w:pPr>
            <w:r>
              <w:rPr>
                <w:rFonts w:ascii="Verdana" w:eastAsia="Times New Roman" w:hAnsi="Verdana" w:cs="Calibri"/>
                <w:b/>
                <w:bCs/>
                <w:sz w:val="18"/>
                <w:szCs w:val="20"/>
                <w:lang w:eastAsia="pt-BR"/>
              </w:rPr>
              <w:t>14</w:t>
            </w:r>
            <w:r w:rsidR="00536317" w:rsidRPr="006B5F69">
              <w:rPr>
                <w:rFonts w:ascii="Verdana" w:eastAsia="Times New Roman" w:hAnsi="Verdana" w:cs="Calibri"/>
                <w:b/>
                <w:bCs/>
                <w:sz w:val="18"/>
                <w:szCs w:val="20"/>
                <w:lang w:eastAsia="pt-BR"/>
              </w:rPr>
              <w:t xml:space="preserve"> </w:t>
            </w:r>
          </w:p>
        </w:tc>
        <w:tc>
          <w:tcPr>
            <w:tcW w:w="211" w:type="dxa"/>
            <w:tcBorders>
              <w:top w:val="nil"/>
              <w:left w:val="nil"/>
              <w:bottom w:val="nil"/>
              <w:right w:val="nil"/>
            </w:tcBorders>
            <w:shd w:val="clear" w:color="auto" w:fill="auto"/>
            <w:noWrap/>
            <w:vAlign w:val="center"/>
            <w:hideMark/>
          </w:tcPr>
          <w:p w14:paraId="2CEBFBEA" w14:textId="77777777" w:rsidR="00536317" w:rsidRPr="006B5F69" w:rsidRDefault="00536317" w:rsidP="00536317">
            <w:pPr>
              <w:spacing w:after="0" w:line="240" w:lineRule="auto"/>
              <w:jc w:val="center"/>
              <w:rPr>
                <w:rFonts w:ascii="Verdana" w:eastAsia="Times New Roman" w:hAnsi="Verdana" w:cs="Calibri"/>
                <w:b/>
                <w:bCs/>
                <w:sz w:val="18"/>
                <w:szCs w:val="20"/>
                <w:lang w:eastAsia="pt-BR"/>
              </w:rPr>
            </w:pPr>
          </w:p>
        </w:tc>
        <w:tc>
          <w:tcPr>
            <w:tcW w:w="2018" w:type="dxa"/>
            <w:tcBorders>
              <w:top w:val="nil"/>
              <w:left w:val="nil"/>
              <w:bottom w:val="nil"/>
              <w:right w:val="nil"/>
            </w:tcBorders>
            <w:shd w:val="clear" w:color="auto" w:fill="auto"/>
            <w:noWrap/>
            <w:vAlign w:val="center"/>
            <w:hideMark/>
          </w:tcPr>
          <w:p w14:paraId="742C0B75" w14:textId="77777777"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1.335.190 </w:t>
            </w:r>
          </w:p>
        </w:tc>
        <w:tc>
          <w:tcPr>
            <w:tcW w:w="211" w:type="dxa"/>
            <w:tcBorders>
              <w:top w:val="nil"/>
              <w:left w:val="nil"/>
              <w:bottom w:val="nil"/>
              <w:right w:val="nil"/>
            </w:tcBorders>
            <w:shd w:val="clear" w:color="auto" w:fill="auto"/>
            <w:noWrap/>
            <w:vAlign w:val="center"/>
            <w:hideMark/>
          </w:tcPr>
          <w:p w14:paraId="58C08455"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1831" w:type="dxa"/>
            <w:tcBorders>
              <w:top w:val="nil"/>
              <w:left w:val="nil"/>
              <w:bottom w:val="nil"/>
              <w:right w:val="nil"/>
            </w:tcBorders>
            <w:shd w:val="clear" w:color="auto" w:fill="auto"/>
            <w:noWrap/>
            <w:vAlign w:val="center"/>
            <w:hideMark/>
          </w:tcPr>
          <w:p w14:paraId="6CA1A265" w14:textId="77777777"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2.236.301 </w:t>
            </w:r>
          </w:p>
        </w:tc>
      </w:tr>
      <w:tr w:rsidR="00536317" w:rsidRPr="006B5F69" w14:paraId="62FA7A7C" w14:textId="77777777" w:rsidTr="00BA3EEF">
        <w:trPr>
          <w:trHeight w:val="234"/>
          <w:jc w:val="center"/>
        </w:trPr>
        <w:tc>
          <w:tcPr>
            <w:tcW w:w="4820" w:type="dxa"/>
            <w:tcBorders>
              <w:top w:val="nil"/>
              <w:left w:val="nil"/>
              <w:bottom w:val="nil"/>
              <w:right w:val="nil"/>
            </w:tcBorders>
            <w:shd w:val="clear" w:color="auto" w:fill="auto"/>
            <w:noWrap/>
            <w:vAlign w:val="center"/>
            <w:hideMark/>
          </w:tcPr>
          <w:p w14:paraId="1A4704F2"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Empréstimos e financiamentos </w:t>
            </w:r>
          </w:p>
        </w:tc>
        <w:tc>
          <w:tcPr>
            <w:tcW w:w="211" w:type="dxa"/>
            <w:tcBorders>
              <w:top w:val="nil"/>
              <w:left w:val="nil"/>
              <w:bottom w:val="nil"/>
              <w:right w:val="nil"/>
            </w:tcBorders>
            <w:shd w:val="clear" w:color="auto" w:fill="auto"/>
            <w:noWrap/>
            <w:vAlign w:val="center"/>
            <w:hideMark/>
          </w:tcPr>
          <w:p w14:paraId="31957103" w14:textId="77777777" w:rsidR="00536317" w:rsidRPr="006B5F69" w:rsidRDefault="00536317" w:rsidP="00536317">
            <w:pPr>
              <w:spacing w:after="0" w:line="240" w:lineRule="auto"/>
              <w:rPr>
                <w:rFonts w:ascii="Verdana" w:eastAsia="Times New Roman" w:hAnsi="Verdana" w:cs="Calibri"/>
                <w:sz w:val="18"/>
                <w:szCs w:val="20"/>
                <w:lang w:eastAsia="pt-BR"/>
              </w:rPr>
            </w:pPr>
          </w:p>
        </w:tc>
        <w:tc>
          <w:tcPr>
            <w:tcW w:w="771" w:type="dxa"/>
            <w:tcBorders>
              <w:top w:val="nil"/>
              <w:left w:val="nil"/>
              <w:bottom w:val="nil"/>
              <w:right w:val="nil"/>
            </w:tcBorders>
            <w:shd w:val="clear" w:color="auto" w:fill="auto"/>
            <w:noWrap/>
            <w:vAlign w:val="center"/>
            <w:hideMark/>
          </w:tcPr>
          <w:p w14:paraId="4D1D434D" w14:textId="77777777" w:rsidR="00536317" w:rsidRPr="006B5F69" w:rsidRDefault="00581D1F" w:rsidP="00536317">
            <w:pPr>
              <w:spacing w:after="0" w:line="240" w:lineRule="auto"/>
              <w:jc w:val="center"/>
              <w:rPr>
                <w:rFonts w:ascii="Verdana" w:eastAsia="Times New Roman" w:hAnsi="Verdana" w:cs="Calibri"/>
                <w:b/>
                <w:bCs/>
                <w:sz w:val="18"/>
                <w:szCs w:val="20"/>
                <w:lang w:eastAsia="pt-BR"/>
              </w:rPr>
            </w:pPr>
            <w:r>
              <w:rPr>
                <w:rFonts w:ascii="Verdana" w:eastAsia="Times New Roman" w:hAnsi="Verdana" w:cs="Calibri"/>
                <w:b/>
                <w:bCs/>
                <w:sz w:val="18"/>
                <w:szCs w:val="20"/>
                <w:lang w:eastAsia="pt-BR"/>
              </w:rPr>
              <w:t>15</w:t>
            </w:r>
            <w:r w:rsidR="00536317" w:rsidRPr="006B5F69">
              <w:rPr>
                <w:rFonts w:ascii="Verdana" w:eastAsia="Times New Roman" w:hAnsi="Verdana" w:cs="Calibri"/>
                <w:b/>
                <w:bCs/>
                <w:sz w:val="18"/>
                <w:szCs w:val="20"/>
                <w:lang w:eastAsia="pt-BR"/>
              </w:rPr>
              <w:t xml:space="preserve"> </w:t>
            </w:r>
          </w:p>
        </w:tc>
        <w:tc>
          <w:tcPr>
            <w:tcW w:w="211" w:type="dxa"/>
            <w:tcBorders>
              <w:top w:val="nil"/>
              <w:left w:val="nil"/>
              <w:bottom w:val="nil"/>
              <w:right w:val="nil"/>
            </w:tcBorders>
            <w:shd w:val="clear" w:color="auto" w:fill="auto"/>
            <w:noWrap/>
            <w:vAlign w:val="center"/>
            <w:hideMark/>
          </w:tcPr>
          <w:p w14:paraId="76ABB830" w14:textId="77777777" w:rsidR="00536317" w:rsidRPr="006B5F69" w:rsidRDefault="00536317" w:rsidP="00536317">
            <w:pPr>
              <w:spacing w:after="0" w:line="240" w:lineRule="auto"/>
              <w:jc w:val="center"/>
              <w:rPr>
                <w:rFonts w:ascii="Verdana" w:eastAsia="Times New Roman" w:hAnsi="Verdana" w:cs="Calibri"/>
                <w:b/>
                <w:bCs/>
                <w:sz w:val="18"/>
                <w:szCs w:val="20"/>
                <w:lang w:eastAsia="pt-BR"/>
              </w:rPr>
            </w:pPr>
          </w:p>
        </w:tc>
        <w:tc>
          <w:tcPr>
            <w:tcW w:w="2018" w:type="dxa"/>
            <w:tcBorders>
              <w:top w:val="nil"/>
              <w:left w:val="nil"/>
              <w:bottom w:val="nil"/>
              <w:right w:val="nil"/>
            </w:tcBorders>
            <w:shd w:val="clear" w:color="auto" w:fill="auto"/>
            <w:noWrap/>
            <w:vAlign w:val="center"/>
            <w:hideMark/>
          </w:tcPr>
          <w:p w14:paraId="34C5F3C3" w14:textId="77777777"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   </w:t>
            </w:r>
          </w:p>
        </w:tc>
        <w:tc>
          <w:tcPr>
            <w:tcW w:w="211" w:type="dxa"/>
            <w:tcBorders>
              <w:top w:val="nil"/>
              <w:left w:val="nil"/>
              <w:bottom w:val="nil"/>
              <w:right w:val="nil"/>
            </w:tcBorders>
            <w:shd w:val="clear" w:color="auto" w:fill="auto"/>
            <w:noWrap/>
            <w:vAlign w:val="center"/>
            <w:hideMark/>
          </w:tcPr>
          <w:p w14:paraId="29255017" w14:textId="77777777" w:rsidR="00536317" w:rsidRPr="006B5F69" w:rsidRDefault="00536317" w:rsidP="00536317">
            <w:pPr>
              <w:spacing w:after="0" w:line="240" w:lineRule="auto"/>
              <w:rPr>
                <w:rFonts w:ascii="Verdana" w:eastAsia="Times New Roman" w:hAnsi="Verdana" w:cs="Calibri"/>
                <w:sz w:val="18"/>
                <w:szCs w:val="20"/>
                <w:lang w:eastAsia="pt-BR"/>
              </w:rPr>
            </w:pPr>
          </w:p>
        </w:tc>
        <w:tc>
          <w:tcPr>
            <w:tcW w:w="1831" w:type="dxa"/>
            <w:tcBorders>
              <w:top w:val="nil"/>
              <w:left w:val="nil"/>
              <w:bottom w:val="nil"/>
              <w:right w:val="nil"/>
            </w:tcBorders>
            <w:shd w:val="clear" w:color="auto" w:fill="auto"/>
            <w:noWrap/>
            <w:vAlign w:val="center"/>
            <w:hideMark/>
          </w:tcPr>
          <w:p w14:paraId="177E4A70" w14:textId="77777777"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374.839 </w:t>
            </w:r>
          </w:p>
        </w:tc>
      </w:tr>
      <w:tr w:rsidR="00536317" w:rsidRPr="006B5F69" w14:paraId="38BB9C4A" w14:textId="77777777" w:rsidTr="00BA3EEF">
        <w:trPr>
          <w:trHeight w:val="234"/>
          <w:jc w:val="center"/>
        </w:trPr>
        <w:tc>
          <w:tcPr>
            <w:tcW w:w="4820" w:type="dxa"/>
            <w:tcBorders>
              <w:top w:val="nil"/>
              <w:left w:val="nil"/>
              <w:bottom w:val="nil"/>
              <w:right w:val="nil"/>
            </w:tcBorders>
            <w:shd w:val="clear" w:color="auto" w:fill="auto"/>
            <w:noWrap/>
            <w:vAlign w:val="center"/>
            <w:hideMark/>
          </w:tcPr>
          <w:p w14:paraId="3E39D20B"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Tributos a recolher</w:t>
            </w:r>
          </w:p>
        </w:tc>
        <w:tc>
          <w:tcPr>
            <w:tcW w:w="211" w:type="dxa"/>
            <w:tcBorders>
              <w:top w:val="nil"/>
              <w:left w:val="nil"/>
              <w:bottom w:val="nil"/>
              <w:right w:val="nil"/>
            </w:tcBorders>
            <w:shd w:val="clear" w:color="auto" w:fill="auto"/>
            <w:noWrap/>
            <w:vAlign w:val="bottom"/>
            <w:hideMark/>
          </w:tcPr>
          <w:p w14:paraId="4B3BD885"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771" w:type="dxa"/>
            <w:tcBorders>
              <w:top w:val="nil"/>
              <w:left w:val="nil"/>
              <w:bottom w:val="nil"/>
              <w:right w:val="nil"/>
            </w:tcBorders>
            <w:shd w:val="clear" w:color="auto" w:fill="auto"/>
            <w:noWrap/>
            <w:vAlign w:val="center"/>
            <w:hideMark/>
          </w:tcPr>
          <w:p w14:paraId="51EE4F11" w14:textId="77777777" w:rsidR="00536317" w:rsidRPr="006B5F69" w:rsidRDefault="00581D1F" w:rsidP="00536317">
            <w:pPr>
              <w:spacing w:after="0" w:line="240" w:lineRule="auto"/>
              <w:jc w:val="center"/>
              <w:rPr>
                <w:rFonts w:ascii="Verdana" w:eastAsia="Times New Roman" w:hAnsi="Verdana" w:cs="Calibri"/>
                <w:b/>
                <w:bCs/>
                <w:sz w:val="18"/>
                <w:szCs w:val="20"/>
                <w:lang w:eastAsia="pt-BR"/>
              </w:rPr>
            </w:pPr>
            <w:r>
              <w:rPr>
                <w:rFonts w:ascii="Verdana" w:eastAsia="Times New Roman" w:hAnsi="Verdana" w:cs="Calibri"/>
                <w:b/>
                <w:bCs/>
                <w:sz w:val="18"/>
                <w:szCs w:val="20"/>
                <w:lang w:eastAsia="pt-BR"/>
              </w:rPr>
              <w:t>16</w:t>
            </w:r>
            <w:r w:rsidR="00536317" w:rsidRPr="006B5F69">
              <w:rPr>
                <w:rFonts w:ascii="Verdana" w:eastAsia="Times New Roman" w:hAnsi="Verdana" w:cs="Calibri"/>
                <w:b/>
                <w:bCs/>
                <w:sz w:val="18"/>
                <w:szCs w:val="20"/>
                <w:lang w:eastAsia="pt-BR"/>
              </w:rPr>
              <w:t xml:space="preserve"> </w:t>
            </w:r>
          </w:p>
        </w:tc>
        <w:tc>
          <w:tcPr>
            <w:tcW w:w="211" w:type="dxa"/>
            <w:tcBorders>
              <w:top w:val="nil"/>
              <w:left w:val="nil"/>
              <w:bottom w:val="nil"/>
              <w:right w:val="nil"/>
            </w:tcBorders>
            <w:shd w:val="clear" w:color="auto" w:fill="auto"/>
            <w:noWrap/>
            <w:vAlign w:val="center"/>
            <w:hideMark/>
          </w:tcPr>
          <w:p w14:paraId="3E5C1678" w14:textId="77777777" w:rsidR="00536317" w:rsidRPr="006B5F69" w:rsidRDefault="00536317" w:rsidP="00536317">
            <w:pPr>
              <w:spacing w:after="0" w:line="240" w:lineRule="auto"/>
              <w:jc w:val="center"/>
              <w:rPr>
                <w:rFonts w:ascii="Verdana" w:eastAsia="Times New Roman" w:hAnsi="Verdana" w:cs="Calibri"/>
                <w:b/>
                <w:bCs/>
                <w:sz w:val="18"/>
                <w:szCs w:val="20"/>
                <w:lang w:eastAsia="pt-BR"/>
              </w:rPr>
            </w:pPr>
          </w:p>
        </w:tc>
        <w:tc>
          <w:tcPr>
            <w:tcW w:w="2018" w:type="dxa"/>
            <w:tcBorders>
              <w:top w:val="nil"/>
              <w:left w:val="nil"/>
              <w:bottom w:val="nil"/>
              <w:right w:val="nil"/>
            </w:tcBorders>
            <w:shd w:val="clear" w:color="auto" w:fill="auto"/>
            <w:noWrap/>
            <w:vAlign w:val="center"/>
            <w:hideMark/>
          </w:tcPr>
          <w:p w14:paraId="6DD6C485" w14:textId="3F1BBFA6"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w:t>
            </w:r>
            <w:r w:rsidR="00863A04">
              <w:rPr>
                <w:rFonts w:ascii="Verdana" w:eastAsia="Times New Roman" w:hAnsi="Verdana" w:cs="Calibri"/>
                <w:sz w:val="18"/>
                <w:szCs w:val="20"/>
                <w:lang w:eastAsia="pt-BR"/>
              </w:rPr>
              <w:t>159.185</w:t>
            </w:r>
            <w:r w:rsidRPr="006B5F69">
              <w:rPr>
                <w:rFonts w:ascii="Verdana" w:eastAsia="Times New Roman" w:hAnsi="Verdana" w:cs="Calibri"/>
                <w:sz w:val="18"/>
                <w:szCs w:val="20"/>
                <w:lang w:eastAsia="pt-BR"/>
              </w:rPr>
              <w:t xml:space="preserve"> </w:t>
            </w:r>
          </w:p>
        </w:tc>
        <w:tc>
          <w:tcPr>
            <w:tcW w:w="211" w:type="dxa"/>
            <w:tcBorders>
              <w:top w:val="nil"/>
              <w:left w:val="nil"/>
              <w:bottom w:val="nil"/>
              <w:right w:val="nil"/>
            </w:tcBorders>
            <w:shd w:val="clear" w:color="auto" w:fill="auto"/>
            <w:noWrap/>
            <w:vAlign w:val="center"/>
            <w:hideMark/>
          </w:tcPr>
          <w:p w14:paraId="633E14BB"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1831" w:type="dxa"/>
            <w:tcBorders>
              <w:top w:val="nil"/>
              <w:left w:val="nil"/>
              <w:bottom w:val="nil"/>
              <w:right w:val="nil"/>
            </w:tcBorders>
            <w:shd w:val="clear" w:color="auto" w:fill="auto"/>
            <w:noWrap/>
            <w:vAlign w:val="center"/>
            <w:hideMark/>
          </w:tcPr>
          <w:p w14:paraId="5FAE31DC" w14:textId="2694295C"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381.</w:t>
            </w:r>
            <w:r w:rsidR="00863A04">
              <w:rPr>
                <w:rFonts w:ascii="Verdana" w:eastAsia="Times New Roman" w:hAnsi="Verdana" w:cs="Calibri"/>
                <w:sz w:val="18"/>
                <w:szCs w:val="20"/>
                <w:lang w:eastAsia="pt-BR"/>
              </w:rPr>
              <w:t>502</w:t>
            </w:r>
            <w:r w:rsidR="00863A04" w:rsidRPr="006B5F69">
              <w:rPr>
                <w:rFonts w:ascii="Verdana" w:eastAsia="Times New Roman" w:hAnsi="Verdana" w:cs="Calibri"/>
                <w:sz w:val="18"/>
                <w:szCs w:val="20"/>
                <w:lang w:eastAsia="pt-BR"/>
              </w:rPr>
              <w:t xml:space="preserve"> </w:t>
            </w:r>
          </w:p>
        </w:tc>
      </w:tr>
      <w:tr w:rsidR="00536317" w:rsidRPr="006B5F69" w14:paraId="1B705D1B" w14:textId="77777777" w:rsidTr="00BA3EEF">
        <w:trPr>
          <w:trHeight w:val="234"/>
          <w:jc w:val="center"/>
        </w:trPr>
        <w:tc>
          <w:tcPr>
            <w:tcW w:w="4820" w:type="dxa"/>
            <w:tcBorders>
              <w:top w:val="nil"/>
              <w:left w:val="nil"/>
              <w:bottom w:val="nil"/>
              <w:right w:val="nil"/>
            </w:tcBorders>
            <w:shd w:val="clear" w:color="auto" w:fill="auto"/>
            <w:noWrap/>
            <w:vAlign w:val="center"/>
            <w:hideMark/>
          </w:tcPr>
          <w:p w14:paraId="106794C8"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Obrigações estimadas</w:t>
            </w:r>
          </w:p>
        </w:tc>
        <w:tc>
          <w:tcPr>
            <w:tcW w:w="211" w:type="dxa"/>
            <w:tcBorders>
              <w:top w:val="nil"/>
              <w:left w:val="nil"/>
              <w:bottom w:val="nil"/>
              <w:right w:val="nil"/>
            </w:tcBorders>
            <w:shd w:val="clear" w:color="auto" w:fill="auto"/>
            <w:noWrap/>
            <w:vAlign w:val="bottom"/>
            <w:hideMark/>
          </w:tcPr>
          <w:p w14:paraId="70C38496"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771" w:type="dxa"/>
            <w:tcBorders>
              <w:top w:val="nil"/>
              <w:left w:val="nil"/>
              <w:bottom w:val="nil"/>
              <w:right w:val="nil"/>
            </w:tcBorders>
            <w:shd w:val="clear" w:color="auto" w:fill="auto"/>
            <w:noWrap/>
            <w:vAlign w:val="center"/>
            <w:hideMark/>
          </w:tcPr>
          <w:p w14:paraId="17C256B8" w14:textId="77777777" w:rsidR="00536317" w:rsidRPr="006B5F69" w:rsidRDefault="00581D1F" w:rsidP="00536317">
            <w:pPr>
              <w:spacing w:after="0" w:line="240" w:lineRule="auto"/>
              <w:jc w:val="center"/>
              <w:rPr>
                <w:rFonts w:ascii="Verdana" w:eastAsia="Times New Roman" w:hAnsi="Verdana" w:cs="Calibri"/>
                <w:b/>
                <w:bCs/>
                <w:sz w:val="18"/>
                <w:szCs w:val="20"/>
                <w:lang w:eastAsia="pt-BR"/>
              </w:rPr>
            </w:pPr>
            <w:r>
              <w:rPr>
                <w:rFonts w:ascii="Verdana" w:eastAsia="Times New Roman" w:hAnsi="Verdana" w:cs="Calibri"/>
                <w:b/>
                <w:bCs/>
                <w:sz w:val="18"/>
                <w:szCs w:val="20"/>
                <w:lang w:eastAsia="pt-BR"/>
              </w:rPr>
              <w:t>17</w:t>
            </w:r>
            <w:r w:rsidR="00536317" w:rsidRPr="006B5F69">
              <w:rPr>
                <w:rFonts w:ascii="Verdana" w:eastAsia="Times New Roman" w:hAnsi="Verdana" w:cs="Calibri"/>
                <w:b/>
                <w:bCs/>
                <w:sz w:val="18"/>
                <w:szCs w:val="20"/>
                <w:lang w:eastAsia="pt-BR"/>
              </w:rPr>
              <w:t xml:space="preserve"> </w:t>
            </w:r>
          </w:p>
        </w:tc>
        <w:tc>
          <w:tcPr>
            <w:tcW w:w="211" w:type="dxa"/>
            <w:tcBorders>
              <w:top w:val="nil"/>
              <w:left w:val="nil"/>
              <w:bottom w:val="nil"/>
              <w:right w:val="nil"/>
            </w:tcBorders>
            <w:shd w:val="clear" w:color="auto" w:fill="auto"/>
            <w:noWrap/>
            <w:vAlign w:val="center"/>
            <w:hideMark/>
          </w:tcPr>
          <w:p w14:paraId="15859DCC" w14:textId="77777777" w:rsidR="00536317" w:rsidRPr="006B5F69" w:rsidRDefault="00536317" w:rsidP="00536317">
            <w:pPr>
              <w:spacing w:after="0" w:line="240" w:lineRule="auto"/>
              <w:jc w:val="center"/>
              <w:rPr>
                <w:rFonts w:ascii="Verdana" w:eastAsia="Times New Roman" w:hAnsi="Verdana" w:cs="Calibri"/>
                <w:b/>
                <w:bCs/>
                <w:sz w:val="18"/>
                <w:szCs w:val="20"/>
                <w:lang w:eastAsia="pt-BR"/>
              </w:rPr>
            </w:pPr>
          </w:p>
        </w:tc>
        <w:tc>
          <w:tcPr>
            <w:tcW w:w="2018" w:type="dxa"/>
            <w:tcBorders>
              <w:top w:val="nil"/>
              <w:left w:val="nil"/>
              <w:bottom w:val="nil"/>
              <w:right w:val="nil"/>
            </w:tcBorders>
            <w:shd w:val="clear" w:color="auto" w:fill="auto"/>
            <w:noWrap/>
            <w:vAlign w:val="center"/>
            <w:hideMark/>
          </w:tcPr>
          <w:p w14:paraId="4203637E" w14:textId="28ECC660"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w:t>
            </w:r>
            <w:r w:rsidR="00863A04">
              <w:rPr>
                <w:rFonts w:ascii="Verdana" w:eastAsia="Times New Roman" w:hAnsi="Verdana" w:cs="Calibri"/>
                <w:sz w:val="18"/>
                <w:szCs w:val="20"/>
                <w:lang w:eastAsia="pt-BR"/>
              </w:rPr>
              <w:t>479</w:t>
            </w:r>
            <w:r w:rsidR="00863A04" w:rsidRPr="006B5F69">
              <w:rPr>
                <w:rFonts w:ascii="Verdana" w:eastAsia="Times New Roman" w:hAnsi="Verdana" w:cs="Calibri"/>
                <w:sz w:val="18"/>
                <w:szCs w:val="20"/>
                <w:lang w:eastAsia="pt-BR"/>
              </w:rPr>
              <w:t xml:space="preserve"> </w:t>
            </w:r>
          </w:p>
        </w:tc>
        <w:tc>
          <w:tcPr>
            <w:tcW w:w="211" w:type="dxa"/>
            <w:tcBorders>
              <w:top w:val="nil"/>
              <w:left w:val="nil"/>
              <w:bottom w:val="nil"/>
              <w:right w:val="nil"/>
            </w:tcBorders>
            <w:shd w:val="clear" w:color="auto" w:fill="auto"/>
            <w:noWrap/>
            <w:vAlign w:val="bottom"/>
            <w:hideMark/>
          </w:tcPr>
          <w:p w14:paraId="170C9E16"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1831" w:type="dxa"/>
            <w:tcBorders>
              <w:top w:val="nil"/>
              <w:left w:val="nil"/>
              <w:bottom w:val="nil"/>
              <w:right w:val="nil"/>
            </w:tcBorders>
            <w:shd w:val="clear" w:color="auto" w:fill="auto"/>
            <w:noWrap/>
            <w:vAlign w:val="center"/>
            <w:hideMark/>
          </w:tcPr>
          <w:p w14:paraId="5A196624" w14:textId="1E831E0E"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100.</w:t>
            </w:r>
            <w:r w:rsidR="00863A04">
              <w:rPr>
                <w:rFonts w:ascii="Verdana" w:eastAsia="Times New Roman" w:hAnsi="Verdana" w:cs="Calibri"/>
                <w:sz w:val="18"/>
                <w:szCs w:val="20"/>
                <w:lang w:eastAsia="pt-BR"/>
              </w:rPr>
              <w:t>070</w:t>
            </w:r>
            <w:r w:rsidR="00863A04" w:rsidRPr="006B5F69">
              <w:rPr>
                <w:rFonts w:ascii="Verdana" w:eastAsia="Times New Roman" w:hAnsi="Verdana" w:cs="Calibri"/>
                <w:sz w:val="18"/>
                <w:szCs w:val="20"/>
                <w:lang w:eastAsia="pt-BR"/>
              </w:rPr>
              <w:t xml:space="preserve"> </w:t>
            </w:r>
          </w:p>
        </w:tc>
      </w:tr>
      <w:tr w:rsidR="00536317" w:rsidRPr="006B5F69" w14:paraId="31A6508D" w14:textId="77777777" w:rsidTr="00BA3EEF">
        <w:trPr>
          <w:trHeight w:val="234"/>
          <w:jc w:val="center"/>
        </w:trPr>
        <w:tc>
          <w:tcPr>
            <w:tcW w:w="4820" w:type="dxa"/>
            <w:tcBorders>
              <w:top w:val="nil"/>
              <w:left w:val="nil"/>
              <w:bottom w:val="nil"/>
              <w:right w:val="nil"/>
            </w:tcBorders>
            <w:shd w:val="clear" w:color="auto" w:fill="auto"/>
            <w:noWrap/>
            <w:vAlign w:val="center"/>
            <w:hideMark/>
          </w:tcPr>
          <w:p w14:paraId="40B0891C"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Encargos setoriais</w:t>
            </w:r>
          </w:p>
        </w:tc>
        <w:tc>
          <w:tcPr>
            <w:tcW w:w="211" w:type="dxa"/>
            <w:tcBorders>
              <w:top w:val="nil"/>
              <w:left w:val="nil"/>
              <w:bottom w:val="nil"/>
              <w:right w:val="nil"/>
            </w:tcBorders>
            <w:shd w:val="clear" w:color="auto" w:fill="auto"/>
            <w:noWrap/>
            <w:vAlign w:val="bottom"/>
            <w:hideMark/>
          </w:tcPr>
          <w:p w14:paraId="4F88C8C5"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771" w:type="dxa"/>
            <w:tcBorders>
              <w:top w:val="nil"/>
              <w:left w:val="nil"/>
              <w:bottom w:val="nil"/>
              <w:right w:val="nil"/>
            </w:tcBorders>
            <w:shd w:val="clear" w:color="auto" w:fill="auto"/>
            <w:noWrap/>
            <w:vAlign w:val="center"/>
            <w:hideMark/>
          </w:tcPr>
          <w:p w14:paraId="4D8AFFFD" w14:textId="77777777" w:rsidR="00536317" w:rsidRPr="006B5F69" w:rsidRDefault="00536317" w:rsidP="00536317">
            <w:pPr>
              <w:spacing w:after="0" w:line="240" w:lineRule="auto"/>
              <w:rPr>
                <w:rFonts w:ascii="Verdana" w:eastAsia="Times New Roman" w:hAnsi="Verdana" w:cs="Calibri"/>
                <w:sz w:val="18"/>
                <w:szCs w:val="20"/>
                <w:lang w:eastAsia="pt-BR"/>
              </w:rPr>
            </w:pPr>
          </w:p>
        </w:tc>
        <w:tc>
          <w:tcPr>
            <w:tcW w:w="211" w:type="dxa"/>
            <w:tcBorders>
              <w:top w:val="nil"/>
              <w:left w:val="nil"/>
              <w:bottom w:val="nil"/>
              <w:right w:val="nil"/>
            </w:tcBorders>
            <w:shd w:val="clear" w:color="auto" w:fill="auto"/>
            <w:noWrap/>
            <w:vAlign w:val="center"/>
            <w:hideMark/>
          </w:tcPr>
          <w:p w14:paraId="688B5F41" w14:textId="77777777" w:rsidR="00536317" w:rsidRPr="006B5F69" w:rsidRDefault="00536317" w:rsidP="00536317">
            <w:pPr>
              <w:spacing w:after="0" w:line="240" w:lineRule="auto"/>
              <w:jc w:val="center"/>
              <w:rPr>
                <w:rFonts w:ascii="Times New Roman" w:eastAsia="Times New Roman" w:hAnsi="Times New Roman" w:cs="Times New Roman"/>
                <w:sz w:val="18"/>
                <w:szCs w:val="20"/>
                <w:lang w:eastAsia="pt-BR"/>
              </w:rPr>
            </w:pPr>
          </w:p>
        </w:tc>
        <w:tc>
          <w:tcPr>
            <w:tcW w:w="2018" w:type="dxa"/>
            <w:tcBorders>
              <w:top w:val="nil"/>
              <w:left w:val="nil"/>
              <w:bottom w:val="nil"/>
              <w:right w:val="nil"/>
            </w:tcBorders>
            <w:shd w:val="clear" w:color="auto" w:fill="auto"/>
            <w:noWrap/>
            <w:vAlign w:val="center"/>
            <w:hideMark/>
          </w:tcPr>
          <w:p w14:paraId="45D2325B" w14:textId="77777777"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   </w:t>
            </w:r>
          </w:p>
        </w:tc>
        <w:tc>
          <w:tcPr>
            <w:tcW w:w="211" w:type="dxa"/>
            <w:tcBorders>
              <w:top w:val="nil"/>
              <w:left w:val="nil"/>
              <w:bottom w:val="nil"/>
              <w:right w:val="nil"/>
            </w:tcBorders>
            <w:shd w:val="clear" w:color="auto" w:fill="auto"/>
            <w:noWrap/>
            <w:vAlign w:val="center"/>
            <w:hideMark/>
          </w:tcPr>
          <w:p w14:paraId="2BE29C8F"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1831" w:type="dxa"/>
            <w:tcBorders>
              <w:top w:val="nil"/>
              <w:left w:val="nil"/>
              <w:bottom w:val="nil"/>
              <w:right w:val="nil"/>
            </w:tcBorders>
            <w:shd w:val="clear" w:color="auto" w:fill="auto"/>
            <w:noWrap/>
            <w:vAlign w:val="center"/>
            <w:hideMark/>
          </w:tcPr>
          <w:p w14:paraId="2F9CE913" w14:textId="77777777"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27.123 </w:t>
            </w:r>
          </w:p>
        </w:tc>
      </w:tr>
      <w:tr w:rsidR="00536317" w:rsidRPr="006B5F69" w14:paraId="61E81653" w14:textId="77777777" w:rsidTr="00BA3EEF">
        <w:trPr>
          <w:trHeight w:val="234"/>
          <w:jc w:val="center"/>
        </w:trPr>
        <w:tc>
          <w:tcPr>
            <w:tcW w:w="4820" w:type="dxa"/>
            <w:tcBorders>
              <w:top w:val="nil"/>
              <w:left w:val="nil"/>
              <w:bottom w:val="nil"/>
              <w:right w:val="nil"/>
            </w:tcBorders>
            <w:shd w:val="clear" w:color="auto" w:fill="auto"/>
            <w:noWrap/>
            <w:vAlign w:val="center"/>
            <w:hideMark/>
          </w:tcPr>
          <w:p w14:paraId="546CF21C"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Benefício pós-emprego</w:t>
            </w:r>
          </w:p>
        </w:tc>
        <w:tc>
          <w:tcPr>
            <w:tcW w:w="211" w:type="dxa"/>
            <w:tcBorders>
              <w:top w:val="nil"/>
              <w:left w:val="nil"/>
              <w:bottom w:val="nil"/>
              <w:right w:val="nil"/>
            </w:tcBorders>
            <w:shd w:val="clear" w:color="auto" w:fill="auto"/>
            <w:noWrap/>
            <w:vAlign w:val="bottom"/>
            <w:hideMark/>
          </w:tcPr>
          <w:p w14:paraId="7291018C"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771" w:type="dxa"/>
            <w:tcBorders>
              <w:top w:val="nil"/>
              <w:left w:val="nil"/>
              <w:bottom w:val="nil"/>
              <w:right w:val="nil"/>
            </w:tcBorders>
            <w:shd w:val="clear" w:color="auto" w:fill="auto"/>
            <w:noWrap/>
            <w:vAlign w:val="center"/>
            <w:hideMark/>
          </w:tcPr>
          <w:p w14:paraId="3FF54ED9" w14:textId="77777777" w:rsidR="00536317" w:rsidRPr="006B5F69" w:rsidRDefault="00581D1F" w:rsidP="00536317">
            <w:pPr>
              <w:spacing w:after="0" w:line="240" w:lineRule="auto"/>
              <w:jc w:val="center"/>
              <w:rPr>
                <w:rFonts w:ascii="Verdana" w:eastAsia="Times New Roman" w:hAnsi="Verdana" w:cs="Calibri"/>
                <w:b/>
                <w:bCs/>
                <w:sz w:val="18"/>
                <w:szCs w:val="20"/>
                <w:lang w:eastAsia="pt-BR"/>
              </w:rPr>
            </w:pPr>
            <w:r>
              <w:rPr>
                <w:rFonts w:ascii="Verdana" w:eastAsia="Times New Roman" w:hAnsi="Verdana" w:cs="Calibri"/>
                <w:b/>
                <w:bCs/>
                <w:sz w:val="18"/>
                <w:szCs w:val="20"/>
                <w:lang w:eastAsia="pt-BR"/>
              </w:rPr>
              <w:t>20</w:t>
            </w:r>
            <w:r w:rsidR="00536317" w:rsidRPr="006B5F69">
              <w:rPr>
                <w:rFonts w:ascii="Verdana" w:eastAsia="Times New Roman" w:hAnsi="Verdana" w:cs="Calibri"/>
                <w:b/>
                <w:bCs/>
                <w:sz w:val="18"/>
                <w:szCs w:val="20"/>
                <w:lang w:eastAsia="pt-BR"/>
              </w:rPr>
              <w:t xml:space="preserve"> </w:t>
            </w:r>
          </w:p>
        </w:tc>
        <w:tc>
          <w:tcPr>
            <w:tcW w:w="211" w:type="dxa"/>
            <w:tcBorders>
              <w:top w:val="nil"/>
              <w:left w:val="nil"/>
              <w:bottom w:val="nil"/>
              <w:right w:val="nil"/>
            </w:tcBorders>
            <w:shd w:val="clear" w:color="auto" w:fill="auto"/>
            <w:noWrap/>
            <w:vAlign w:val="center"/>
            <w:hideMark/>
          </w:tcPr>
          <w:p w14:paraId="40DE9F64" w14:textId="77777777" w:rsidR="00536317" w:rsidRPr="006B5F69" w:rsidRDefault="00536317" w:rsidP="00536317">
            <w:pPr>
              <w:spacing w:after="0" w:line="240" w:lineRule="auto"/>
              <w:jc w:val="center"/>
              <w:rPr>
                <w:rFonts w:ascii="Verdana" w:eastAsia="Times New Roman" w:hAnsi="Verdana" w:cs="Calibri"/>
                <w:b/>
                <w:bCs/>
                <w:sz w:val="18"/>
                <w:szCs w:val="20"/>
                <w:lang w:eastAsia="pt-BR"/>
              </w:rPr>
            </w:pPr>
          </w:p>
        </w:tc>
        <w:tc>
          <w:tcPr>
            <w:tcW w:w="2018" w:type="dxa"/>
            <w:tcBorders>
              <w:top w:val="nil"/>
              <w:left w:val="nil"/>
              <w:bottom w:val="nil"/>
              <w:right w:val="nil"/>
            </w:tcBorders>
            <w:shd w:val="clear" w:color="auto" w:fill="auto"/>
            <w:noWrap/>
            <w:vAlign w:val="center"/>
            <w:hideMark/>
          </w:tcPr>
          <w:p w14:paraId="3795A0E3" w14:textId="77777777"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   </w:t>
            </w:r>
          </w:p>
        </w:tc>
        <w:tc>
          <w:tcPr>
            <w:tcW w:w="211" w:type="dxa"/>
            <w:tcBorders>
              <w:top w:val="nil"/>
              <w:left w:val="nil"/>
              <w:bottom w:val="nil"/>
              <w:right w:val="nil"/>
            </w:tcBorders>
            <w:shd w:val="clear" w:color="auto" w:fill="auto"/>
            <w:noWrap/>
            <w:vAlign w:val="bottom"/>
            <w:hideMark/>
          </w:tcPr>
          <w:p w14:paraId="0249EAFA"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1831" w:type="dxa"/>
            <w:tcBorders>
              <w:top w:val="nil"/>
              <w:left w:val="nil"/>
              <w:bottom w:val="nil"/>
              <w:right w:val="nil"/>
            </w:tcBorders>
            <w:shd w:val="clear" w:color="auto" w:fill="auto"/>
            <w:noWrap/>
            <w:vAlign w:val="center"/>
            <w:hideMark/>
          </w:tcPr>
          <w:p w14:paraId="68C8295F" w14:textId="77777777"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5.184 </w:t>
            </w:r>
          </w:p>
        </w:tc>
      </w:tr>
      <w:tr w:rsidR="00536317" w:rsidRPr="006B5F69" w14:paraId="4BBD4EB6" w14:textId="77777777" w:rsidTr="00BA3EEF">
        <w:trPr>
          <w:trHeight w:val="234"/>
          <w:jc w:val="center"/>
        </w:trPr>
        <w:tc>
          <w:tcPr>
            <w:tcW w:w="4820" w:type="dxa"/>
            <w:tcBorders>
              <w:top w:val="nil"/>
              <w:left w:val="nil"/>
              <w:bottom w:val="nil"/>
              <w:right w:val="nil"/>
            </w:tcBorders>
            <w:shd w:val="clear" w:color="auto" w:fill="auto"/>
            <w:noWrap/>
            <w:vAlign w:val="center"/>
            <w:hideMark/>
          </w:tcPr>
          <w:p w14:paraId="1FAD65D1"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Incentivo de desligamento Pessoal</w:t>
            </w:r>
          </w:p>
        </w:tc>
        <w:tc>
          <w:tcPr>
            <w:tcW w:w="211" w:type="dxa"/>
            <w:tcBorders>
              <w:top w:val="nil"/>
              <w:left w:val="nil"/>
              <w:bottom w:val="nil"/>
              <w:right w:val="nil"/>
            </w:tcBorders>
            <w:shd w:val="clear" w:color="auto" w:fill="auto"/>
            <w:noWrap/>
            <w:vAlign w:val="bottom"/>
            <w:hideMark/>
          </w:tcPr>
          <w:p w14:paraId="5A27B979"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771" w:type="dxa"/>
            <w:tcBorders>
              <w:top w:val="nil"/>
              <w:left w:val="nil"/>
              <w:bottom w:val="nil"/>
              <w:right w:val="nil"/>
            </w:tcBorders>
            <w:shd w:val="clear" w:color="auto" w:fill="auto"/>
            <w:noWrap/>
            <w:vAlign w:val="center"/>
            <w:hideMark/>
          </w:tcPr>
          <w:p w14:paraId="410339CA" w14:textId="77777777" w:rsidR="00536317" w:rsidRPr="006B5F69" w:rsidRDefault="00536317" w:rsidP="00536317">
            <w:pPr>
              <w:spacing w:after="0" w:line="240" w:lineRule="auto"/>
              <w:rPr>
                <w:rFonts w:ascii="Verdana" w:eastAsia="Times New Roman" w:hAnsi="Verdana" w:cs="Calibri"/>
                <w:sz w:val="18"/>
                <w:szCs w:val="20"/>
                <w:lang w:eastAsia="pt-BR"/>
              </w:rPr>
            </w:pPr>
          </w:p>
        </w:tc>
        <w:tc>
          <w:tcPr>
            <w:tcW w:w="211" w:type="dxa"/>
            <w:tcBorders>
              <w:top w:val="nil"/>
              <w:left w:val="nil"/>
              <w:bottom w:val="nil"/>
              <w:right w:val="nil"/>
            </w:tcBorders>
            <w:shd w:val="clear" w:color="auto" w:fill="auto"/>
            <w:noWrap/>
            <w:vAlign w:val="center"/>
            <w:hideMark/>
          </w:tcPr>
          <w:p w14:paraId="33CCC443" w14:textId="77777777" w:rsidR="00536317" w:rsidRPr="006B5F69" w:rsidRDefault="00536317" w:rsidP="00536317">
            <w:pPr>
              <w:spacing w:after="0" w:line="240" w:lineRule="auto"/>
              <w:jc w:val="center"/>
              <w:rPr>
                <w:rFonts w:ascii="Times New Roman" w:eastAsia="Times New Roman" w:hAnsi="Times New Roman" w:cs="Times New Roman"/>
                <w:sz w:val="18"/>
                <w:szCs w:val="20"/>
                <w:lang w:eastAsia="pt-BR"/>
              </w:rPr>
            </w:pPr>
          </w:p>
        </w:tc>
        <w:tc>
          <w:tcPr>
            <w:tcW w:w="2018" w:type="dxa"/>
            <w:tcBorders>
              <w:top w:val="nil"/>
              <w:left w:val="nil"/>
              <w:bottom w:val="nil"/>
              <w:right w:val="nil"/>
            </w:tcBorders>
            <w:shd w:val="clear" w:color="auto" w:fill="auto"/>
            <w:noWrap/>
            <w:vAlign w:val="center"/>
            <w:hideMark/>
          </w:tcPr>
          <w:p w14:paraId="51921BED" w14:textId="77777777"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   </w:t>
            </w:r>
          </w:p>
        </w:tc>
        <w:tc>
          <w:tcPr>
            <w:tcW w:w="211" w:type="dxa"/>
            <w:tcBorders>
              <w:top w:val="nil"/>
              <w:left w:val="nil"/>
              <w:bottom w:val="nil"/>
              <w:right w:val="nil"/>
            </w:tcBorders>
            <w:shd w:val="clear" w:color="auto" w:fill="auto"/>
            <w:noWrap/>
            <w:vAlign w:val="center"/>
            <w:hideMark/>
          </w:tcPr>
          <w:p w14:paraId="6D4627EA"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1831" w:type="dxa"/>
            <w:tcBorders>
              <w:top w:val="nil"/>
              <w:left w:val="nil"/>
              <w:bottom w:val="nil"/>
              <w:right w:val="nil"/>
            </w:tcBorders>
            <w:shd w:val="clear" w:color="auto" w:fill="auto"/>
            <w:noWrap/>
            <w:vAlign w:val="center"/>
            <w:hideMark/>
          </w:tcPr>
          <w:p w14:paraId="37762D86" w14:textId="77777777"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3.834 </w:t>
            </w:r>
          </w:p>
        </w:tc>
      </w:tr>
      <w:tr w:rsidR="00536317" w:rsidRPr="006B5F69" w14:paraId="5F8023A9" w14:textId="77777777" w:rsidTr="00BA3EEF">
        <w:trPr>
          <w:trHeight w:val="234"/>
          <w:jc w:val="center"/>
        </w:trPr>
        <w:tc>
          <w:tcPr>
            <w:tcW w:w="4820" w:type="dxa"/>
            <w:tcBorders>
              <w:top w:val="nil"/>
              <w:left w:val="nil"/>
              <w:bottom w:val="nil"/>
              <w:right w:val="nil"/>
            </w:tcBorders>
            <w:shd w:val="clear" w:color="auto" w:fill="auto"/>
            <w:noWrap/>
            <w:vAlign w:val="center"/>
            <w:hideMark/>
          </w:tcPr>
          <w:p w14:paraId="38817E93"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Energia Itaipu</w:t>
            </w:r>
          </w:p>
        </w:tc>
        <w:tc>
          <w:tcPr>
            <w:tcW w:w="211" w:type="dxa"/>
            <w:tcBorders>
              <w:top w:val="nil"/>
              <w:left w:val="nil"/>
              <w:bottom w:val="nil"/>
              <w:right w:val="nil"/>
            </w:tcBorders>
            <w:shd w:val="clear" w:color="auto" w:fill="auto"/>
            <w:noWrap/>
            <w:vAlign w:val="bottom"/>
            <w:hideMark/>
          </w:tcPr>
          <w:p w14:paraId="5AE19ACD"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771" w:type="dxa"/>
            <w:tcBorders>
              <w:top w:val="nil"/>
              <w:left w:val="nil"/>
              <w:bottom w:val="nil"/>
              <w:right w:val="nil"/>
            </w:tcBorders>
            <w:shd w:val="clear" w:color="auto" w:fill="auto"/>
            <w:noWrap/>
            <w:vAlign w:val="center"/>
            <w:hideMark/>
          </w:tcPr>
          <w:p w14:paraId="1BFC9CAA" w14:textId="77777777" w:rsidR="00536317" w:rsidRPr="006B5F69" w:rsidRDefault="00581D1F" w:rsidP="00667591">
            <w:pPr>
              <w:spacing w:after="0" w:line="240" w:lineRule="auto"/>
              <w:jc w:val="center"/>
              <w:rPr>
                <w:rFonts w:ascii="Verdana" w:eastAsia="Times New Roman" w:hAnsi="Verdana" w:cs="Calibri"/>
                <w:b/>
                <w:bCs/>
                <w:sz w:val="18"/>
                <w:szCs w:val="20"/>
                <w:lang w:eastAsia="pt-BR"/>
              </w:rPr>
            </w:pPr>
            <w:r>
              <w:rPr>
                <w:rFonts w:ascii="Verdana" w:eastAsia="Times New Roman" w:hAnsi="Verdana" w:cs="Calibri"/>
                <w:b/>
                <w:bCs/>
                <w:sz w:val="18"/>
                <w:szCs w:val="20"/>
                <w:lang w:eastAsia="pt-BR"/>
              </w:rPr>
              <w:t>27</w:t>
            </w:r>
          </w:p>
        </w:tc>
        <w:tc>
          <w:tcPr>
            <w:tcW w:w="211" w:type="dxa"/>
            <w:tcBorders>
              <w:top w:val="nil"/>
              <w:left w:val="nil"/>
              <w:bottom w:val="nil"/>
              <w:right w:val="nil"/>
            </w:tcBorders>
            <w:shd w:val="clear" w:color="auto" w:fill="auto"/>
            <w:noWrap/>
            <w:vAlign w:val="center"/>
            <w:hideMark/>
          </w:tcPr>
          <w:p w14:paraId="4512F8B4" w14:textId="77777777" w:rsidR="00536317" w:rsidRPr="006B5F69" w:rsidRDefault="00536317" w:rsidP="00536317">
            <w:pPr>
              <w:spacing w:after="0" w:line="240" w:lineRule="auto"/>
              <w:jc w:val="center"/>
              <w:rPr>
                <w:rFonts w:ascii="Times New Roman" w:eastAsia="Times New Roman" w:hAnsi="Times New Roman" w:cs="Times New Roman"/>
                <w:sz w:val="18"/>
                <w:szCs w:val="20"/>
                <w:lang w:eastAsia="pt-BR"/>
              </w:rPr>
            </w:pPr>
          </w:p>
        </w:tc>
        <w:tc>
          <w:tcPr>
            <w:tcW w:w="2018" w:type="dxa"/>
            <w:tcBorders>
              <w:top w:val="nil"/>
              <w:left w:val="nil"/>
              <w:bottom w:val="nil"/>
              <w:right w:val="nil"/>
            </w:tcBorders>
            <w:shd w:val="clear" w:color="auto" w:fill="auto"/>
            <w:noWrap/>
            <w:vAlign w:val="center"/>
            <w:hideMark/>
          </w:tcPr>
          <w:p w14:paraId="03DBEE28" w14:textId="77777777" w:rsidR="00536317" w:rsidRPr="00983DF0" w:rsidRDefault="00536317" w:rsidP="00F7132F">
            <w:pPr>
              <w:spacing w:after="0" w:line="240" w:lineRule="auto"/>
              <w:jc w:val="right"/>
              <w:rPr>
                <w:rFonts w:ascii="Verdana" w:eastAsia="Times New Roman" w:hAnsi="Verdana" w:cs="Calibri"/>
                <w:sz w:val="18"/>
                <w:szCs w:val="20"/>
                <w:lang w:eastAsia="pt-BR"/>
              </w:rPr>
            </w:pPr>
            <w:r w:rsidRPr="00983DF0">
              <w:rPr>
                <w:rFonts w:ascii="Verdana" w:eastAsia="Times New Roman" w:hAnsi="Verdana" w:cs="Calibri"/>
                <w:sz w:val="18"/>
                <w:szCs w:val="20"/>
                <w:lang w:eastAsia="pt-BR"/>
              </w:rPr>
              <w:t xml:space="preserve">            986.647 </w:t>
            </w:r>
          </w:p>
        </w:tc>
        <w:tc>
          <w:tcPr>
            <w:tcW w:w="211" w:type="dxa"/>
            <w:tcBorders>
              <w:top w:val="nil"/>
              <w:left w:val="nil"/>
              <w:bottom w:val="nil"/>
              <w:right w:val="nil"/>
            </w:tcBorders>
            <w:shd w:val="clear" w:color="auto" w:fill="auto"/>
            <w:noWrap/>
            <w:vAlign w:val="bottom"/>
            <w:hideMark/>
          </w:tcPr>
          <w:p w14:paraId="274C2310"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1831" w:type="dxa"/>
            <w:tcBorders>
              <w:top w:val="nil"/>
              <w:left w:val="nil"/>
              <w:bottom w:val="nil"/>
              <w:right w:val="nil"/>
            </w:tcBorders>
            <w:shd w:val="clear" w:color="auto" w:fill="auto"/>
            <w:noWrap/>
            <w:vAlign w:val="center"/>
            <w:hideMark/>
          </w:tcPr>
          <w:p w14:paraId="2EE9EEEF" w14:textId="77777777"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986.647 </w:t>
            </w:r>
          </w:p>
        </w:tc>
      </w:tr>
      <w:tr w:rsidR="00536317" w:rsidRPr="006B5F69" w14:paraId="58CCA740" w14:textId="77777777" w:rsidTr="00BA3EEF">
        <w:trPr>
          <w:trHeight w:val="234"/>
          <w:jc w:val="center"/>
        </w:trPr>
        <w:tc>
          <w:tcPr>
            <w:tcW w:w="4820" w:type="dxa"/>
            <w:tcBorders>
              <w:top w:val="nil"/>
              <w:left w:val="nil"/>
              <w:bottom w:val="nil"/>
              <w:right w:val="nil"/>
            </w:tcBorders>
            <w:shd w:val="clear" w:color="auto" w:fill="auto"/>
            <w:noWrap/>
            <w:vAlign w:val="center"/>
            <w:hideMark/>
          </w:tcPr>
          <w:p w14:paraId="51E4E641"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Contas a pagar aquisição de investimentos</w:t>
            </w:r>
          </w:p>
        </w:tc>
        <w:tc>
          <w:tcPr>
            <w:tcW w:w="211" w:type="dxa"/>
            <w:tcBorders>
              <w:top w:val="nil"/>
              <w:left w:val="nil"/>
              <w:bottom w:val="nil"/>
              <w:right w:val="nil"/>
            </w:tcBorders>
            <w:shd w:val="clear" w:color="auto" w:fill="auto"/>
            <w:noWrap/>
            <w:vAlign w:val="bottom"/>
            <w:hideMark/>
          </w:tcPr>
          <w:p w14:paraId="55623FFA"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771" w:type="dxa"/>
            <w:tcBorders>
              <w:top w:val="nil"/>
              <w:left w:val="nil"/>
              <w:bottom w:val="nil"/>
              <w:right w:val="nil"/>
            </w:tcBorders>
            <w:shd w:val="clear" w:color="auto" w:fill="auto"/>
            <w:noWrap/>
            <w:vAlign w:val="center"/>
            <w:hideMark/>
          </w:tcPr>
          <w:p w14:paraId="353D3708" w14:textId="77777777" w:rsidR="00536317" w:rsidRPr="006B5F69" w:rsidRDefault="00581D1F" w:rsidP="00536317">
            <w:pPr>
              <w:spacing w:after="0" w:line="240" w:lineRule="auto"/>
              <w:jc w:val="center"/>
              <w:rPr>
                <w:rFonts w:ascii="Verdana" w:eastAsia="Times New Roman" w:hAnsi="Verdana" w:cs="Calibri"/>
                <w:b/>
                <w:bCs/>
                <w:sz w:val="18"/>
                <w:szCs w:val="20"/>
                <w:lang w:eastAsia="pt-BR"/>
              </w:rPr>
            </w:pPr>
            <w:r>
              <w:rPr>
                <w:rFonts w:ascii="Verdana" w:eastAsia="Times New Roman" w:hAnsi="Verdana" w:cs="Calibri"/>
                <w:b/>
                <w:bCs/>
                <w:sz w:val="18"/>
                <w:szCs w:val="20"/>
                <w:lang w:eastAsia="pt-BR"/>
              </w:rPr>
              <w:t>18</w:t>
            </w:r>
            <w:r w:rsidR="00536317" w:rsidRPr="006B5F69">
              <w:rPr>
                <w:rFonts w:ascii="Verdana" w:eastAsia="Times New Roman" w:hAnsi="Verdana" w:cs="Calibri"/>
                <w:b/>
                <w:bCs/>
                <w:sz w:val="18"/>
                <w:szCs w:val="20"/>
                <w:lang w:eastAsia="pt-BR"/>
              </w:rPr>
              <w:t xml:space="preserve"> </w:t>
            </w:r>
          </w:p>
        </w:tc>
        <w:tc>
          <w:tcPr>
            <w:tcW w:w="211" w:type="dxa"/>
            <w:tcBorders>
              <w:top w:val="nil"/>
              <w:left w:val="nil"/>
              <w:bottom w:val="nil"/>
              <w:right w:val="nil"/>
            </w:tcBorders>
            <w:shd w:val="clear" w:color="auto" w:fill="auto"/>
            <w:noWrap/>
            <w:vAlign w:val="center"/>
            <w:hideMark/>
          </w:tcPr>
          <w:p w14:paraId="08750640" w14:textId="77777777" w:rsidR="00536317" w:rsidRPr="006B5F69" w:rsidRDefault="00536317" w:rsidP="00536317">
            <w:pPr>
              <w:spacing w:after="0" w:line="240" w:lineRule="auto"/>
              <w:jc w:val="center"/>
              <w:rPr>
                <w:rFonts w:ascii="Verdana" w:eastAsia="Times New Roman" w:hAnsi="Verdana" w:cs="Calibri"/>
                <w:b/>
                <w:bCs/>
                <w:sz w:val="18"/>
                <w:szCs w:val="20"/>
                <w:lang w:eastAsia="pt-BR"/>
              </w:rPr>
            </w:pPr>
          </w:p>
        </w:tc>
        <w:tc>
          <w:tcPr>
            <w:tcW w:w="2018" w:type="dxa"/>
            <w:tcBorders>
              <w:top w:val="nil"/>
              <w:left w:val="nil"/>
              <w:bottom w:val="nil"/>
              <w:right w:val="nil"/>
            </w:tcBorders>
            <w:shd w:val="clear" w:color="auto" w:fill="auto"/>
            <w:noWrap/>
            <w:vAlign w:val="center"/>
            <w:hideMark/>
          </w:tcPr>
          <w:p w14:paraId="0C7D7EA6" w14:textId="77777777" w:rsidR="00536317" w:rsidRPr="00983DF0" w:rsidRDefault="00536317" w:rsidP="00F7132F">
            <w:pPr>
              <w:spacing w:after="0" w:line="240" w:lineRule="auto"/>
              <w:jc w:val="right"/>
              <w:rPr>
                <w:rFonts w:ascii="Verdana" w:eastAsia="Times New Roman" w:hAnsi="Verdana" w:cs="Calibri"/>
                <w:sz w:val="18"/>
                <w:szCs w:val="20"/>
                <w:lang w:eastAsia="pt-BR"/>
              </w:rPr>
            </w:pPr>
            <w:r w:rsidRPr="00983DF0">
              <w:rPr>
                <w:rFonts w:ascii="Verdana" w:eastAsia="Times New Roman" w:hAnsi="Verdana" w:cs="Calibri"/>
                <w:sz w:val="18"/>
                <w:szCs w:val="20"/>
                <w:lang w:eastAsia="pt-BR"/>
              </w:rPr>
              <w:t xml:space="preserve">              43.549 </w:t>
            </w:r>
          </w:p>
        </w:tc>
        <w:tc>
          <w:tcPr>
            <w:tcW w:w="211" w:type="dxa"/>
            <w:tcBorders>
              <w:top w:val="nil"/>
              <w:left w:val="nil"/>
              <w:bottom w:val="nil"/>
              <w:right w:val="nil"/>
            </w:tcBorders>
            <w:shd w:val="clear" w:color="auto" w:fill="auto"/>
            <w:noWrap/>
            <w:vAlign w:val="center"/>
            <w:hideMark/>
          </w:tcPr>
          <w:p w14:paraId="45705F07"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1831" w:type="dxa"/>
            <w:tcBorders>
              <w:top w:val="nil"/>
              <w:left w:val="nil"/>
              <w:bottom w:val="nil"/>
              <w:right w:val="nil"/>
            </w:tcBorders>
            <w:shd w:val="clear" w:color="auto" w:fill="auto"/>
            <w:noWrap/>
            <w:vAlign w:val="center"/>
            <w:hideMark/>
          </w:tcPr>
          <w:p w14:paraId="02FA5648" w14:textId="77777777"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43.549 </w:t>
            </w:r>
          </w:p>
        </w:tc>
      </w:tr>
      <w:tr w:rsidR="00536317" w:rsidRPr="006B5F69" w14:paraId="159DBBCB" w14:textId="77777777" w:rsidTr="00BA3EEF">
        <w:trPr>
          <w:trHeight w:val="234"/>
          <w:jc w:val="center"/>
        </w:trPr>
        <w:tc>
          <w:tcPr>
            <w:tcW w:w="4820" w:type="dxa"/>
            <w:tcBorders>
              <w:top w:val="nil"/>
              <w:left w:val="nil"/>
              <w:bottom w:val="nil"/>
              <w:right w:val="nil"/>
            </w:tcBorders>
            <w:shd w:val="clear" w:color="auto" w:fill="auto"/>
            <w:noWrap/>
            <w:vAlign w:val="center"/>
            <w:hideMark/>
          </w:tcPr>
          <w:p w14:paraId="3E392AB4"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Arrendamentos</w:t>
            </w:r>
          </w:p>
        </w:tc>
        <w:tc>
          <w:tcPr>
            <w:tcW w:w="211" w:type="dxa"/>
            <w:tcBorders>
              <w:top w:val="nil"/>
              <w:left w:val="nil"/>
              <w:bottom w:val="nil"/>
              <w:right w:val="nil"/>
            </w:tcBorders>
            <w:shd w:val="clear" w:color="auto" w:fill="auto"/>
            <w:noWrap/>
            <w:vAlign w:val="bottom"/>
            <w:hideMark/>
          </w:tcPr>
          <w:p w14:paraId="32280DD0"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771" w:type="dxa"/>
            <w:tcBorders>
              <w:top w:val="nil"/>
              <w:left w:val="nil"/>
              <w:bottom w:val="nil"/>
              <w:right w:val="nil"/>
            </w:tcBorders>
            <w:shd w:val="clear" w:color="auto" w:fill="auto"/>
            <w:noWrap/>
            <w:vAlign w:val="center"/>
            <w:hideMark/>
          </w:tcPr>
          <w:p w14:paraId="45A6B6E9" w14:textId="77777777" w:rsidR="00536317" w:rsidRPr="006B5F69" w:rsidRDefault="00536317" w:rsidP="00536317">
            <w:pPr>
              <w:spacing w:after="0" w:line="240" w:lineRule="auto"/>
              <w:rPr>
                <w:rFonts w:ascii="Verdana" w:eastAsia="Times New Roman" w:hAnsi="Verdana" w:cs="Calibri"/>
                <w:b/>
                <w:bCs/>
                <w:sz w:val="18"/>
                <w:szCs w:val="20"/>
                <w:lang w:eastAsia="pt-BR"/>
              </w:rPr>
            </w:pPr>
          </w:p>
        </w:tc>
        <w:tc>
          <w:tcPr>
            <w:tcW w:w="211" w:type="dxa"/>
            <w:tcBorders>
              <w:top w:val="nil"/>
              <w:left w:val="nil"/>
              <w:bottom w:val="nil"/>
              <w:right w:val="nil"/>
            </w:tcBorders>
            <w:shd w:val="clear" w:color="auto" w:fill="auto"/>
            <w:noWrap/>
            <w:vAlign w:val="center"/>
            <w:hideMark/>
          </w:tcPr>
          <w:p w14:paraId="27C3D406" w14:textId="77777777" w:rsidR="00536317" w:rsidRPr="006B5F69" w:rsidRDefault="00536317" w:rsidP="00536317">
            <w:pPr>
              <w:spacing w:after="0" w:line="240" w:lineRule="auto"/>
              <w:jc w:val="center"/>
              <w:rPr>
                <w:rFonts w:ascii="Times New Roman" w:eastAsia="Times New Roman" w:hAnsi="Times New Roman" w:cs="Times New Roman"/>
                <w:sz w:val="18"/>
                <w:szCs w:val="20"/>
                <w:lang w:eastAsia="pt-BR"/>
              </w:rPr>
            </w:pPr>
          </w:p>
        </w:tc>
        <w:tc>
          <w:tcPr>
            <w:tcW w:w="2018" w:type="dxa"/>
            <w:tcBorders>
              <w:top w:val="nil"/>
              <w:left w:val="nil"/>
              <w:bottom w:val="nil"/>
              <w:right w:val="nil"/>
            </w:tcBorders>
            <w:shd w:val="clear" w:color="auto" w:fill="auto"/>
            <w:noWrap/>
            <w:vAlign w:val="center"/>
            <w:hideMark/>
          </w:tcPr>
          <w:p w14:paraId="1EA9B9AE" w14:textId="77777777" w:rsidR="00536317" w:rsidRPr="00983DF0" w:rsidRDefault="00536317" w:rsidP="00F7132F">
            <w:pPr>
              <w:spacing w:after="0" w:line="240" w:lineRule="auto"/>
              <w:jc w:val="right"/>
              <w:rPr>
                <w:rFonts w:ascii="Verdana" w:eastAsia="Times New Roman" w:hAnsi="Verdana" w:cs="Calibri"/>
                <w:sz w:val="18"/>
                <w:szCs w:val="20"/>
                <w:lang w:eastAsia="pt-BR"/>
              </w:rPr>
            </w:pPr>
            <w:r w:rsidRPr="00983DF0">
              <w:rPr>
                <w:rFonts w:ascii="Verdana" w:eastAsia="Times New Roman" w:hAnsi="Verdana" w:cs="Calibri"/>
                <w:sz w:val="18"/>
                <w:szCs w:val="20"/>
                <w:lang w:eastAsia="pt-BR"/>
              </w:rPr>
              <w:t xml:space="preserve">               1.326 </w:t>
            </w:r>
          </w:p>
        </w:tc>
        <w:tc>
          <w:tcPr>
            <w:tcW w:w="211" w:type="dxa"/>
            <w:tcBorders>
              <w:top w:val="nil"/>
              <w:left w:val="nil"/>
              <w:bottom w:val="nil"/>
              <w:right w:val="nil"/>
            </w:tcBorders>
            <w:shd w:val="clear" w:color="auto" w:fill="auto"/>
            <w:noWrap/>
            <w:vAlign w:val="bottom"/>
            <w:hideMark/>
          </w:tcPr>
          <w:p w14:paraId="70451755"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1831" w:type="dxa"/>
            <w:tcBorders>
              <w:top w:val="nil"/>
              <w:left w:val="nil"/>
              <w:bottom w:val="nil"/>
              <w:right w:val="nil"/>
            </w:tcBorders>
            <w:shd w:val="clear" w:color="auto" w:fill="auto"/>
            <w:noWrap/>
            <w:vAlign w:val="center"/>
            <w:hideMark/>
          </w:tcPr>
          <w:p w14:paraId="259D10E4" w14:textId="77777777"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7.350 </w:t>
            </w:r>
          </w:p>
        </w:tc>
      </w:tr>
      <w:tr w:rsidR="00536317" w:rsidRPr="006B5F69" w14:paraId="3DB6C717" w14:textId="77777777" w:rsidTr="00BA3EEF">
        <w:trPr>
          <w:trHeight w:val="234"/>
          <w:jc w:val="center"/>
        </w:trPr>
        <w:tc>
          <w:tcPr>
            <w:tcW w:w="4820" w:type="dxa"/>
            <w:tcBorders>
              <w:top w:val="nil"/>
              <w:left w:val="nil"/>
              <w:bottom w:val="nil"/>
              <w:right w:val="nil"/>
            </w:tcBorders>
            <w:shd w:val="clear" w:color="auto" w:fill="auto"/>
            <w:noWrap/>
            <w:vAlign w:val="center"/>
            <w:hideMark/>
          </w:tcPr>
          <w:p w14:paraId="5F3A20BA"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Remuneração aos acionistas</w:t>
            </w:r>
          </w:p>
        </w:tc>
        <w:tc>
          <w:tcPr>
            <w:tcW w:w="211" w:type="dxa"/>
            <w:tcBorders>
              <w:top w:val="nil"/>
              <w:left w:val="nil"/>
              <w:bottom w:val="nil"/>
              <w:right w:val="nil"/>
            </w:tcBorders>
            <w:shd w:val="clear" w:color="auto" w:fill="auto"/>
            <w:noWrap/>
            <w:vAlign w:val="bottom"/>
            <w:hideMark/>
          </w:tcPr>
          <w:p w14:paraId="5406726F" w14:textId="77777777" w:rsidR="00536317" w:rsidRPr="006B5F69" w:rsidRDefault="00536317" w:rsidP="00536317">
            <w:pPr>
              <w:spacing w:after="0" w:line="240" w:lineRule="auto"/>
              <w:rPr>
                <w:rFonts w:ascii="Verdana" w:eastAsia="Times New Roman" w:hAnsi="Verdana" w:cs="Calibri"/>
                <w:sz w:val="18"/>
                <w:szCs w:val="20"/>
                <w:lang w:eastAsia="pt-BR"/>
              </w:rPr>
            </w:pPr>
          </w:p>
        </w:tc>
        <w:tc>
          <w:tcPr>
            <w:tcW w:w="771" w:type="dxa"/>
            <w:tcBorders>
              <w:top w:val="nil"/>
              <w:left w:val="nil"/>
              <w:bottom w:val="nil"/>
              <w:right w:val="nil"/>
            </w:tcBorders>
            <w:shd w:val="clear" w:color="auto" w:fill="auto"/>
            <w:noWrap/>
            <w:vAlign w:val="center"/>
            <w:hideMark/>
          </w:tcPr>
          <w:p w14:paraId="1660F7A0" w14:textId="77777777" w:rsidR="00536317" w:rsidRPr="006B5F69" w:rsidRDefault="00536317" w:rsidP="00536317">
            <w:pPr>
              <w:spacing w:after="0" w:line="240" w:lineRule="auto"/>
              <w:rPr>
                <w:rFonts w:ascii="Times New Roman" w:eastAsia="Times New Roman" w:hAnsi="Times New Roman" w:cs="Times New Roman"/>
                <w:sz w:val="18"/>
                <w:szCs w:val="20"/>
                <w:lang w:eastAsia="pt-BR"/>
              </w:rPr>
            </w:pPr>
          </w:p>
        </w:tc>
        <w:tc>
          <w:tcPr>
            <w:tcW w:w="211" w:type="dxa"/>
            <w:tcBorders>
              <w:top w:val="nil"/>
              <w:left w:val="nil"/>
              <w:bottom w:val="nil"/>
              <w:right w:val="nil"/>
            </w:tcBorders>
            <w:shd w:val="clear" w:color="auto" w:fill="auto"/>
            <w:noWrap/>
            <w:vAlign w:val="center"/>
            <w:hideMark/>
          </w:tcPr>
          <w:p w14:paraId="21086CCD" w14:textId="77777777" w:rsidR="00536317" w:rsidRPr="006B5F69" w:rsidRDefault="00536317" w:rsidP="00536317">
            <w:pPr>
              <w:spacing w:after="0" w:line="240" w:lineRule="auto"/>
              <w:jc w:val="center"/>
              <w:rPr>
                <w:rFonts w:ascii="Times New Roman" w:eastAsia="Times New Roman" w:hAnsi="Times New Roman" w:cs="Times New Roman"/>
                <w:sz w:val="18"/>
                <w:szCs w:val="20"/>
                <w:lang w:eastAsia="pt-BR"/>
              </w:rPr>
            </w:pPr>
          </w:p>
        </w:tc>
        <w:tc>
          <w:tcPr>
            <w:tcW w:w="2018" w:type="dxa"/>
            <w:tcBorders>
              <w:top w:val="nil"/>
              <w:left w:val="nil"/>
              <w:bottom w:val="nil"/>
              <w:right w:val="nil"/>
            </w:tcBorders>
            <w:shd w:val="clear" w:color="auto" w:fill="auto"/>
            <w:noWrap/>
            <w:vAlign w:val="center"/>
            <w:hideMark/>
          </w:tcPr>
          <w:p w14:paraId="5B42A660" w14:textId="77777777"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   </w:t>
            </w:r>
          </w:p>
        </w:tc>
        <w:tc>
          <w:tcPr>
            <w:tcW w:w="211" w:type="dxa"/>
            <w:tcBorders>
              <w:top w:val="nil"/>
              <w:left w:val="nil"/>
              <w:bottom w:val="nil"/>
              <w:right w:val="nil"/>
            </w:tcBorders>
            <w:shd w:val="clear" w:color="auto" w:fill="auto"/>
            <w:noWrap/>
            <w:vAlign w:val="center"/>
            <w:hideMark/>
          </w:tcPr>
          <w:p w14:paraId="26F589AB" w14:textId="77777777" w:rsidR="00536317" w:rsidRPr="006B5F69" w:rsidRDefault="00536317" w:rsidP="00536317">
            <w:pPr>
              <w:spacing w:after="0" w:line="240" w:lineRule="auto"/>
              <w:rPr>
                <w:rFonts w:ascii="Verdana" w:eastAsia="Times New Roman" w:hAnsi="Verdana" w:cs="Calibri"/>
                <w:sz w:val="18"/>
                <w:szCs w:val="20"/>
                <w:lang w:eastAsia="pt-BR"/>
              </w:rPr>
            </w:pPr>
          </w:p>
        </w:tc>
        <w:tc>
          <w:tcPr>
            <w:tcW w:w="1831" w:type="dxa"/>
            <w:tcBorders>
              <w:top w:val="nil"/>
              <w:left w:val="nil"/>
              <w:bottom w:val="nil"/>
              <w:right w:val="nil"/>
            </w:tcBorders>
            <w:shd w:val="clear" w:color="auto" w:fill="auto"/>
            <w:noWrap/>
            <w:vAlign w:val="center"/>
            <w:hideMark/>
          </w:tcPr>
          <w:p w14:paraId="34AF21F7" w14:textId="77777777"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4.093 </w:t>
            </w:r>
          </w:p>
        </w:tc>
      </w:tr>
      <w:tr w:rsidR="00536317" w:rsidRPr="006B5F69" w14:paraId="72DE06CE" w14:textId="77777777" w:rsidTr="00BA3EEF">
        <w:trPr>
          <w:trHeight w:val="234"/>
          <w:jc w:val="center"/>
        </w:trPr>
        <w:tc>
          <w:tcPr>
            <w:tcW w:w="4820" w:type="dxa"/>
            <w:tcBorders>
              <w:top w:val="nil"/>
              <w:left w:val="nil"/>
              <w:bottom w:val="nil"/>
              <w:right w:val="nil"/>
            </w:tcBorders>
            <w:shd w:val="clear" w:color="auto" w:fill="auto"/>
            <w:vAlign w:val="center"/>
            <w:hideMark/>
          </w:tcPr>
          <w:p w14:paraId="28008656" w14:textId="77777777" w:rsidR="00536317" w:rsidRPr="006B5F69" w:rsidRDefault="00667591" w:rsidP="00536317">
            <w:pPr>
              <w:spacing w:after="0" w:line="240" w:lineRule="auto"/>
              <w:rPr>
                <w:rFonts w:ascii="Verdana" w:eastAsia="Times New Roman" w:hAnsi="Verdana" w:cs="Calibri"/>
                <w:sz w:val="18"/>
                <w:szCs w:val="20"/>
                <w:lang w:eastAsia="pt-BR"/>
              </w:rPr>
            </w:pPr>
            <w:r>
              <w:rPr>
                <w:rFonts w:ascii="Verdana" w:eastAsia="Times New Roman" w:hAnsi="Verdana" w:cs="Calibri"/>
                <w:sz w:val="18"/>
                <w:szCs w:val="20"/>
                <w:lang w:eastAsia="pt-BR"/>
              </w:rPr>
              <w:t xml:space="preserve">    </w:t>
            </w:r>
            <w:r w:rsidR="00536317" w:rsidRPr="006B5F69">
              <w:rPr>
                <w:rFonts w:ascii="Verdana" w:eastAsia="Times New Roman" w:hAnsi="Verdana" w:cs="Calibri"/>
                <w:sz w:val="18"/>
                <w:szCs w:val="20"/>
                <w:lang w:eastAsia="pt-BR"/>
              </w:rPr>
              <w:t xml:space="preserve">Outros </w:t>
            </w:r>
          </w:p>
        </w:tc>
        <w:tc>
          <w:tcPr>
            <w:tcW w:w="211" w:type="dxa"/>
            <w:tcBorders>
              <w:top w:val="nil"/>
              <w:left w:val="nil"/>
              <w:bottom w:val="nil"/>
              <w:right w:val="nil"/>
            </w:tcBorders>
            <w:shd w:val="clear" w:color="auto" w:fill="auto"/>
            <w:noWrap/>
            <w:vAlign w:val="bottom"/>
            <w:hideMark/>
          </w:tcPr>
          <w:p w14:paraId="372E67EF"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771" w:type="dxa"/>
            <w:tcBorders>
              <w:top w:val="nil"/>
              <w:left w:val="nil"/>
              <w:bottom w:val="nil"/>
              <w:right w:val="nil"/>
            </w:tcBorders>
            <w:shd w:val="clear" w:color="auto" w:fill="auto"/>
            <w:noWrap/>
            <w:vAlign w:val="center"/>
            <w:hideMark/>
          </w:tcPr>
          <w:p w14:paraId="0A561BBC" w14:textId="77777777" w:rsidR="00536317" w:rsidRPr="006B5F69" w:rsidRDefault="00536317" w:rsidP="00536317">
            <w:pPr>
              <w:spacing w:after="0" w:line="240" w:lineRule="auto"/>
              <w:rPr>
                <w:rFonts w:ascii="Verdana" w:eastAsia="Times New Roman" w:hAnsi="Verdana" w:cs="Calibri"/>
                <w:b/>
                <w:bCs/>
                <w:sz w:val="18"/>
                <w:szCs w:val="20"/>
                <w:lang w:eastAsia="pt-BR"/>
              </w:rPr>
            </w:pPr>
          </w:p>
        </w:tc>
        <w:tc>
          <w:tcPr>
            <w:tcW w:w="211" w:type="dxa"/>
            <w:tcBorders>
              <w:top w:val="nil"/>
              <w:left w:val="nil"/>
              <w:bottom w:val="nil"/>
              <w:right w:val="nil"/>
            </w:tcBorders>
            <w:shd w:val="clear" w:color="auto" w:fill="auto"/>
            <w:noWrap/>
            <w:vAlign w:val="center"/>
            <w:hideMark/>
          </w:tcPr>
          <w:p w14:paraId="2472C1F5" w14:textId="77777777" w:rsidR="00536317" w:rsidRPr="006B5F69" w:rsidRDefault="00536317" w:rsidP="00536317">
            <w:pPr>
              <w:spacing w:after="0" w:line="240" w:lineRule="auto"/>
              <w:jc w:val="center"/>
              <w:rPr>
                <w:rFonts w:ascii="Times New Roman" w:eastAsia="Times New Roman" w:hAnsi="Times New Roman" w:cs="Times New Roman"/>
                <w:sz w:val="18"/>
                <w:szCs w:val="20"/>
                <w:lang w:eastAsia="pt-BR"/>
              </w:rPr>
            </w:pPr>
          </w:p>
        </w:tc>
        <w:tc>
          <w:tcPr>
            <w:tcW w:w="2018" w:type="dxa"/>
            <w:tcBorders>
              <w:top w:val="nil"/>
              <w:left w:val="nil"/>
              <w:bottom w:val="nil"/>
              <w:right w:val="nil"/>
            </w:tcBorders>
            <w:shd w:val="clear" w:color="auto" w:fill="auto"/>
            <w:noWrap/>
            <w:vAlign w:val="center"/>
            <w:hideMark/>
          </w:tcPr>
          <w:p w14:paraId="6187927E" w14:textId="77777777"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   </w:t>
            </w:r>
          </w:p>
        </w:tc>
        <w:tc>
          <w:tcPr>
            <w:tcW w:w="211" w:type="dxa"/>
            <w:tcBorders>
              <w:top w:val="nil"/>
              <w:left w:val="nil"/>
              <w:bottom w:val="nil"/>
              <w:right w:val="nil"/>
            </w:tcBorders>
            <w:shd w:val="clear" w:color="auto" w:fill="auto"/>
            <w:noWrap/>
            <w:vAlign w:val="bottom"/>
            <w:hideMark/>
          </w:tcPr>
          <w:p w14:paraId="290BD859"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1831" w:type="dxa"/>
            <w:tcBorders>
              <w:top w:val="nil"/>
              <w:left w:val="nil"/>
              <w:bottom w:val="nil"/>
              <w:right w:val="nil"/>
            </w:tcBorders>
            <w:shd w:val="clear" w:color="auto" w:fill="auto"/>
            <w:noWrap/>
            <w:vAlign w:val="center"/>
            <w:hideMark/>
          </w:tcPr>
          <w:p w14:paraId="46778960" w14:textId="77777777" w:rsidR="00536317" w:rsidRPr="006B5F69" w:rsidRDefault="00536317" w:rsidP="00027C0C">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138.11</w:t>
            </w:r>
            <w:r w:rsidR="00027C0C">
              <w:rPr>
                <w:rFonts w:ascii="Verdana" w:eastAsia="Times New Roman" w:hAnsi="Verdana" w:cs="Calibri"/>
                <w:sz w:val="18"/>
                <w:szCs w:val="20"/>
                <w:lang w:eastAsia="pt-BR"/>
              </w:rPr>
              <w:t>9</w:t>
            </w:r>
            <w:r w:rsidRPr="006B5F69">
              <w:rPr>
                <w:rFonts w:ascii="Verdana" w:eastAsia="Times New Roman" w:hAnsi="Verdana" w:cs="Calibri"/>
                <w:sz w:val="18"/>
                <w:szCs w:val="20"/>
                <w:lang w:eastAsia="pt-BR"/>
              </w:rPr>
              <w:t xml:space="preserve"> </w:t>
            </w:r>
          </w:p>
        </w:tc>
      </w:tr>
      <w:tr w:rsidR="00536317" w:rsidRPr="006B5F69" w14:paraId="2D91CB14" w14:textId="77777777" w:rsidTr="00BA3EEF">
        <w:trPr>
          <w:trHeight w:val="234"/>
          <w:jc w:val="center"/>
        </w:trPr>
        <w:tc>
          <w:tcPr>
            <w:tcW w:w="4820" w:type="dxa"/>
            <w:tcBorders>
              <w:top w:val="nil"/>
              <w:left w:val="nil"/>
              <w:bottom w:val="nil"/>
              <w:right w:val="nil"/>
            </w:tcBorders>
            <w:shd w:val="clear" w:color="auto" w:fill="auto"/>
            <w:vAlign w:val="center"/>
            <w:hideMark/>
          </w:tcPr>
          <w:p w14:paraId="4AB8125C" w14:textId="77777777" w:rsidR="00536317" w:rsidRPr="006B5F69" w:rsidRDefault="00536317" w:rsidP="00536317">
            <w:pPr>
              <w:spacing w:after="0" w:line="240" w:lineRule="auto"/>
              <w:rPr>
                <w:rFonts w:ascii="Verdana" w:eastAsia="Times New Roman" w:hAnsi="Verdana" w:cs="Calibri"/>
                <w:sz w:val="18"/>
                <w:szCs w:val="20"/>
                <w:lang w:eastAsia="pt-BR"/>
              </w:rPr>
            </w:pPr>
          </w:p>
        </w:tc>
        <w:tc>
          <w:tcPr>
            <w:tcW w:w="211" w:type="dxa"/>
            <w:tcBorders>
              <w:top w:val="nil"/>
              <w:left w:val="nil"/>
              <w:bottom w:val="nil"/>
              <w:right w:val="nil"/>
            </w:tcBorders>
            <w:shd w:val="clear" w:color="auto" w:fill="auto"/>
            <w:noWrap/>
            <w:vAlign w:val="bottom"/>
            <w:hideMark/>
          </w:tcPr>
          <w:p w14:paraId="12A52147"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771" w:type="dxa"/>
            <w:tcBorders>
              <w:top w:val="nil"/>
              <w:left w:val="nil"/>
              <w:bottom w:val="nil"/>
              <w:right w:val="nil"/>
            </w:tcBorders>
            <w:shd w:val="clear" w:color="auto" w:fill="auto"/>
            <w:vAlign w:val="center"/>
            <w:hideMark/>
          </w:tcPr>
          <w:p w14:paraId="63FA49B4" w14:textId="77777777" w:rsidR="00536317" w:rsidRPr="006B5F69" w:rsidRDefault="00536317" w:rsidP="00536317">
            <w:pPr>
              <w:spacing w:after="0" w:line="240" w:lineRule="auto"/>
              <w:rPr>
                <w:rFonts w:ascii="Verdana" w:eastAsia="Times New Roman" w:hAnsi="Verdana" w:cs="Calibri"/>
                <w:sz w:val="18"/>
                <w:szCs w:val="20"/>
                <w:lang w:eastAsia="pt-BR"/>
              </w:rPr>
            </w:pPr>
          </w:p>
        </w:tc>
        <w:tc>
          <w:tcPr>
            <w:tcW w:w="211" w:type="dxa"/>
            <w:tcBorders>
              <w:top w:val="nil"/>
              <w:left w:val="nil"/>
              <w:bottom w:val="nil"/>
              <w:right w:val="nil"/>
            </w:tcBorders>
            <w:shd w:val="clear" w:color="auto" w:fill="auto"/>
            <w:vAlign w:val="center"/>
            <w:hideMark/>
          </w:tcPr>
          <w:p w14:paraId="13EA5EFA" w14:textId="77777777" w:rsidR="00536317" w:rsidRPr="006B5F69" w:rsidRDefault="00536317" w:rsidP="00536317">
            <w:pPr>
              <w:spacing w:after="0" w:line="240" w:lineRule="auto"/>
              <w:rPr>
                <w:rFonts w:ascii="Times New Roman" w:eastAsia="Times New Roman" w:hAnsi="Times New Roman" w:cs="Times New Roman"/>
                <w:sz w:val="18"/>
                <w:szCs w:val="20"/>
                <w:lang w:eastAsia="pt-BR"/>
              </w:rPr>
            </w:pPr>
          </w:p>
        </w:tc>
        <w:tc>
          <w:tcPr>
            <w:tcW w:w="2018" w:type="dxa"/>
            <w:tcBorders>
              <w:top w:val="single" w:sz="4" w:space="0" w:color="auto"/>
              <w:left w:val="nil"/>
              <w:bottom w:val="nil"/>
              <w:right w:val="nil"/>
            </w:tcBorders>
            <w:shd w:val="clear" w:color="auto" w:fill="auto"/>
            <w:noWrap/>
            <w:vAlign w:val="center"/>
            <w:hideMark/>
          </w:tcPr>
          <w:p w14:paraId="214A5578" w14:textId="77777777" w:rsidR="00536317" w:rsidRPr="006B5F69" w:rsidRDefault="00536317" w:rsidP="00F7132F">
            <w:pPr>
              <w:spacing w:after="0" w:line="240" w:lineRule="auto"/>
              <w:jc w:val="right"/>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xml:space="preserve">          2.526.376 </w:t>
            </w:r>
          </w:p>
        </w:tc>
        <w:tc>
          <w:tcPr>
            <w:tcW w:w="211" w:type="dxa"/>
            <w:tcBorders>
              <w:top w:val="nil"/>
              <w:left w:val="nil"/>
              <w:bottom w:val="nil"/>
              <w:right w:val="nil"/>
            </w:tcBorders>
            <w:shd w:val="clear" w:color="auto" w:fill="auto"/>
            <w:noWrap/>
            <w:vAlign w:val="center"/>
            <w:hideMark/>
          </w:tcPr>
          <w:p w14:paraId="3BBD9C5C" w14:textId="77777777" w:rsidR="00536317" w:rsidRPr="006B5F69" w:rsidRDefault="00536317" w:rsidP="00536317">
            <w:pPr>
              <w:spacing w:after="0" w:line="240" w:lineRule="auto"/>
              <w:rPr>
                <w:rFonts w:ascii="Verdana" w:eastAsia="Times New Roman" w:hAnsi="Verdana" w:cs="Calibri"/>
                <w:b/>
                <w:bCs/>
                <w:sz w:val="18"/>
                <w:szCs w:val="20"/>
                <w:lang w:eastAsia="pt-BR"/>
              </w:rPr>
            </w:pPr>
          </w:p>
        </w:tc>
        <w:tc>
          <w:tcPr>
            <w:tcW w:w="1831" w:type="dxa"/>
            <w:tcBorders>
              <w:top w:val="single" w:sz="4" w:space="0" w:color="auto"/>
              <w:left w:val="nil"/>
              <w:bottom w:val="nil"/>
              <w:right w:val="nil"/>
            </w:tcBorders>
            <w:shd w:val="clear" w:color="auto" w:fill="auto"/>
            <w:noWrap/>
            <w:vAlign w:val="center"/>
            <w:hideMark/>
          </w:tcPr>
          <w:p w14:paraId="74243F00" w14:textId="77777777" w:rsidR="00536317" w:rsidRPr="006B5F69" w:rsidRDefault="00536317" w:rsidP="00F7132F">
            <w:pPr>
              <w:spacing w:after="0" w:line="240" w:lineRule="auto"/>
              <w:jc w:val="right"/>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xml:space="preserve">        4.308.611 </w:t>
            </w:r>
          </w:p>
        </w:tc>
      </w:tr>
      <w:tr w:rsidR="00536317" w:rsidRPr="006B5F69" w14:paraId="1DC92A27" w14:textId="77777777" w:rsidTr="00BA3EEF">
        <w:trPr>
          <w:trHeight w:val="234"/>
          <w:jc w:val="center"/>
        </w:trPr>
        <w:tc>
          <w:tcPr>
            <w:tcW w:w="4820" w:type="dxa"/>
            <w:tcBorders>
              <w:top w:val="nil"/>
              <w:left w:val="nil"/>
              <w:bottom w:val="nil"/>
              <w:right w:val="nil"/>
            </w:tcBorders>
            <w:shd w:val="clear" w:color="auto" w:fill="auto"/>
            <w:vAlign w:val="center"/>
            <w:hideMark/>
          </w:tcPr>
          <w:p w14:paraId="4D287D48" w14:textId="77777777" w:rsidR="00536317" w:rsidRPr="006B5F69" w:rsidRDefault="00536317" w:rsidP="00536317">
            <w:pPr>
              <w:spacing w:after="0" w:line="240" w:lineRule="auto"/>
              <w:rPr>
                <w:rFonts w:ascii="Verdana" w:eastAsia="Times New Roman" w:hAnsi="Verdana" w:cs="Calibri"/>
                <w:b/>
                <w:bCs/>
                <w:sz w:val="18"/>
                <w:szCs w:val="20"/>
                <w:lang w:eastAsia="pt-BR"/>
              </w:rPr>
            </w:pPr>
          </w:p>
        </w:tc>
        <w:tc>
          <w:tcPr>
            <w:tcW w:w="211" w:type="dxa"/>
            <w:tcBorders>
              <w:top w:val="nil"/>
              <w:left w:val="nil"/>
              <w:bottom w:val="nil"/>
              <w:right w:val="nil"/>
            </w:tcBorders>
            <w:shd w:val="clear" w:color="auto" w:fill="auto"/>
            <w:noWrap/>
            <w:vAlign w:val="bottom"/>
            <w:hideMark/>
          </w:tcPr>
          <w:p w14:paraId="255B03C8"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771" w:type="dxa"/>
            <w:tcBorders>
              <w:top w:val="nil"/>
              <w:left w:val="nil"/>
              <w:bottom w:val="nil"/>
              <w:right w:val="nil"/>
            </w:tcBorders>
            <w:shd w:val="clear" w:color="auto" w:fill="auto"/>
            <w:noWrap/>
            <w:vAlign w:val="center"/>
            <w:hideMark/>
          </w:tcPr>
          <w:p w14:paraId="2FACD438" w14:textId="77777777" w:rsidR="00536317" w:rsidRPr="006B5F69" w:rsidRDefault="00536317" w:rsidP="00536317">
            <w:pPr>
              <w:spacing w:after="0" w:line="240" w:lineRule="auto"/>
              <w:rPr>
                <w:rFonts w:ascii="Verdana" w:eastAsia="Times New Roman" w:hAnsi="Verdana" w:cs="Calibri"/>
                <w:b/>
                <w:bCs/>
                <w:sz w:val="18"/>
                <w:szCs w:val="20"/>
                <w:lang w:eastAsia="pt-BR"/>
              </w:rPr>
            </w:pPr>
          </w:p>
        </w:tc>
        <w:tc>
          <w:tcPr>
            <w:tcW w:w="211" w:type="dxa"/>
            <w:tcBorders>
              <w:top w:val="nil"/>
              <w:left w:val="nil"/>
              <w:bottom w:val="nil"/>
              <w:right w:val="nil"/>
            </w:tcBorders>
            <w:shd w:val="clear" w:color="auto" w:fill="auto"/>
            <w:noWrap/>
            <w:vAlign w:val="center"/>
            <w:hideMark/>
          </w:tcPr>
          <w:p w14:paraId="1456238A" w14:textId="77777777" w:rsidR="00536317" w:rsidRPr="006B5F69" w:rsidRDefault="00536317" w:rsidP="00536317">
            <w:pPr>
              <w:spacing w:after="0" w:line="240" w:lineRule="auto"/>
              <w:jc w:val="center"/>
              <w:rPr>
                <w:rFonts w:ascii="Times New Roman" w:eastAsia="Times New Roman" w:hAnsi="Times New Roman" w:cs="Times New Roman"/>
                <w:sz w:val="18"/>
                <w:szCs w:val="20"/>
                <w:lang w:eastAsia="pt-BR"/>
              </w:rPr>
            </w:pPr>
          </w:p>
        </w:tc>
        <w:tc>
          <w:tcPr>
            <w:tcW w:w="2018" w:type="dxa"/>
            <w:tcBorders>
              <w:top w:val="nil"/>
              <w:left w:val="nil"/>
              <w:bottom w:val="nil"/>
              <w:right w:val="nil"/>
            </w:tcBorders>
            <w:shd w:val="clear" w:color="auto" w:fill="auto"/>
            <w:noWrap/>
            <w:vAlign w:val="center"/>
            <w:hideMark/>
          </w:tcPr>
          <w:p w14:paraId="479E2BA4" w14:textId="77777777" w:rsidR="00536317" w:rsidRPr="006B5F69" w:rsidRDefault="00536317" w:rsidP="00F7132F">
            <w:pPr>
              <w:spacing w:after="0" w:line="240" w:lineRule="auto"/>
              <w:jc w:val="right"/>
              <w:rPr>
                <w:rFonts w:ascii="Times New Roman" w:eastAsia="Times New Roman" w:hAnsi="Times New Roman" w:cs="Times New Roman"/>
                <w:sz w:val="18"/>
                <w:szCs w:val="20"/>
                <w:lang w:eastAsia="pt-BR"/>
              </w:rPr>
            </w:pPr>
          </w:p>
        </w:tc>
        <w:tc>
          <w:tcPr>
            <w:tcW w:w="211" w:type="dxa"/>
            <w:tcBorders>
              <w:top w:val="nil"/>
              <w:left w:val="nil"/>
              <w:bottom w:val="nil"/>
              <w:right w:val="nil"/>
            </w:tcBorders>
            <w:shd w:val="clear" w:color="auto" w:fill="auto"/>
            <w:noWrap/>
            <w:vAlign w:val="bottom"/>
            <w:hideMark/>
          </w:tcPr>
          <w:p w14:paraId="19FD097F"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1831" w:type="dxa"/>
            <w:tcBorders>
              <w:top w:val="nil"/>
              <w:left w:val="nil"/>
              <w:bottom w:val="nil"/>
              <w:right w:val="nil"/>
            </w:tcBorders>
            <w:shd w:val="clear" w:color="auto" w:fill="auto"/>
            <w:noWrap/>
            <w:vAlign w:val="center"/>
            <w:hideMark/>
          </w:tcPr>
          <w:p w14:paraId="1B621B97" w14:textId="77777777" w:rsidR="00536317" w:rsidRPr="006B5F69" w:rsidRDefault="00536317" w:rsidP="00F7132F">
            <w:pPr>
              <w:spacing w:after="0" w:line="240" w:lineRule="auto"/>
              <w:jc w:val="right"/>
              <w:rPr>
                <w:rFonts w:ascii="Verdana" w:eastAsia="Times New Roman" w:hAnsi="Verdana" w:cs="Calibri"/>
                <w:b/>
                <w:bCs/>
                <w:sz w:val="18"/>
                <w:szCs w:val="20"/>
                <w:lang w:eastAsia="pt-BR"/>
              </w:rPr>
            </w:pPr>
          </w:p>
        </w:tc>
      </w:tr>
      <w:tr w:rsidR="00536317" w:rsidRPr="006B5F69" w14:paraId="22901BBA" w14:textId="77777777" w:rsidTr="00BA3EEF">
        <w:trPr>
          <w:trHeight w:val="234"/>
          <w:jc w:val="center"/>
        </w:trPr>
        <w:tc>
          <w:tcPr>
            <w:tcW w:w="4820" w:type="dxa"/>
            <w:tcBorders>
              <w:top w:val="nil"/>
              <w:left w:val="nil"/>
              <w:bottom w:val="nil"/>
              <w:right w:val="nil"/>
            </w:tcBorders>
            <w:shd w:val="clear" w:color="auto" w:fill="auto"/>
            <w:noWrap/>
            <w:vAlign w:val="center"/>
            <w:hideMark/>
          </w:tcPr>
          <w:p w14:paraId="4962D9C8"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NÃO CIRCULANTE</w:t>
            </w:r>
          </w:p>
        </w:tc>
        <w:tc>
          <w:tcPr>
            <w:tcW w:w="211" w:type="dxa"/>
            <w:tcBorders>
              <w:top w:val="nil"/>
              <w:left w:val="nil"/>
              <w:bottom w:val="nil"/>
              <w:right w:val="nil"/>
            </w:tcBorders>
            <w:shd w:val="clear" w:color="auto" w:fill="auto"/>
            <w:noWrap/>
            <w:vAlign w:val="bottom"/>
            <w:hideMark/>
          </w:tcPr>
          <w:p w14:paraId="7049AFA9"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771" w:type="dxa"/>
            <w:tcBorders>
              <w:top w:val="nil"/>
              <w:left w:val="nil"/>
              <w:bottom w:val="nil"/>
              <w:right w:val="nil"/>
            </w:tcBorders>
            <w:shd w:val="clear" w:color="auto" w:fill="auto"/>
            <w:noWrap/>
            <w:vAlign w:val="center"/>
            <w:hideMark/>
          </w:tcPr>
          <w:p w14:paraId="55E4D6B6" w14:textId="77777777" w:rsidR="00536317" w:rsidRPr="006B5F69" w:rsidRDefault="00536317" w:rsidP="00536317">
            <w:pPr>
              <w:spacing w:after="0" w:line="240" w:lineRule="auto"/>
              <w:rPr>
                <w:rFonts w:ascii="Verdana" w:eastAsia="Times New Roman" w:hAnsi="Verdana" w:cs="Calibri"/>
                <w:sz w:val="18"/>
                <w:szCs w:val="20"/>
                <w:lang w:eastAsia="pt-BR"/>
              </w:rPr>
            </w:pPr>
          </w:p>
        </w:tc>
        <w:tc>
          <w:tcPr>
            <w:tcW w:w="211" w:type="dxa"/>
            <w:tcBorders>
              <w:top w:val="nil"/>
              <w:left w:val="nil"/>
              <w:bottom w:val="nil"/>
              <w:right w:val="nil"/>
            </w:tcBorders>
            <w:shd w:val="clear" w:color="auto" w:fill="auto"/>
            <w:noWrap/>
            <w:vAlign w:val="center"/>
            <w:hideMark/>
          </w:tcPr>
          <w:p w14:paraId="470DE8BF" w14:textId="77777777" w:rsidR="00536317" w:rsidRPr="006B5F69" w:rsidRDefault="00536317" w:rsidP="00536317">
            <w:pPr>
              <w:spacing w:after="0" w:line="240" w:lineRule="auto"/>
              <w:jc w:val="center"/>
              <w:rPr>
                <w:rFonts w:ascii="Times New Roman" w:eastAsia="Times New Roman" w:hAnsi="Times New Roman" w:cs="Times New Roman"/>
                <w:sz w:val="18"/>
                <w:szCs w:val="20"/>
                <w:lang w:eastAsia="pt-BR"/>
              </w:rPr>
            </w:pPr>
          </w:p>
        </w:tc>
        <w:tc>
          <w:tcPr>
            <w:tcW w:w="2018" w:type="dxa"/>
            <w:tcBorders>
              <w:top w:val="nil"/>
              <w:left w:val="nil"/>
              <w:bottom w:val="nil"/>
              <w:right w:val="nil"/>
            </w:tcBorders>
            <w:shd w:val="clear" w:color="auto" w:fill="auto"/>
            <w:noWrap/>
            <w:vAlign w:val="center"/>
            <w:hideMark/>
          </w:tcPr>
          <w:p w14:paraId="7BA6BF0D" w14:textId="77777777" w:rsidR="00536317" w:rsidRPr="006B5F69" w:rsidRDefault="00536317" w:rsidP="00F7132F">
            <w:pPr>
              <w:spacing w:after="0" w:line="240" w:lineRule="auto"/>
              <w:jc w:val="right"/>
              <w:rPr>
                <w:rFonts w:ascii="Times New Roman" w:eastAsia="Times New Roman" w:hAnsi="Times New Roman" w:cs="Times New Roman"/>
                <w:sz w:val="18"/>
                <w:szCs w:val="20"/>
                <w:lang w:eastAsia="pt-BR"/>
              </w:rPr>
            </w:pPr>
          </w:p>
        </w:tc>
        <w:tc>
          <w:tcPr>
            <w:tcW w:w="211" w:type="dxa"/>
            <w:tcBorders>
              <w:top w:val="nil"/>
              <w:left w:val="nil"/>
              <w:bottom w:val="nil"/>
              <w:right w:val="nil"/>
            </w:tcBorders>
            <w:shd w:val="clear" w:color="auto" w:fill="auto"/>
            <w:noWrap/>
            <w:vAlign w:val="bottom"/>
            <w:hideMark/>
          </w:tcPr>
          <w:p w14:paraId="46FC437E"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1831" w:type="dxa"/>
            <w:tcBorders>
              <w:top w:val="nil"/>
              <w:left w:val="nil"/>
              <w:bottom w:val="nil"/>
              <w:right w:val="nil"/>
            </w:tcBorders>
            <w:shd w:val="clear" w:color="auto" w:fill="auto"/>
            <w:noWrap/>
            <w:vAlign w:val="center"/>
            <w:hideMark/>
          </w:tcPr>
          <w:p w14:paraId="56B616A8" w14:textId="77777777" w:rsidR="00536317" w:rsidRPr="006B5F69" w:rsidRDefault="00536317" w:rsidP="00F7132F">
            <w:pPr>
              <w:spacing w:after="0" w:line="240" w:lineRule="auto"/>
              <w:jc w:val="right"/>
              <w:rPr>
                <w:rFonts w:ascii="Verdana" w:eastAsia="Times New Roman" w:hAnsi="Verdana" w:cs="Calibri"/>
                <w:sz w:val="18"/>
                <w:szCs w:val="20"/>
                <w:lang w:eastAsia="pt-BR"/>
              </w:rPr>
            </w:pPr>
          </w:p>
        </w:tc>
      </w:tr>
      <w:tr w:rsidR="00536317" w:rsidRPr="006B5F69" w14:paraId="67EEC515" w14:textId="77777777" w:rsidTr="00BA3EEF">
        <w:trPr>
          <w:trHeight w:val="234"/>
          <w:jc w:val="center"/>
        </w:trPr>
        <w:tc>
          <w:tcPr>
            <w:tcW w:w="4820" w:type="dxa"/>
            <w:tcBorders>
              <w:top w:val="nil"/>
              <w:left w:val="nil"/>
              <w:bottom w:val="nil"/>
              <w:right w:val="nil"/>
            </w:tcBorders>
            <w:shd w:val="clear" w:color="auto" w:fill="auto"/>
            <w:noWrap/>
            <w:vAlign w:val="center"/>
            <w:hideMark/>
          </w:tcPr>
          <w:p w14:paraId="0D84693E"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Empréstimos e financiamentos </w:t>
            </w:r>
          </w:p>
        </w:tc>
        <w:tc>
          <w:tcPr>
            <w:tcW w:w="211" w:type="dxa"/>
            <w:tcBorders>
              <w:top w:val="nil"/>
              <w:left w:val="nil"/>
              <w:bottom w:val="nil"/>
              <w:right w:val="nil"/>
            </w:tcBorders>
            <w:shd w:val="clear" w:color="auto" w:fill="auto"/>
            <w:noWrap/>
            <w:vAlign w:val="bottom"/>
            <w:hideMark/>
          </w:tcPr>
          <w:p w14:paraId="2BC62B9E"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771" w:type="dxa"/>
            <w:tcBorders>
              <w:top w:val="nil"/>
              <w:left w:val="nil"/>
              <w:bottom w:val="nil"/>
              <w:right w:val="nil"/>
            </w:tcBorders>
            <w:shd w:val="clear" w:color="auto" w:fill="auto"/>
            <w:noWrap/>
            <w:vAlign w:val="center"/>
            <w:hideMark/>
          </w:tcPr>
          <w:p w14:paraId="6C8419CC" w14:textId="77777777" w:rsidR="00536317" w:rsidRPr="006B5F69" w:rsidRDefault="00581D1F" w:rsidP="00536317">
            <w:pPr>
              <w:spacing w:after="0" w:line="240" w:lineRule="auto"/>
              <w:jc w:val="center"/>
              <w:rPr>
                <w:rFonts w:ascii="Verdana" w:eastAsia="Times New Roman" w:hAnsi="Verdana" w:cs="Calibri"/>
                <w:b/>
                <w:bCs/>
                <w:sz w:val="18"/>
                <w:szCs w:val="20"/>
                <w:lang w:eastAsia="pt-BR"/>
              </w:rPr>
            </w:pPr>
            <w:r>
              <w:rPr>
                <w:rFonts w:ascii="Verdana" w:eastAsia="Times New Roman" w:hAnsi="Verdana" w:cs="Calibri"/>
                <w:b/>
                <w:bCs/>
                <w:sz w:val="18"/>
                <w:szCs w:val="20"/>
                <w:lang w:eastAsia="pt-BR"/>
              </w:rPr>
              <w:t>15</w:t>
            </w:r>
            <w:r w:rsidR="00536317" w:rsidRPr="006B5F69">
              <w:rPr>
                <w:rFonts w:ascii="Verdana" w:eastAsia="Times New Roman" w:hAnsi="Verdana" w:cs="Calibri"/>
                <w:b/>
                <w:bCs/>
                <w:sz w:val="18"/>
                <w:szCs w:val="20"/>
                <w:lang w:eastAsia="pt-BR"/>
              </w:rPr>
              <w:t xml:space="preserve"> </w:t>
            </w:r>
          </w:p>
        </w:tc>
        <w:tc>
          <w:tcPr>
            <w:tcW w:w="211" w:type="dxa"/>
            <w:tcBorders>
              <w:top w:val="nil"/>
              <w:left w:val="nil"/>
              <w:bottom w:val="nil"/>
              <w:right w:val="nil"/>
            </w:tcBorders>
            <w:shd w:val="clear" w:color="auto" w:fill="auto"/>
            <w:noWrap/>
            <w:vAlign w:val="center"/>
            <w:hideMark/>
          </w:tcPr>
          <w:p w14:paraId="22DE994D" w14:textId="77777777" w:rsidR="00536317" w:rsidRPr="006B5F69" w:rsidRDefault="00536317" w:rsidP="00536317">
            <w:pPr>
              <w:spacing w:after="0" w:line="240" w:lineRule="auto"/>
              <w:jc w:val="center"/>
              <w:rPr>
                <w:rFonts w:ascii="Verdana" w:eastAsia="Times New Roman" w:hAnsi="Verdana" w:cs="Calibri"/>
                <w:b/>
                <w:bCs/>
                <w:sz w:val="18"/>
                <w:szCs w:val="20"/>
                <w:lang w:eastAsia="pt-BR"/>
              </w:rPr>
            </w:pPr>
          </w:p>
        </w:tc>
        <w:tc>
          <w:tcPr>
            <w:tcW w:w="2018" w:type="dxa"/>
            <w:tcBorders>
              <w:top w:val="nil"/>
              <w:left w:val="nil"/>
              <w:bottom w:val="nil"/>
              <w:right w:val="nil"/>
            </w:tcBorders>
            <w:shd w:val="clear" w:color="auto" w:fill="auto"/>
            <w:noWrap/>
            <w:vAlign w:val="center"/>
            <w:hideMark/>
          </w:tcPr>
          <w:p w14:paraId="50ABF1EB" w14:textId="77777777"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   </w:t>
            </w:r>
          </w:p>
        </w:tc>
        <w:tc>
          <w:tcPr>
            <w:tcW w:w="211" w:type="dxa"/>
            <w:tcBorders>
              <w:top w:val="nil"/>
              <w:left w:val="nil"/>
              <w:bottom w:val="nil"/>
              <w:right w:val="nil"/>
            </w:tcBorders>
            <w:shd w:val="clear" w:color="auto" w:fill="auto"/>
            <w:noWrap/>
            <w:vAlign w:val="bottom"/>
            <w:hideMark/>
          </w:tcPr>
          <w:p w14:paraId="6F6CA121"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1831" w:type="dxa"/>
            <w:tcBorders>
              <w:top w:val="nil"/>
              <w:left w:val="nil"/>
              <w:bottom w:val="nil"/>
              <w:right w:val="nil"/>
            </w:tcBorders>
            <w:shd w:val="clear" w:color="auto" w:fill="auto"/>
            <w:noWrap/>
            <w:vAlign w:val="center"/>
            <w:hideMark/>
          </w:tcPr>
          <w:p w14:paraId="356E6A3F" w14:textId="77777777"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6.801.794 </w:t>
            </w:r>
          </w:p>
        </w:tc>
      </w:tr>
      <w:tr w:rsidR="00536317" w:rsidRPr="006B5F69" w14:paraId="459FC5E5" w14:textId="77777777" w:rsidTr="00BA3EEF">
        <w:trPr>
          <w:trHeight w:val="234"/>
          <w:jc w:val="center"/>
        </w:trPr>
        <w:tc>
          <w:tcPr>
            <w:tcW w:w="4820" w:type="dxa"/>
            <w:tcBorders>
              <w:top w:val="nil"/>
              <w:left w:val="nil"/>
              <w:bottom w:val="nil"/>
              <w:right w:val="nil"/>
            </w:tcBorders>
            <w:shd w:val="clear" w:color="auto" w:fill="auto"/>
            <w:noWrap/>
            <w:vAlign w:val="center"/>
            <w:hideMark/>
          </w:tcPr>
          <w:p w14:paraId="4E0B9A6F"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Contas a pagar aquisição de investimentos</w:t>
            </w:r>
          </w:p>
        </w:tc>
        <w:tc>
          <w:tcPr>
            <w:tcW w:w="211" w:type="dxa"/>
            <w:tcBorders>
              <w:top w:val="nil"/>
              <w:left w:val="nil"/>
              <w:bottom w:val="nil"/>
              <w:right w:val="nil"/>
            </w:tcBorders>
            <w:shd w:val="clear" w:color="auto" w:fill="auto"/>
            <w:noWrap/>
            <w:vAlign w:val="bottom"/>
            <w:hideMark/>
          </w:tcPr>
          <w:p w14:paraId="2E306C11" w14:textId="77777777" w:rsidR="00536317" w:rsidRPr="006B5F69" w:rsidRDefault="00536317" w:rsidP="00536317">
            <w:pPr>
              <w:spacing w:after="0" w:line="240" w:lineRule="auto"/>
              <w:rPr>
                <w:rFonts w:ascii="Verdana" w:eastAsia="Times New Roman" w:hAnsi="Verdana" w:cs="Calibri"/>
                <w:sz w:val="18"/>
                <w:szCs w:val="20"/>
                <w:lang w:eastAsia="pt-BR"/>
              </w:rPr>
            </w:pPr>
          </w:p>
        </w:tc>
        <w:tc>
          <w:tcPr>
            <w:tcW w:w="771" w:type="dxa"/>
            <w:tcBorders>
              <w:top w:val="nil"/>
              <w:left w:val="nil"/>
              <w:bottom w:val="nil"/>
              <w:right w:val="nil"/>
            </w:tcBorders>
            <w:shd w:val="clear" w:color="auto" w:fill="auto"/>
            <w:noWrap/>
            <w:vAlign w:val="center"/>
            <w:hideMark/>
          </w:tcPr>
          <w:p w14:paraId="12AE968E" w14:textId="77777777" w:rsidR="00536317" w:rsidRPr="006B5F69" w:rsidRDefault="00581D1F" w:rsidP="00536317">
            <w:pPr>
              <w:spacing w:after="0" w:line="240" w:lineRule="auto"/>
              <w:jc w:val="center"/>
              <w:rPr>
                <w:rFonts w:ascii="Verdana" w:eastAsia="Times New Roman" w:hAnsi="Verdana" w:cs="Calibri"/>
                <w:b/>
                <w:bCs/>
                <w:sz w:val="18"/>
                <w:szCs w:val="20"/>
                <w:lang w:eastAsia="pt-BR"/>
              </w:rPr>
            </w:pPr>
            <w:r>
              <w:rPr>
                <w:rFonts w:ascii="Verdana" w:eastAsia="Times New Roman" w:hAnsi="Verdana" w:cs="Calibri"/>
                <w:b/>
                <w:bCs/>
                <w:sz w:val="18"/>
                <w:szCs w:val="20"/>
                <w:lang w:eastAsia="pt-BR"/>
              </w:rPr>
              <w:t>18</w:t>
            </w:r>
            <w:r w:rsidR="00536317" w:rsidRPr="006B5F69">
              <w:rPr>
                <w:rFonts w:ascii="Verdana" w:eastAsia="Times New Roman" w:hAnsi="Verdana" w:cs="Calibri"/>
                <w:b/>
                <w:bCs/>
                <w:sz w:val="18"/>
                <w:szCs w:val="20"/>
                <w:lang w:eastAsia="pt-BR"/>
              </w:rPr>
              <w:t xml:space="preserve"> </w:t>
            </w:r>
          </w:p>
        </w:tc>
        <w:tc>
          <w:tcPr>
            <w:tcW w:w="211" w:type="dxa"/>
            <w:tcBorders>
              <w:top w:val="nil"/>
              <w:left w:val="nil"/>
              <w:bottom w:val="nil"/>
              <w:right w:val="nil"/>
            </w:tcBorders>
            <w:shd w:val="clear" w:color="auto" w:fill="auto"/>
            <w:noWrap/>
            <w:vAlign w:val="center"/>
            <w:hideMark/>
          </w:tcPr>
          <w:p w14:paraId="4ED278E9" w14:textId="77777777" w:rsidR="00536317" w:rsidRPr="006B5F69" w:rsidRDefault="00536317" w:rsidP="00536317">
            <w:pPr>
              <w:spacing w:after="0" w:line="240" w:lineRule="auto"/>
              <w:jc w:val="center"/>
              <w:rPr>
                <w:rFonts w:ascii="Verdana" w:eastAsia="Times New Roman" w:hAnsi="Verdana" w:cs="Calibri"/>
                <w:b/>
                <w:bCs/>
                <w:sz w:val="18"/>
                <w:szCs w:val="20"/>
                <w:lang w:eastAsia="pt-BR"/>
              </w:rPr>
            </w:pPr>
          </w:p>
        </w:tc>
        <w:tc>
          <w:tcPr>
            <w:tcW w:w="2018" w:type="dxa"/>
            <w:tcBorders>
              <w:top w:val="nil"/>
              <w:left w:val="nil"/>
              <w:bottom w:val="nil"/>
              <w:right w:val="nil"/>
            </w:tcBorders>
            <w:shd w:val="clear" w:color="auto" w:fill="auto"/>
            <w:noWrap/>
            <w:vAlign w:val="center"/>
            <w:hideMark/>
          </w:tcPr>
          <w:p w14:paraId="7B756CBD" w14:textId="77777777" w:rsidR="00536317" w:rsidRPr="00983DF0" w:rsidRDefault="00536317" w:rsidP="00F7132F">
            <w:pPr>
              <w:spacing w:after="0" w:line="240" w:lineRule="auto"/>
              <w:jc w:val="right"/>
              <w:rPr>
                <w:rFonts w:ascii="Verdana" w:eastAsia="Times New Roman" w:hAnsi="Verdana" w:cs="Calibri"/>
                <w:sz w:val="18"/>
                <w:szCs w:val="20"/>
                <w:lang w:eastAsia="pt-BR"/>
              </w:rPr>
            </w:pPr>
            <w:r w:rsidRPr="00983DF0">
              <w:rPr>
                <w:rFonts w:ascii="Verdana" w:eastAsia="Times New Roman" w:hAnsi="Verdana" w:cs="Calibri"/>
                <w:sz w:val="18"/>
                <w:szCs w:val="20"/>
                <w:lang w:eastAsia="pt-BR"/>
              </w:rPr>
              <w:t xml:space="preserve">         1.274.011 </w:t>
            </w:r>
          </w:p>
        </w:tc>
        <w:tc>
          <w:tcPr>
            <w:tcW w:w="211" w:type="dxa"/>
            <w:tcBorders>
              <w:top w:val="nil"/>
              <w:left w:val="nil"/>
              <w:bottom w:val="nil"/>
              <w:right w:val="nil"/>
            </w:tcBorders>
            <w:shd w:val="clear" w:color="auto" w:fill="auto"/>
            <w:noWrap/>
            <w:vAlign w:val="bottom"/>
            <w:hideMark/>
          </w:tcPr>
          <w:p w14:paraId="62D996A7" w14:textId="77777777" w:rsidR="00536317" w:rsidRPr="00983DF0" w:rsidRDefault="00536317" w:rsidP="00536317">
            <w:pPr>
              <w:spacing w:after="0" w:line="240" w:lineRule="auto"/>
              <w:rPr>
                <w:rFonts w:ascii="Verdana" w:eastAsia="Times New Roman" w:hAnsi="Verdana" w:cs="Calibri"/>
                <w:sz w:val="18"/>
                <w:szCs w:val="20"/>
                <w:lang w:eastAsia="pt-BR"/>
              </w:rPr>
            </w:pPr>
          </w:p>
        </w:tc>
        <w:tc>
          <w:tcPr>
            <w:tcW w:w="1831" w:type="dxa"/>
            <w:tcBorders>
              <w:top w:val="nil"/>
              <w:left w:val="nil"/>
              <w:bottom w:val="nil"/>
              <w:right w:val="nil"/>
            </w:tcBorders>
            <w:shd w:val="clear" w:color="auto" w:fill="auto"/>
            <w:noWrap/>
            <w:vAlign w:val="center"/>
            <w:hideMark/>
          </w:tcPr>
          <w:p w14:paraId="50757895" w14:textId="77777777"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1.274.011 </w:t>
            </w:r>
          </w:p>
        </w:tc>
      </w:tr>
      <w:tr w:rsidR="00536317" w:rsidRPr="006B5F69" w14:paraId="496A9F98" w14:textId="77777777" w:rsidTr="00BA3EEF">
        <w:trPr>
          <w:trHeight w:val="234"/>
          <w:jc w:val="center"/>
        </w:trPr>
        <w:tc>
          <w:tcPr>
            <w:tcW w:w="4820" w:type="dxa"/>
            <w:tcBorders>
              <w:top w:val="nil"/>
              <w:left w:val="nil"/>
              <w:bottom w:val="nil"/>
              <w:right w:val="nil"/>
            </w:tcBorders>
            <w:shd w:val="clear" w:color="auto" w:fill="auto"/>
            <w:noWrap/>
            <w:vAlign w:val="center"/>
            <w:hideMark/>
          </w:tcPr>
          <w:p w14:paraId="1D77ACE6" w14:textId="77777777" w:rsidR="00536317" w:rsidRPr="006B5F69" w:rsidRDefault="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Provisão p/litígios e passivos contingentes</w:t>
            </w:r>
          </w:p>
        </w:tc>
        <w:tc>
          <w:tcPr>
            <w:tcW w:w="211" w:type="dxa"/>
            <w:tcBorders>
              <w:top w:val="nil"/>
              <w:left w:val="nil"/>
              <w:bottom w:val="nil"/>
              <w:right w:val="nil"/>
            </w:tcBorders>
            <w:shd w:val="clear" w:color="auto" w:fill="auto"/>
            <w:noWrap/>
            <w:vAlign w:val="bottom"/>
            <w:hideMark/>
          </w:tcPr>
          <w:p w14:paraId="1330AAB4"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771" w:type="dxa"/>
            <w:tcBorders>
              <w:top w:val="nil"/>
              <w:left w:val="nil"/>
              <w:bottom w:val="nil"/>
              <w:right w:val="nil"/>
            </w:tcBorders>
            <w:shd w:val="clear" w:color="auto" w:fill="auto"/>
            <w:noWrap/>
            <w:vAlign w:val="center"/>
            <w:hideMark/>
          </w:tcPr>
          <w:p w14:paraId="4D11893E" w14:textId="77777777" w:rsidR="00536317" w:rsidRPr="006B5F69" w:rsidRDefault="00581D1F" w:rsidP="00536317">
            <w:pPr>
              <w:spacing w:after="0" w:line="240" w:lineRule="auto"/>
              <w:jc w:val="center"/>
              <w:rPr>
                <w:rFonts w:ascii="Verdana" w:eastAsia="Times New Roman" w:hAnsi="Verdana" w:cs="Calibri"/>
                <w:b/>
                <w:bCs/>
                <w:sz w:val="18"/>
                <w:szCs w:val="20"/>
                <w:lang w:eastAsia="pt-BR"/>
              </w:rPr>
            </w:pPr>
            <w:r>
              <w:rPr>
                <w:rFonts w:ascii="Verdana" w:eastAsia="Times New Roman" w:hAnsi="Verdana" w:cs="Calibri"/>
                <w:b/>
                <w:bCs/>
                <w:sz w:val="18"/>
                <w:szCs w:val="20"/>
                <w:lang w:eastAsia="pt-BR"/>
              </w:rPr>
              <w:t>19</w:t>
            </w:r>
            <w:r w:rsidR="00536317" w:rsidRPr="006B5F69">
              <w:rPr>
                <w:rFonts w:ascii="Verdana" w:eastAsia="Times New Roman" w:hAnsi="Verdana" w:cs="Calibri"/>
                <w:b/>
                <w:bCs/>
                <w:sz w:val="18"/>
                <w:szCs w:val="20"/>
                <w:lang w:eastAsia="pt-BR"/>
              </w:rPr>
              <w:t xml:space="preserve"> </w:t>
            </w:r>
          </w:p>
        </w:tc>
        <w:tc>
          <w:tcPr>
            <w:tcW w:w="211" w:type="dxa"/>
            <w:tcBorders>
              <w:top w:val="nil"/>
              <w:left w:val="nil"/>
              <w:bottom w:val="nil"/>
              <w:right w:val="nil"/>
            </w:tcBorders>
            <w:shd w:val="clear" w:color="auto" w:fill="auto"/>
            <w:noWrap/>
            <w:vAlign w:val="center"/>
            <w:hideMark/>
          </w:tcPr>
          <w:p w14:paraId="34CADECC" w14:textId="77777777" w:rsidR="00536317" w:rsidRPr="006B5F69" w:rsidRDefault="00536317" w:rsidP="00536317">
            <w:pPr>
              <w:spacing w:after="0" w:line="240" w:lineRule="auto"/>
              <w:jc w:val="center"/>
              <w:rPr>
                <w:rFonts w:ascii="Verdana" w:eastAsia="Times New Roman" w:hAnsi="Verdana" w:cs="Calibri"/>
                <w:b/>
                <w:bCs/>
                <w:sz w:val="18"/>
                <w:szCs w:val="20"/>
                <w:lang w:eastAsia="pt-BR"/>
              </w:rPr>
            </w:pPr>
          </w:p>
        </w:tc>
        <w:tc>
          <w:tcPr>
            <w:tcW w:w="2018" w:type="dxa"/>
            <w:tcBorders>
              <w:top w:val="nil"/>
              <w:left w:val="nil"/>
              <w:bottom w:val="nil"/>
              <w:right w:val="nil"/>
            </w:tcBorders>
            <w:shd w:val="clear" w:color="auto" w:fill="auto"/>
            <w:noWrap/>
            <w:vAlign w:val="center"/>
            <w:hideMark/>
          </w:tcPr>
          <w:p w14:paraId="65D218B1" w14:textId="77777777" w:rsidR="00536317" w:rsidRPr="00983DF0" w:rsidRDefault="00536317" w:rsidP="00F7132F">
            <w:pPr>
              <w:spacing w:after="0" w:line="240" w:lineRule="auto"/>
              <w:jc w:val="right"/>
              <w:rPr>
                <w:rFonts w:ascii="Verdana" w:eastAsia="Times New Roman" w:hAnsi="Verdana" w:cs="Calibri"/>
                <w:sz w:val="18"/>
                <w:szCs w:val="20"/>
                <w:lang w:eastAsia="pt-BR"/>
              </w:rPr>
            </w:pPr>
            <w:r w:rsidRPr="00983DF0">
              <w:rPr>
                <w:rFonts w:ascii="Verdana" w:eastAsia="Times New Roman" w:hAnsi="Verdana" w:cs="Calibri"/>
                <w:sz w:val="18"/>
                <w:szCs w:val="20"/>
                <w:lang w:eastAsia="pt-BR"/>
              </w:rPr>
              <w:t xml:space="preserve">                   -   </w:t>
            </w:r>
          </w:p>
        </w:tc>
        <w:tc>
          <w:tcPr>
            <w:tcW w:w="211" w:type="dxa"/>
            <w:tcBorders>
              <w:top w:val="nil"/>
              <w:left w:val="nil"/>
              <w:bottom w:val="nil"/>
              <w:right w:val="nil"/>
            </w:tcBorders>
            <w:shd w:val="clear" w:color="auto" w:fill="auto"/>
            <w:noWrap/>
            <w:vAlign w:val="bottom"/>
            <w:hideMark/>
          </w:tcPr>
          <w:p w14:paraId="480A1D4F" w14:textId="77777777" w:rsidR="00536317" w:rsidRPr="00983DF0" w:rsidRDefault="00536317" w:rsidP="00536317">
            <w:pPr>
              <w:spacing w:after="0" w:line="240" w:lineRule="auto"/>
              <w:rPr>
                <w:rFonts w:ascii="Verdana" w:eastAsia="Times New Roman" w:hAnsi="Verdana" w:cs="Calibri"/>
                <w:b/>
                <w:bCs/>
                <w:sz w:val="18"/>
                <w:szCs w:val="20"/>
                <w:lang w:eastAsia="pt-BR"/>
              </w:rPr>
            </w:pPr>
            <w:r w:rsidRPr="00983DF0">
              <w:rPr>
                <w:rFonts w:ascii="Verdana" w:eastAsia="Times New Roman" w:hAnsi="Verdana" w:cs="Calibri"/>
                <w:b/>
                <w:bCs/>
                <w:sz w:val="18"/>
                <w:szCs w:val="20"/>
                <w:lang w:eastAsia="pt-BR"/>
              </w:rPr>
              <w:t> </w:t>
            </w:r>
          </w:p>
        </w:tc>
        <w:tc>
          <w:tcPr>
            <w:tcW w:w="1831" w:type="dxa"/>
            <w:tcBorders>
              <w:top w:val="nil"/>
              <w:left w:val="nil"/>
              <w:bottom w:val="nil"/>
              <w:right w:val="nil"/>
            </w:tcBorders>
            <w:shd w:val="clear" w:color="auto" w:fill="auto"/>
            <w:noWrap/>
            <w:vAlign w:val="center"/>
            <w:hideMark/>
          </w:tcPr>
          <w:p w14:paraId="471345D4" w14:textId="77777777"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217.315 </w:t>
            </w:r>
          </w:p>
        </w:tc>
      </w:tr>
      <w:tr w:rsidR="00536317" w:rsidRPr="006B5F69" w14:paraId="1FE85B07" w14:textId="77777777" w:rsidTr="00BA3EEF">
        <w:trPr>
          <w:trHeight w:val="234"/>
          <w:jc w:val="center"/>
        </w:trPr>
        <w:tc>
          <w:tcPr>
            <w:tcW w:w="4820" w:type="dxa"/>
            <w:tcBorders>
              <w:top w:val="nil"/>
              <w:left w:val="nil"/>
              <w:bottom w:val="nil"/>
              <w:right w:val="nil"/>
            </w:tcBorders>
            <w:shd w:val="clear" w:color="auto" w:fill="auto"/>
            <w:noWrap/>
            <w:vAlign w:val="center"/>
            <w:hideMark/>
          </w:tcPr>
          <w:p w14:paraId="1A79724C"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Benefício pós-emprego</w:t>
            </w:r>
          </w:p>
        </w:tc>
        <w:tc>
          <w:tcPr>
            <w:tcW w:w="211" w:type="dxa"/>
            <w:tcBorders>
              <w:top w:val="nil"/>
              <w:left w:val="nil"/>
              <w:bottom w:val="nil"/>
              <w:right w:val="nil"/>
            </w:tcBorders>
            <w:shd w:val="clear" w:color="auto" w:fill="auto"/>
            <w:noWrap/>
            <w:vAlign w:val="bottom"/>
            <w:hideMark/>
          </w:tcPr>
          <w:p w14:paraId="40228C8D"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771" w:type="dxa"/>
            <w:tcBorders>
              <w:top w:val="nil"/>
              <w:left w:val="nil"/>
              <w:bottom w:val="nil"/>
              <w:right w:val="nil"/>
            </w:tcBorders>
            <w:shd w:val="clear" w:color="auto" w:fill="auto"/>
            <w:noWrap/>
            <w:vAlign w:val="center"/>
            <w:hideMark/>
          </w:tcPr>
          <w:p w14:paraId="0876C6E2" w14:textId="77777777" w:rsidR="00536317" w:rsidRPr="006B5F69" w:rsidRDefault="00581D1F" w:rsidP="00536317">
            <w:pPr>
              <w:spacing w:after="0" w:line="240" w:lineRule="auto"/>
              <w:jc w:val="center"/>
              <w:rPr>
                <w:rFonts w:ascii="Verdana" w:eastAsia="Times New Roman" w:hAnsi="Verdana" w:cs="Calibri"/>
                <w:b/>
                <w:bCs/>
                <w:sz w:val="18"/>
                <w:szCs w:val="20"/>
                <w:lang w:eastAsia="pt-BR"/>
              </w:rPr>
            </w:pPr>
            <w:r>
              <w:rPr>
                <w:rFonts w:ascii="Verdana" w:eastAsia="Times New Roman" w:hAnsi="Verdana" w:cs="Calibri"/>
                <w:b/>
                <w:bCs/>
                <w:sz w:val="18"/>
                <w:szCs w:val="20"/>
                <w:lang w:eastAsia="pt-BR"/>
              </w:rPr>
              <w:t>20</w:t>
            </w:r>
            <w:r w:rsidR="00536317" w:rsidRPr="006B5F69">
              <w:rPr>
                <w:rFonts w:ascii="Verdana" w:eastAsia="Times New Roman" w:hAnsi="Verdana" w:cs="Calibri"/>
                <w:b/>
                <w:bCs/>
                <w:sz w:val="18"/>
                <w:szCs w:val="20"/>
                <w:lang w:eastAsia="pt-BR"/>
              </w:rPr>
              <w:t xml:space="preserve"> </w:t>
            </w:r>
          </w:p>
        </w:tc>
        <w:tc>
          <w:tcPr>
            <w:tcW w:w="211" w:type="dxa"/>
            <w:tcBorders>
              <w:top w:val="nil"/>
              <w:left w:val="nil"/>
              <w:bottom w:val="nil"/>
              <w:right w:val="nil"/>
            </w:tcBorders>
            <w:shd w:val="clear" w:color="auto" w:fill="auto"/>
            <w:noWrap/>
            <w:vAlign w:val="center"/>
            <w:hideMark/>
          </w:tcPr>
          <w:p w14:paraId="4FB86E6B" w14:textId="77777777" w:rsidR="00536317" w:rsidRPr="006B5F69" w:rsidRDefault="00536317" w:rsidP="00536317">
            <w:pPr>
              <w:spacing w:after="0" w:line="240" w:lineRule="auto"/>
              <w:jc w:val="center"/>
              <w:rPr>
                <w:rFonts w:ascii="Verdana" w:eastAsia="Times New Roman" w:hAnsi="Verdana" w:cs="Calibri"/>
                <w:b/>
                <w:bCs/>
                <w:sz w:val="18"/>
                <w:szCs w:val="20"/>
                <w:lang w:eastAsia="pt-BR"/>
              </w:rPr>
            </w:pPr>
          </w:p>
        </w:tc>
        <w:tc>
          <w:tcPr>
            <w:tcW w:w="2018" w:type="dxa"/>
            <w:tcBorders>
              <w:top w:val="nil"/>
              <w:left w:val="nil"/>
              <w:bottom w:val="nil"/>
              <w:right w:val="nil"/>
            </w:tcBorders>
            <w:shd w:val="clear" w:color="auto" w:fill="auto"/>
            <w:noWrap/>
            <w:vAlign w:val="center"/>
            <w:hideMark/>
          </w:tcPr>
          <w:p w14:paraId="7170E00D" w14:textId="77777777" w:rsidR="00536317" w:rsidRPr="00983DF0" w:rsidRDefault="00536317" w:rsidP="00F7132F">
            <w:pPr>
              <w:spacing w:after="0" w:line="240" w:lineRule="auto"/>
              <w:jc w:val="right"/>
              <w:rPr>
                <w:rFonts w:ascii="Verdana" w:eastAsia="Times New Roman" w:hAnsi="Verdana" w:cs="Calibri"/>
                <w:sz w:val="18"/>
                <w:szCs w:val="20"/>
                <w:lang w:eastAsia="pt-BR"/>
              </w:rPr>
            </w:pPr>
            <w:r w:rsidRPr="00983DF0">
              <w:rPr>
                <w:rFonts w:ascii="Verdana" w:eastAsia="Times New Roman" w:hAnsi="Verdana" w:cs="Calibri"/>
                <w:sz w:val="18"/>
                <w:szCs w:val="20"/>
                <w:lang w:eastAsia="pt-BR"/>
              </w:rPr>
              <w:t xml:space="preserve">                   -   </w:t>
            </w:r>
          </w:p>
        </w:tc>
        <w:tc>
          <w:tcPr>
            <w:tcW w:w="211" w:type="dxa"/>
            <w:tcBorders>
              <w:top w:val="nil"/>
              <w:left w:val="nil"/>
              <w:bottom w:val="nil"/>
              <w:right w:val="nil"/>
            </w:tcBorders>
            <w:shd w:val="clear" w:color="auto" w:fill="auto"/>
            <w:noWrap/>
            <w:vAlign w:val="bottom"/>
            <w:hideMark/>
          </w:tcPr>
          <w:p w14:paraId="1250431E" w14:textId="77777777" w:rsidR="00536317" w:rsidRPr="00983DF0" w:rsidRDefault="00536317" w:rsidP="00536317">
            <w:pPr>
              <w:spacing w:after="0" w:line="240" w:lineRule="auto"/>
              <w:rPr>
                <w:rFonts w:ascii="Verdana" w:eastAsia="Times New Roman" w:hAnsi="Verdana" w:cs="Calibri"/>
                <w:sz w:val="18"/>
                <w:szCs w:val="20"/>
                <w:lang w:eastAsia="pt-BR"/>
              </w:rPr>
            </w:pPr>
            <w:r w:rsidRPr="00983DF0">
              <w:rPr>
                <w:rFonts w:ascii="Verdana" w:eastAsia="Times New Roman" w:hAnsi="Verdana" w:cs="Calibri"/>
                <w:sz w:val="18"/>
                <w:szCs w:val="20"/>
                <w:lang w:eastAsia="pt-BR"/>
              </w:rPr>
              <w:t> </w:t>
            </w:r>
          </w:p>
        </w:tc>
        <w:tc>
          <w:tcPr>
            <w:tcW w:w="1831" w:type="dxa"/>
            <w:tcBorders>
              <w:top w:val="nil"/>
              <w:left w:val="nil"/>
              <w:bottom w:val="nil"/>
              <w:right w:val="nil"/>
            </w:tcBorders>
            <w:shd w:val="clear" w:color="auto" w:fill="auto"/>
            <w:noWrap/>
            <w:vAlign w:val="center"/>
            <w:hideMark/>
          </w:tcPr>
          <w:p w14:paraId="2C2B9B0F" w14:textId="77777777"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943.433 </w:t>
            </w:r>
          </w:p>
        </w:tc>
      </w:tr>
      <w:tr w:rsidR="00536317" w:rsidRPr="006B5F69" w14:paraId="7D52C01D" w14:textId="77777777" w:rsidTr="00BA3EEF">
        <w:trPr>
          <w:trHeight w:val="234"/>
          <w:jc w:val="center"/>
        </w:trPr>
        <w:tc>
          <w:tcPr>
            <w:tcW w:w="4820" w:type="dxa"/>
            <w:tcBorders>
              <w:top w:val="nil"/>
              <w:left w:val="nil"/>
              <w:bottom w:val="nil"/>
              <w:right w:val="nil"/>
            </w:tcBorders>
            <w:shd w:val="clear" w:color="auto" w:fill="auto"/>
            <w:noWrap/>
            <w:vAlign w:val="center"/>
            <w:hideMark/>
          </w:tcPr>
          <w:p w14:paraId="2FF8E772"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Obrigação para desmobilização de ativos</w:t>
            </w:r>
          </w:p>
        </w:tc>
        <w:tc>
          <w:tcPr>
            <w:tcW w:w="211" w:type="dxa"/>
            <w:tcBorders>
              <w:top w:val="nil"/>
              <w:left w:val="nil"/>
              <w:bottom w:val="nil"/>
              <w:right w:val="nil"/>
            </w:tcBorders>
            <w:shd w:val="clear" w:color="auto" w:fill="auto"/>
            <w:noWrap/>
            <w:vAlign w:val="bottom"/>
            <w:hideMark/>
          </w:tcPr>
          <w:p w14:paraId="7AD3DA53"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771" w:type="dxa"/>
            <w:tcBorders>
              <w:top w:val="nil"/>
              <w:left w:val="nil"/>
              <w:bottom w:val="nil"/>
              <w:right w:val="nil"/>
            </w:tcBorders>
            <w:shd w:val="clear" w:color="auto" w:fill="auto"/>
            <w:noWrap/>
            <w:vAlign w:val="center"/>
            <w:hideMark/>
          </w:tcPr>
          <w:p w14:paraId="2C6BA128" w14:textId="77777777" w:rsidR="00536317" w:rsidRPr="006B5F69" w:rsidRDefault="00581D1F" w:rsidP="00536317">
            <w:pPr>
              <w:spacing w:after="0" w:line="240" w:lineRule="auto"/>
              <w:jc w:val="center"/>
              <w:rPr>
                <w:rFonts w:ascii="Verdana" w:eastAsia="Times New Roman" w:hAnsi="Verdana" w:cs="Calibri"/>
                <w:b/>
                <w:bCs/>
                <w:sz w:val="18"/>
                <w:szCs w:val="20"/>
                <w:lang w:eastAsia="pt-BR"/>
              </w:rPr>
            </w:pPr>
            <w:r>
              <w:rPr>
                <w:rFonts w:ascii="Verdana" w:eastAsia="Times New Roman" w:hAnsi="Verdana" w:cs="Calibri"/>
                <w:b/>
                <w:bCs/>
                <w:sz w:val="18"/>
                <w:szCs w:val="20"/>
                <w:lang w:eastAsia="pt-BR"/>
              </w:rPr>
              <w:t>21</w:t>
            </w:r>
            <w:r w:rsidR="00536317" w:rsidRPr="006B5F69">
              <w:rPr>
                <w:rFonts w:ascii="Verdana" w:eastAsia="Times New Roman" w:hAnsi="Verdana" w:cs="Calibri"/>
                <w:b/>
                <w:bCs/>
                <w:sz w:val="18"/>
                <w:szCs w:val="20"/>
                <w:lang w:eastAsia="pt-BR"/>
              </w:rPr>
              <w:t xml:space="preserve"> </w:t>
            </w:r>
          </w:p>
        </w:tc>
        <w:tc>
          <w:tcPr>
            <w:tcW w:w="211" w:type="dxa"/>
            <w:tcBorders>
              <w:top w:val="nil"/>
              <w:left w:val="nil"/>
              <w:bottom w:val="nil"/>
              <w:right w:val="nil"/>
            </w:tcBorders>
            <w:shd w:val="clear" w:color="auto" w:fill="auto"/>
            <w:noWrap/>
            <w:vAlign w:val="center"/>
            <w:hideMark/>
          </w:tcPr>
          <w:p w14:paraId="381250E0" w14:textId="77777777" w:rsidR="00536317" w:rsidRPr="006B5F69" w:rsidRDefault="00536317" w:rsidP="00536317">
            <w:pPr>
              <w:spacing w:after="0" w:line="240" w:lineRule="auto"/>
              <w:jc w:val="center"/>
              <w:rPr>
                <w:rFonts w:ascii="Verdana" w:eastAsia="Times New Roman" w:hAnsi="Verdana" w:cs="Calibri"/>
                <w:b/>
                <w:bCs/>
                <w:sz w:val="18"/>
                <w:szCs w:val="20"/>
                <w:lang w:eastAsia="pt-BR"/>
              </w:rPr>
            </w:pPr>
          </w:p>
        </w:tc>
        <w:tc>
          <w:tcPr>
            <w:tcW w:w="2018" w:type="dxa"/>
            <w:tcBorders>
              <w:top w:val="nil"/>
              <w:left w:val="nil"/>
              <w:bottom w:val="nil"/>
              <w:right w:val="nil"/>
            </w:tcBorders>
            <w:shd w:val="clear" w:color="auto" w:fill="auto"/>
            <w:noWrap/>
            <w:vAlign w:val="center"/>
            <w:hideMark/>
          </w:tcPr>
          <w:p w14:paraId="31B576F2" w14:textId="77777777" w:rsidR="00536317" w:rsidRPr="00983DF0" w:rsidRDefault="00536317" w:rsidP="00F7132F">
            <w:pPr>
              <w:spacing w:after="0" w:line="240" w:lineRule="auto"/>
              <w:jc w:val="right"/>
              <w:rPr>
                <w:rFonts w:ascii="Verdana" w:eastAsia="Times New Roman" w:hAnsi="Verdana" w:cs="Calibri"/>
                <w:sz w:val="18"/>
                <w:szCs w:val="20"/>
                <w:lang w:eastAsia="pt-BR"/>
              </w:rPr>
            </w:pPr>
            <w:r w:rsidRPr="00983DF0">
              <w:rPr>
                <w:rFonts w:ascii="Verdana" w:eastAsia="Times New Roman" w:hAnsi="Verdana" w:cs="Calibri"/>
                <w:sz w:val="18"/>
                <w:szCs w:val="20"/>
                <w:lang w:eastAsia="pt-BR"/>
              </w:rPr>
              <w:t xml:space="preserve">                   -   </w:t>
            </w:r>
          </w:p>
        </w:tc>
        <w:tc>
          <w:tcPr>
            <w:tcW w:w="211" w:type="dxa"/>
            <w:tcBorders>
              <w:top w:val="nil"/>
              <w:left w:val="nil"/>
              <w:bottom w:val="nil"/>
              <w:right w:val="nil"/>
            </w:tcBorders>
            <w:shd w:val="clear" w:color="auto" w:fill="auto"/>
            <w:noWrap/>
            <w:vAlign w:val="bottom"/>
            <w:hideMark/>
          </w:tcPr>
          <w:p w14:paraId="19A0E607" w14:textId="77777777" w:rsidR="00536317" w:rsidRPr="00983DF0" w:rsidRDefault="00536317" w:rsidP="00536317">
            <w:pPr>
              <w:spacing w:after="0" w:line="240" w:lineRule="auto"/>
              <w:rPr>
                <w:rFonts w:ascii="Verdana" w:eastAsia="Times New Roman" w:hAnsi="Verdana" w:cs="Calibri"/>
                <w:b/>
                <w:bCs/>
                <w:sz w:val="18"/>
                <w:szCs w:val="20"/>
                <w:lang w:eastAsia="pt-BR"/>
              </w:rPr>
            </w:pPr>
            <w:r w:rsidRPr="00983DF0">
              <w:rPr>
                <w:rFonts w:ascii="Verdana" w:eastAsia="Times New Roman" w:hAnsi="Verdana" w:cs="Calibri"/>
                <w:b/>
                <w:bCs/>
                <w:sz w:val="18"/>
                <w:szCs w:val="20"/>
                <w:lang w:eastAsia="pt-BR"/>
              </w:rPr>
              <w:t> </w:t>
            </w:r>
          </w:p>
        </w:tc>
        <w:tc>
          <w:tcPr>
            <w:tcW w:w="1831" w:type="dxa"/>
            <w:tcBorders>
              <w:top w:val="nil"/>
              <w:left w:val="nil"/>
              <w:bottom w:val="nil"/>
              <w:right w:val="nil"/>
            </w:tcBorders>
            <w:shd w:val="clear" w:color="auto" w:fill="auto"/>
            <w:noWrap/>
            <w:vAlign w:val="center"/>
            <w:hideMark/>
          </w:tcPr>
          <w:p w14:paraId="4CA5524A" w14:textId="77777777"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3.388.825 </w:t>
            </w:r>
          </w:p>
        </w:tc>
      </w:tr>
      <w:tr w:rsidR="00536317" w:rsidRPr="006B5F69" w14:paraId="2E396C87" w14:textId="77777777" w:rsidTr="00BA3EEF">
        <w:trPr>
          <w:trHeight w:val="234"/>
          <w:jc w:val="center"/>
        </w:trPr>
        <w:tc>
          <w:tcPr>
            <w:tcW w:w="4820" w:type="dxa"/>
            <w:tcBorders>
              <w:top w:val="nil"/>
              <w:left w:val="nil"/>
              <w:bottom w:val="nil"/>
              <w:right w:val="nil"/>
            </w:tcBorders>
            <w:shd w:val="clear" w:color="auto" w:fill="auto"/>
            <w:noWrap/>
            <w:vAlign w:val="center"/>
            <w:hideMark/>
          </w:tcPr>
          <w:p w14:paraId="6AA11391"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Incentivo de desligamento Pessoal</w:t>
            </w:r>
          </w:p>
        </w:tc>
        <w:tc>
          <w:tcPr>
            <w:tcW w:w="211" w:type="dxa"/>
            <w:tcBorders>
              <w:top w:val="nil"/>
              <w:left w:val="nil"/>
              <w:bottom w:val="nil"/>
              <w:right w:val="nil"/>
            </w:tcBorders>
            <w:shd w:val="clear" w:color="auto" w:fill="auto"/>
            <w:noWrap/>
            <w:vAlign w:val="bottom"/>
            <w:hideMark/>
          </w:tcPr>
          <w:p w14:paraId="40788568"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771" w:type="dxa"/>
            <w:tcBorders>
              <w:top w:val="nil"/>
              <w:left w:val="nil"/>
              <w:bottom w:val="nil"/>
              <w:right w:val="nil"/>
            </w:tcBorders>
            <w:shd w:val="clear" w:color="auto" w:fill="auto"/>
            <w:noWrap/>
            <w:vAlign w:val="center"/>
            <w:hideMark/>
          </w:tcPr>
          <w:p w14:paraId="6AA2B78D" w14:textId="77777777" w:rsidR="00536317" w:rsidRPr="006B5F69" w:rsidRDefault="00536317" w:rsidP="00536317">
            <w:pPr>
              <w:spacing w:after="0" w:line="240" w:lineRule="auto"/>
              <w:rPr>
                <w:rFonts w:ascii="Verdana" w:eastAsia="Times New Roman" w:hAnsi="Verdana" w:cs="Calibri"/>
                <w:sz w:val="18"/>
                <w:szCs w:val="20"/>
                <w:lang w:eastAsia="pt-BR"/>
              </w:rPr>
            </w:pPr>
          </w:p>
        </w:tc>
        <w:tc>
          <w:tcPr>
            <w:tcW w:w="211" w:type="dxa"/>
            <w:tcBorders>
              <w:top w:val="nil"/>
              <w:left w:val="nil"/>
              <w:bottom w:val="nil"/>
              <w:right w:val="nil"/>
            </w:tcBorders>
            <w:shd w:val="clear" w:color="auto" w:fill="auto"/>
            <w:noWrap/>
            <w:vAlign w:val="center"/>
            <w:hideMark/>
          </w:tcPr>
          <w:p w14:paraId="7F689514" w14:textId="77777777" w:rsidR="00536317" w:rsidRPr="006B5F69" w:rsidRDefault="00536317" w:rsidP="00536317">
            <w:pPr>
              <w:spacing w:after="0" w:line="240" w:lineRule="auto"/>
              <w:jc w:val="center"/>
              <w:rPr>
                <w:rFonts w:ascii="Times New Roman" w:eastAsia="Times New Roman" w:hAnsi="Times New Roman" w:cs="Times New Roman"/>
                <w:sz w:val="18"/>
                <w:szCs w:val="20"/>
                <w:lang w:eastAsia="pt-BR"/>
              </w:rPr>
            </w:pPr>
          </w:p>
        </w:tc>
        <w:tc>
          <w:tcPr>
            <w:tcW w:w="2018" w:type="dxa"/>
            <w:tcBorders>
              <w:top w:val="nil"/>
              <w:left w:val="nil"/>
              <w:right w:val="nil"/>
            </w:tcBorders>
            <w:shd w:val="clear" w:color="auto" w:fill="auto"/>
            <w:noWrap/>
            <w:vAlign w:val="center"/>
            <w:hideMark/>
          </w:tcPr>
          <w:p w14:paraId="6A2C1FF1" w14:textId="77777777" w:rsidR="00536317" w:rsidRPr="00983DF0" w:rsidRDefault="00536317" w:rsidP="00F7132F">
            <w:pPr>
              <w:spacing w:after="0" w:line="240" w:lineRule="auto"/>
              <w:jc w:val="right"/>
              <w:rPr>
                <w:rFonts w:ascii="Verdana" w:eastAsia="Times New Roman" w:hAnsi="Verdana" w:cs="Calibri"/>
                <w:sz w:val="18"/>
                <w:szCs w:val="20"/>
                <w:lang w:eastAsia="pt-BR"/>
              </w:rPr>
            </w:pPr>
            <w:r w:rsidRPr="00983DF0">
              <w:rPr>
                <w:rFonts w:ascii="Verdana" w:eastAsia="Times New Roman" w:hAnsi="Verdana" w:cs="Calibri"/>
                <w:sz w:val="18"/>
                <w:szCs w:val="20"/>
                <w:lang w:eastAsia="pt-BR"/>
              </w:rPr>
              <w:t xml:space="preserve">                   -   </w:t>
            </w:r>
          </w:p>
        </w:tc>
        <w:tc>
          <w:tcPr>
            <w:tcW w:w="211" w:type="dxa"/>
            <w:tcBorders>
              <w:top w:val="nil"/>
              <w:left w:val="nil"/>
              <w:bottom w:val="nil"/>
              <w:right w:val="nil"/>
            </w:tcBorders>
            <w:shd w:val="clear" w:color="auto" w:fill="auto"/>
            <w:noWrap/>
            <w:vAlign w:val="bottom"/>
            <w:hideMark/>
          </w:tcPr>
          <w:p w14:paraId="39D24E2C" w14:textId="77777777" w:rsidR="00536317" w:rsidRPr="00983DF0" w:rsidRDefault="00536317" w:rsidP="00536317">
            <w:pPr>
              <w:spacing w:after="0" w:line="240" w:lineRule="auto"/>
              <w:rPr>
                <w:rFonts w:ascii="Verdana" w:eastAsia="Times New Roman" w:hAnsi="Verdana" w:cs="Calibri"/>
                <w:sz w:val="18"/>
                <w:szCs w:val="20"/>
                <w:lang w:eastAsia="pt-BR"/>
              </w:rPr>
            </w:pPr>
            <w:r w:rsidRPr="00983DF0">
              <w:rPr>
                <w:rFonts w:ascii="Verdana" w:eastAsia="Times New Roman" w:hAnsi="Verdana" w:cs="Calibri"/>
                <w:sz w:val="18"/>
                <w:szCs w:val="20"/>
                <w:lang w:eastAsia="pt-BR"/>
              </w:rPr>
              <w:t> </w:t>
            </w:r>
          </w:p>
        </w:tc>
        <w:tc>
          <w:tcPr>
            <w:tcW w:w="1831" w:type="dxa"/>
            <w:tcBorders>
              <w:top w:val="nil"/>
              <w:left w:val="nil"/>
              <w:right w:val="nil"/>
            </w:tcBorders>
            <w:shd w:val="clear" w:color="auto" w:fill="auto"/>
            <w:noWrap/>
            <w:vAlign w:val="center"/>
            <w:hideMark/>
          </w:tcPr>
          <w:p w14:paraId="540DBDDB" w14:textId="77777777"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428 </w:t>
            </w:r>
          </w:p>
        </w:tc>
      </w:tr>
      <w:tr w:rsidR="00536317" w:rsidRPr="006B5F69" w14:paraId="7E043660" w14:textId="77777777" w:rsidTr="00BA3EEF">
        <w:trPr>
          <w:trHeight w:val="234"/>
          <w:jc w:val="center"/>
        </w:trPr>
        <w:tc>
          <w:tcPr>
            <w:tcW w:w="4820" w:type="dxa"/>
            <w:tcBorders>
              <w:top w:val="nil"/>
              <w:left w:val="nil"/>
              <w:bottom w:val="nil"/>
              <w:right w:val="nil"/>
            </w:tcBorders>
            <w:shd w:val="clear" w:color="auto" w:fill="auto"/>
            <w:noWrap/>
            <w:vAlign w:val="center"/>
            <w:hideMark/>
          </w:tcPr>
          <w:p w14:paraId="6C053515"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Arrendamentos</w:t>
            </w:r>
          </w:p>
        </w:tc>
        <w:tc>
          <w:tcPr>
            <w:tcW w:w="211" w:type="dxa"/>
            <w:tcBorders>
              <w:top w:val="nil"/>
              <w:left w:val="nil"/>
              <w:bottom w:val="nil"/>
              <w:right w:val="nil"/>
            </w:tcBorders>
            <w:shd w:val="clear" w:color="auto" w:fill="auto"/>
            <w:noWrap/>
            <w:vAlign w:val="bottom"/>
            <w:hideMark/>
          </w:tcPr>
          <w:p w14:paraId="1ED24FC1"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771" w:type="dxa"/>
            <w:tcBorders>
              <w:top w:val="nil"/>
              <w:left w:val="nil"/>
              <w:bottom w:val="nil"/>
              <w:right w:val="nil"/>
            </w:tcBorders>
            <w:shd w:val="clear" w:color="auto" w:fill="auto"/>
            <w:noWrap/>
            <w:vAlign w:val="center"/>
            <w:hideMark/>
          </w:tcPr>
          <w:p w14:paraId="054A72F6" w14:textId="77777777" w:rsidR="00536317" w:rsidRPr="006B5F69" w:rsidRDefault="00536317" w:rsidP="00536317">
            <w:pPr>
              <w:spacing w:after="0" w:line="240" w:lineRule="auto"/>
              <w:rPr>
                <w:rFonts w:ascii="Verdana" w:eastAsia="Times New Roman" w:hAnsi="Verdana" w:cs="Calibri"/>
                <w:b/>
                <w:bCs/>
                <w:sz w:val="18"/>
                <w:szCs w:val="20"/>
                <w:lang w:eastAsia="pt-BR"/>
              </w:rPr>
            </w:pPr>
          </w:p>
        </w:tc>
        <w:tc>
          <w:tcPr>
            <w:tcW w:w="211" w:type="dxa"/>
            <w:tcBorders>
              <w:top w:val="nil"/>
              <w:left w:val="nil"/>
              <w:bottom w:val="nil"/>
              <w:right w:val="nil"/>
            </w:tcBorders>
            <w:shd w:val="clear" w:color="auto" w:fill="auto"/>
            <w:noWrap/>
            <w:vAlign w:val="center"/>
            <w:hideMark/>
          </w:tcPr>
          <w:p w14:paraId="142904A9" w14:textId="77777777" w:rsidR="00536317" w:rsidRPr="006B5F69" w:rsidRDefault="00536317" w:rsidP="00536317">
            <w:pPr>
              <w:spacing w:after="0" w:line="240" w:lineRule="auto"/>
              <w:jc w:val="center"/>
              <w:rPr>
                <w:rFonts w:ascii="Times New Roman" w:eastAsia="Times New Roman" w:hAnsi="Times New Roman" w:cs="Times New Roman"/>
                <w:sz w:val="18"/>
                <w:szCs w:val="20"/>
                <w:lang w:eastAsia="pt-BR"/>
              </w:rPr>
            </w:pPr>
          </w:p>
        </w:tc>
        <w:tc>
          <w:tcPr>
            <w:tcW w:w="2018" w:type="dxa"/>
            <w:tcBorders>
              <w:top w:val="nil"/>
              <w:left w:val="nil"/>
              <w:bottom w:val="single" w:sz="4" w:space="0" w:color="auto"/>
              <w:right w:val="nil"/>
            </w:tcBorders>
            <w:shd w:val="clear" w:color="auto" w:fill="auto"/>
            <w:noWrap/>
            <w:vAlign w:val="center"/>
            <w:hideMark/>
          </w:tcPr>
          <w:p w14:paraId="04A49134" w14:textId="77777777" w:rsidR="00536317" w:rsidRPr="00983DF0" w:rsidRDefault="00536317" w:rsidP="00F7132F">
            <w:pPr>
              <w:spacing w:after="0" w:line="240" w:lineRule="auto"/>
              <w:jc w:val="right"/>
              <w:rPr>
                <w:rFonts w:ascii="Verdana" w:eastAsia="Times New Roman" w:hAnsi="Verdana" w:cs="Calibri"/>
                <w:sz w:val="18"/>
                <w:szCs w:val="20"/>
                <w:lang w:eastAsia="pt-BR"/>
              </w:rPr>
            </w:pPr>
            <w:r w:rsidRPr="00983DF0">
              <w:rPr>
                <w:rFonts w:ascii="Verdana" w:eastAsia="Times New Roman" w:hAnsi="Verdana" w:cs="Calibri"/>
                <w:sz w:val="18"/>
                <w:szCs w:val="20"/>
                <w:lang w:eastAsia="pt-BR"/>
              </w:rPr>
              <w:t xml:space="preserve">               7.182 </w:t>
            </w:r>
          </w:p>
        </w:tc>
        <w:tc>
          <w:tcPr>
            <w:tcW w:w="211" w:type="dxa"/>
            <w:tcBorders>
              <w:top w:val="nil"/>
              <w:left w:val="nil"/>
              <w:bottom w:val="nil"/>
              <w:right w:val="nil"/>
            </w:tcBorders>
            <w:shd w:val="clear" w:color="auto" w:fill="auto"/>
            <w:noWrap/>
            <w:vAlign w:val="bottom"/>
            <w:hideMark/>
          </w:tcPr>
          <w:p w14:paraId="38632825" w14:textId="77777777" w:rsidR="00536317" w:rsidRPr="00983DF0" w:rsidRDefault="00536317" w:rsidP="00536317">
            <w:pPr>
              <w:spacing w:after="0" w:line="240" w:lineRule="auto"/>
              <w:rPr>
                <w:rFonts w:ascii="Verdana" w:eastAsia="Times New Roman" w:hAnsi="Verdana" w:cs="Calibri"/>
                <w:b/>
                <w:bCs/>
                <w:sz w:val="18"/>
                <w:szCs w:val="20"/>
                <w:lang w:eastAsia="pt-BR"/>
              </w:rPr>
            </w:pPr>
            <w:r w:rsidRPr="00983DF0">
              <w:rPr>
                <w:rFonts w:ascii="Verdana" w:eastAsia="Times New Roman" w:hAnsi="Verdana" w:cs="Calibri"/>
                <w:b/>
                <w:bCs/>
                <w:sz w:val="18"/>
                <w:szCs w:val="20"/>
                <w:lang w:eastAsia="pt-BR"/>
              </w:rPr>
              <w:t> </w:t>
            </w:r>
          </w:p>
        </w:tc>
        <w:tc>
          <w:tcPr>
            <w:tcW w:w="1831" w:type="dxa"/>
            <w:tcBorders>
              <w:top w:val="nil"/>
              <w:left w:val="nil"/>
              <w:bottom w:val="single" w:sz="4" w:space="0" w:color="auto"/>
              <w:right w:val="nil"/>
            </w:tcBorders>
            <w:shd w:val="clear" w:color="auto" w:fill="auto"/>
            <w:noWrap/>
            <w:vAlign w:val="center"/>
            <w:hideMark/>
          </w:tcPr>
          <w:p w14:paraId="4F07EC61" w14:textId="77777777" w:rsidR="00536317" w:rsidRPr="006B5F69" w:rsidRDefault="00536317" w:rsidP="00027C0C">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7.55</w:t>
            </w:r>
            <w:r w:rsidR="00027C0C">
              <w:rPr>
                <w:rFonts w:ascii="Verdana" w:eastAsia="Times New Roman" w:hAnsi="Verdana" w:cs="Calibri"/>
                <w:sz w:val="18"/>
                <w:szCs w:val="20"/>
                <w:lang w:eastAsia="pt-BR"/>
              </w:rPr>
              <w:t>2</w:t>
            </w:r>
            <w:r w:rsidRPr="006B5F69">
              <w:rPr>
                <w:rFonts w:ascii="Verdana" w:eastAsia="Times New Roman" w:hAnsi="Verdana" w:cs="Calibri"/>
                <w:sz w:val="18"/>
                <w:szCs w:val="20"/>
                <w:lang w:eastAsia="pt-BR"/>
              </w:rPr>
              <w:t xml:space="preserve"> </w:t>
            </w:r>
          </w:p>
        </w:tc>
      </w:tr>
      <w:tr w:rsidR="00536317" w:rsidRPr="006B5F69" w14:paraId="57E7CB74" w14:textId="77777777" w:rsidTr="00BA3EEF">
        <w:trPr>
          <w:trHeight w:val="234"/>
          <w:jc w:val="center"/>
        </w:trPr>
        <w:tc>
          <w:tcPr>
            <w:tcW w:w="4820" w:type="dxa"/>
            <w:tcBorders>
              <w:top w:val="nil"/>
              <w:left w:val="nil"/>
              <w:bottom w:val="nil"/>
              <w:right w:val="nil"/>
            </w:tcBorders>
            <w:shd w:val="clear" w:color="auto" w:fill="auto"/>
            <w:noWrap/>
            <w:vAlign w:val="center"/>
            <w:hideMark/>
          </w:tcPr>
          <w:p w14:paraId="02A70BB9" w14:textId="77777777" w:rsidR="00536317" w:rsidRPr="006B5F69" w:rsidRDefault="00536317" w:rsidP="00536317">
            <w:pPr>
              <w:spacing w:after="0" w:line="240" w:lineRule="auto"/>
              <w:rPr>
                <w:rFonts w:ascii="Verdana" w:eastAsia="Times New Roman" w:hAnsi="Verdana" w:cs="Calibri"/>
                <w:sz w:val="18"/>
                <w:szCs w:val="20"/>
                <w:lang w:eastAsia="pt-BR"/>
              </w:rPr>
            </w:pPr>
          </w:p>
        </w:tc>
        <w:tc>
          <w:tcPr>
            <w:tcW w:w="211" w:type="dxa"/>
            <w:tcBorders>
              <w:top w:val="nil"/>
              <w:left w:val="nil"/>
              <w:bottom w:val="nil"/>
              <w:right w:val="nil"/>
            </w:tcBorders>
            <w:shd w:val="clear" w:color="auto" w:fill="auto"/>
            <w:noWrap/>
            <w:vAlign w:val="bottom"/>
            <w:hideMark/>
          </w:tcPr>
          <w:p w14:paraId="5D795BA6"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771" w:type="dxa"/>
            <w:tcBorders>
              <w:top w:val="nil"/>
              <w:left w:val="nil"/>
              <w:bottom w:val="nil"/>
              <w:right w:val="nil"/>
            </w:tcBorders>
            <w:shd w:val="clear" w:color="auto" w:fill="auto"/>
            <w:noWrap/>
            <w:vAlign w:val="center"/>
            <w:hideMark/>
          </w:tcPr>
          <w:p w14:paraId="13BDC5ED" w14:textId="77777777" w:rsidR="00536317" w:rsidRPr="006B5F69" w:rsidRDefault="00536317" w:rsidP="00536317">
            <w:pPr>
              <w:spacing w:after="0" w:line="240" w:lineRule="auto"/>
              <w:rPr>
                <w:rFonts w:ascii="Verdana" w:eastAsia="Times New Roman" w:hAnsi="Verdana" w:cs="Calibri"/>
                <w:sz w:val="18"/>
                <w:szCs w:val="20"/>
                <w:lang w:eastAsia="pt-BR"/>
              </w:rPr>
            </w:pPr>
          </w:p>
        </w:tc>
        <w:tc>
          <w:tcPr>
            <w:tcW w:w="211" w:type="dxa"/>
            <w:tcBorders>
              <w:top w:val="nil"/>
              <w:left w:val="nil"/>
              <w:bottom w:val="nil"/>
              <w:right w:val="nil"/>
            </w:tcBorders>
            <w:shd w:val="clear" w:color="auto" w:fill="auto"/>
            <w:noWrap/>
            <w:vAlign w:val="center"/>
            <w:hideMark/>
          </w:tcPr>
          <w:p w14:paraId="725EDEAD" w14:textId="77777777" w:rsidR="00536317" w:rsidRPr="006B5F69" w:rsidRDefault="00536317" w:rsidP="00536317">
            <w:pPr>
              <w:spacing w:after="0" w:line="240" w:lineRule="auto"/>
              <w:jc w:val="center"/>
              <w:rPr>
                <w:rFonts w:ascii="Times New Roman" w:eastAsia="Times New Roman" w:hAnsi="Times New Roman" w:cs="Times New Roman"/>
                <w:sz w:val="18"/>
                <w:szCs w:val="20"/>
                <w:lang w:eastAsia="pt-BR"/>
              </w:rPr>
            </w:pPr>
          </w:p>
        </w:tc>
        <w:tc>
          <w:tcPr>
            <w:tcW w:w="2018" w:type="dxa"/>
            <w:tcBorders>
              <w:top w:val="single" w:sz="4" w:space="0" w:color="auto"/>
              <w:left w:val="nil"/>
              <w:bottom w:val="nil"/>
              <w:right w:val="nil"/>
            </w:tcBorders>
            <w:shd w:val="clear" w:color="auto" w:fill="auto"/>
            <w:noWrap/>
            <w:vAlign w:val="center"/>
            <w:hideMark/>
          </w:tcPr>
          <w:p w14:paraId="3C917AEC" w14:textId="77777777" w:rsidR="00536317" w:rsidRPr="00983DF0" w:rsidRDefault="00536317" w:rsidP="00F7132F">
            <w:pPr>
              <w:spacing w:after="0" w:line="240" w:lineRule="auto"/>
              <w:jc w:val="right"/>
              <w:rPr>
                <w:rFonts w:ascii="Verdana" w:eastAsia="Times New Roman" w:hAnsi="Verdana" w:cs="Calibri"/>
                <w:b/>
                <w:bCs/>
                <w:sz w:val="18"/>
                <w:szCs w:val="20"/>
                <w:lang w:eastAsia="pt-BR"/>
              </w:rPr>
            </w:pPr>
            <w:r w:rsidRPr="00983DF0">
              <w:rPr>
                <w:rFonts w:ascii="Verdana" w:eastAsia="Times New Roman" w:hAnsi="Verdana" w:cs="Calibri"/>
                <w:b/>
                <w:bCs/>
                <w:sz w:val="18"/>
                <w:szCs w:val="20"/>
                <w:lang w:eastAsia="pt-BR"/>
              </w:rPr>
              <w:t xml:space="preserve">          1.281.193 </w:t>
            </w:r>
          </w:p>
        </w:tc>
        <w:tc>
          <w:tcPr>
            <w:tcW w:w="211" w:type="dxa"/>
            <w:tcBorders>
              <w:top w:val="nil"/>
              <w:left w:val="nil"/>
              <w:bottom w:val="nil"/>
              <w:right w:val="nil"/>
            </w:tcBorders>
            <w:shd w:val="clear" w:color="auto" w:fill="auto"/>
            <w:noWrap/>
            <w:vAlign w:val="bottom"/>
            <w:hideMark/>
          </w:tcPr>
          <w:p w14:paraId="3425951D" w14:textId="77777777" w:rsidR="00536317" w:rsidRPr="00983DF0" w:rsidRDefault="00536317" w:rsidP="00536317">
            <w:pPr>
              <w:spacing w:after="0" w:line="240" w:lineRule="auto"/>
              <w:rPr>
                <w:rFonts w:ascii="Verdana" w:eastAsia="Times New Roman" w:hAnsi="Verdana" w:cs="Calibri"/>
                <w:sz w:val="18"/>
                <w:szCs w:val="20"/>
                <w:lang w:eastAsia="pt-BR"/>
              </w:rPr>
            </w:pPr>
            <w:r w:rsidRPr="00983DF0">
              <w:rPr>
                <w:rFonts w:ascii="Verdana" w:eastAsia="Times New Roman" w:hAnsi="Verdana" w:cs="Calibri"/>
                <w:sz w:val="18"/>
                <w:szCs w:val="20"/>
                <w:lang w:eastAsia="pt-BR"/>
              </w:rPr>
              <w:t> </w:t>
            </w:r>
          </w:p>
        </w:tc>
        <w:tc>
          <w:tcPr>
            <w:tcW w:w="1831" w:type="dxa"/>
            <w:tcBorders>
              <w:top w:val="single" w:sz="4" w:space="0" w:color="auto"/>
              <w:left w:val="nil"/>
              <w:bottom w:val="nil"/>
              <w:right w:val="nil"/>
            </w:tcBorders>
            <w:shd w:val="clear" w:color="auto" w:fill="auto"/>
            <w:noWrap/>
            <w:vAlign w:val="center"/>
            <w:hideMark/>
          </w:tcPr>
          <w:p w14:paraId="20D64A29" w14:textId="77777777" w:rsidR="00536317" w:rsidRPr="006B5F69" w:rsidRDefault="00536317" w:rsidP="00F7132F">
            <w:pPr>
              <w:spacing w:after="0" w:line="240" w:lineRule="auto"/>
              <w:jc w:val="right"/>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xml:space="preserve">     12.633.358 </w:t>
            </w:r>
          </w:p>
        </w:tc>
      </w:tr>
      <w:tr w:rsidR="00536317" w:rsidRPr="006B5F69" w14:paraId="717778DF" w14:textId="77777777" w:rsidTr="00BA3EEF">
        <w:trPr>
          <w:trHeight w:val="234"/>
          <w:jc w:val="center"/>
        </w:trPr>
        <w:tc>
          <w:tcPr>
            <w:tcW w:w="4820" w:type="dxa"/>
            <w:tcBorders>
              <w:top w:val="nil"/>
              <w:left w:val="nil"/>
              <w:bottom w:val="nil"/>
              <w:right w:val="nil"/>
            </w:tcBorders>
            <w:shd w:val="clear" w:color="auto" w:fill="auto"/>
            <w:noWrap/>
            <w:vAlign w:val="center"/>
            <w:hideMark/>
          </w:tcPr>
          <w:p w14:paraId="727502B2" w14:textId="77777777" w:rsidR="00536317" w:rsidRPr="006B5F69" w:rsidRDefault="00536317" w:rsidP="00536317">
            <w:pPr>
              <w:spacing w:after="0" w:line="240" w:lineRule="auto"/>
              <w:rPr>
                <w:rFonts w:ascii="Verdana" w:eastAsia="Times New Roman" w:hAnsi="Verdana" w:cs="Calibri"/>
                <w:b/>
                <w:bCs/>
                <w:sz w:val="18"/>
                <w:szCs w:val="20"/>
                <w:lang w:eastAsia="pt-BR"/>
              </w:rPr>
            </w:pPr>
          </w:p>
        </w:tc>
        <w:tc>
          <w:tcPr>
            <w:tcW w:w="211" w:type="dxa"/>
            <w:tcBorders>
              <w:top w:val="nil"/>
              <w:left w:val="nil"/>
              <w:bottom w:val="nil"/>
              <w:right w:val="nil"/>
            </w:tcBorders>
            <w:shd w:val="clear" w:color="auto" w:fill="auto"/>
            <w:noWrap/>
            <w:vAlign w:val="bottom"/>
            <w:hideMark/>
          </w:tcPr>
          <w:p w14:paraId="0DF5538A"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771" w:type="dxa"/>
            <w:tcBorders>
              <w:top w:val="nil"/>
              <w:left w:val="nil"/>
              <w:bottom w:val="nil"/>
              <w:right w:val="nil"/>
            </w:tcBorders>
            <w:shd w:val="clear" w:color="auto" w:fill="auto"/>
            <w:noWrap/>
            <w:vAlign w:val="center"/>
            <w:hideMark/>
          </w:tcPr>
          <w:p w14:paraId="179285C4" w14:textId="77777777" w:rsidR="00536317" w:rsidRPr="006B5F69" w:rsidRDefault="00536317" w:rsidP="00536317">
            <w:pPr>
              <w:spacing w:after="0" w:line="240" w:lineRule="auto"/>
              <w:rPr>
                <w:rFonts w:ascii="Verdana" w:eastAsia="Times New Roman" w:hAnsi="Verdana" w:cs="Calibri"/>
                <w:b/>
                <w:bCs/>
                <w:sz w:val="18"/>
                <w:szCs w:val="20"/>
                <w:lang w:eastAsia="pt-BR"/>
              </w:rPr>
            </w:pPr>
          </w:p>
        </w:tc>
        <w:tc>
          <w:tcPr>
            <w:tcW w:w="211" w:type="dxa"/>
            <w:tcBorders>
              <w:top w:val="nil"/>
              <w:left w:val="nil"/>
              <w:bottom w:val="nil"/>
              <w:right w:val="nil"/>
            </w:tcBorders>
            <w:shd w:val="clear" w:color="auto" w:fill="auto"/>
            <w:noWrap/>
            <w:vAlign w:val="center"/>
            <w:hideMark/>
          </w:tcPr>
          <w:p w14:paraId="6B225F41" w14:textId="77777777" w:rsidR="00536317" w:rsidRPr="006B5F69" w:rsidRDefault="00536317" w:rsidP="00536317">
            <w:pPr>
              <w:spacing w:after="0" w:line="240" w:lineRule="auto"/>
              <w:jc w:val="center"/>
              <w:rPr>
                <w:rFonts w:ascii="Times New Roman" w:eastAsia="Times New Roman" w:hAnsi="Times New Roman" w:cs="Times New Roman"/>
                <w:sz w:val="18"/>
                <w:szCs w:val="20"/>
                <w:lang w:eastAsia="pt-BR"/>
              </w:rPr>
            </w:pPr>
          </w:p>
        </w:tc>
        <w:tc>
          <w:tcPr>
            <w:tcW w:w="2018" w:type="dxa"/>
            <w:tcBorders>
              <w:top w:val="nil"/>
              <w:left w:val="nil"/>
              <w:bottom w:val="nil"/>
              <w:right w:val="nil"/>
            </w:tcBorders>
            <w:shd w:val="clear" w:color="auto" w:fill="auto"/>
            <w:noWrap/>
            <w:vAlign w:val="center"/>
            <w:hideMark/>
          </w:tcPr>
          <w:p w14:paraId="20AD4384" w14:textId="77777777" w:rsidR="00536317" w:rsidRPr="00983DF0" w:rsidRDefault="00536317" w:rsidP="00F7132F">
            <w:pPr>
              <w:spacing w:after="0" w:line="240" w:lineRule="auto"/>
              <w:jc w:val="right"/>
              <w:rPr>
                <w:rFonts w:ascii="Times New Roman" w:eastAsia="Times New Roman" w:hAnsi="Times New Roman" w:cs="Times New Roman"/>
                <w:sz w:val="18"/>
                <w:szCs w:val="20"/>
                <w:lang w:eastAsia="pt-BR"/>
              </w:rPr>
            </w:pPr>
          </w:p>
        </w:tc>
        <w:tc>
          <w:tcPr>
            <w:tcW w:w="211" w:type="dxa"/>
            <w:tcBorders>
              <w:top w:val="nil"/>
              <w:left w:val="nil"/>
              <w:bottom w:val="nil"/>
              <w:right w:val="nil"/>
            </w:tcBorders>
            <w:shd w:val="clear" w:color="auto" w:fill="auto"/>
            <w:noWrap/>
            <w:vAlign w:val="bottom"/>
            <w:hideMark/>
          </w:tcPr>
          <w:p w14:paraId="3203DF05" w14:textId="77777777" w:rsidR="00536317" w:rsidRPr="00983DF0" w:rsidRDefault="00536317" w:rsidP="00536317">
            <w:pPr>
              <w:spacing w:after="0" w:line="240" w:lineRule="auto"/>
              <w:rPr>
                <w:rFonts w:ascii="Verdana" w:eastAsia="Times New Roman" w:hAnsi="Verdana" w:cs="Calibri"/>
                <w:b/>
                <w:bCs/>
                <w:sz w:val="18"/>
                <w:szCs w:val="20"/>
                <w:lang w:eastAsia="pt-BR"/>
              </w:rPr>
            </w:pPr>
            <w:r w:rsidRPr="00983DF0">
              <w:rPr>
                <w:rFonts w:ascii="Verdana" w:eastAsia="Times New Roman" w:hAnsi="Verdana" w:cs="Calibri"/>
                <w:b/>
                <w:bCs/>
                <w:sz w:val="18"/>
                <w:szCs w:val="20"/>
                <w:lang w:eastAsia="pt-BR"/>
              </w:rPr>
              <w:t> </w:t>
            </w:r>
          </w:p>
        </w:tc>
        <w:tc>
          <w:tcPr>
            <w:tcW w:w="1831" w:type="dxa"/>
            <w:tcBorders>
              <w:top w:val="nil"/>
              <w:left w:val="nil"/>
              <w:bottom w:val="nil"/>
              <w:right w:val="nil"/>
            </w:tcBorders>
            <w:shd w:val="clear" w:color="auto" w:fill="auto"/>
            <w:noWrap/>
            <w:vAlign w:val="center"/>
            <w:hideMark/>
          </w:tcPr>
          <w:p w14:paraId="598F81E8" w14:textId="77777777" w:rsidR="00536317" w:rsidRPr="006B5F69" w:rsidRDefault="00536317" w:rsidP="00F7132F">
            <w:pPr>
              <w:spacing w:after="0" w:line="240" w:lineRule="auto"/>
              <w:jc w:val="right"/>
              <w:rPr>
                <w:rFonts w:ascii="Verdana" w:eastAsia="Times New Roman" w:hAnsi="Verdana" w:cs="Calibri"/>
                <w:b/>
                <w:bCs/>
                <w:sz w:val="18"/>
                <w:szCs w:val="20"/>
                <w:lang w:eastAsia="pt-BR"/>
              </w:rPr>
            </w:pPr>
          </w:p>
        </w:tc>
      </w:tr>
      <w:tr w:rsidR="00536317" w:rsidRPr="006B5F69" w14:paraId="5141BD30" w14:textId="77777777" w:rsidTr="00BA3EEF">
        <w:trPr>
          <w:trHeight w:val="234"/>
          <w:jc w:val="center"/>
        </w:trPr>
        <w:tc>
          <w:tcPr>
            <w:tcW w:w="4820" w:type="dxa"/>
            <w:tcBorders>
              <w:top w:val="nil"/>
              <w:left w:val="nil"/>
              <w:bottom w:val="nil"/>
              <w:right w:val="nil"/>
            </w:tcBorders>
            <w:shd w:val="clear" w:color="auto" w:fill="auto"/>
            <w:noWrap/>
            <w:vAlign w:val="center"/>
            <w:hideMark/>
          </w:tcPr>
          <w:p w14:paraId="0F64E9D1"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PATRIMÔNIO LÍQUIDO</w:t>
            </w:r>
          </w:p>
        </w:tc>
        <w:tc>
          <w:tcPr>
            <w:tcW w:w="211" w:type="dxa"/>
            <w:tcBorders>
              <w:top w:val="nil"/>
              <w:left w:val="nil"/>
              <w:bottom w:val="nil"/>
              <w:right w:val="nil"/>
            </w:tcBorders>
            <w:shd w:val="clear" w:color="auto" w:fill="auto"/>
            <w:noWrap/>
            <w:vAlign w:val="bottom"/>
            <w:hideMark/>
          </w:tcPr>
          <w:p w14:paraId="2D6AB27F"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771" w:type="dxa"/>
            <w:tcBorders>
              <w:top w:val="nil"/>
              <w:left w:val="nil"/>
              <w:bottom w:val="nil"/>
              <w:right w:val="nil"/>
            </w:tcBorders>
            <w:shd w:val="clear" w:color="auto" w:fill="auto"/>
            <w:noWrap/>
            <w:vAlign w:val="center"/>
            <w:hideMark/>
          </w:tcPr>
          <w:p w14:paraId="714E751F" w14:textId="77777777" w:rsidR="00536317" w:rsidRPr="006B5F69" w:rsidRDefault="00536317" w:rsidP="00536317">
            <w:pPr>
              <w:spacing w:after="0" w:line="240" w:lineRule="auto"/>
              <w:rPr>
                <w:rFonts w:ascii="Verdana" w:eastAsia="Times New Roman" w:hAnsi="Verdana" w:cs="Calibri"/>
                <w:sz w:val="18"/>
                <w:szCs w:val="20"/>
                <w:lang w:eastAsia="pt-BR"/>
              </w:rPr>
            </w:pPr>
          </w:p>
        </w:tc>
        <w:tc>
          <w:tcPr>
            <w:tcW w:w="211" w:type="dxa"/>
            <w:tcBorders>
              <w:top w:val="nil"/>
              <w:left w:val="nil"/>
              <w:bottom w:val="nil"/>
              <w:right w:val="nil"/>
            </w:tcBorders>
            <w:shd w:val="clear" w:color="auto" w:fill="auto"/>
            <w:noWrap/>
            <w:vAlign w:val="center"/>
            <w:hideMark/>
          </w:tcPr>
          <w:p w14:paraId="69F00EEF" w14:textId="77777777" w:rsidR="00536317" w:rsidRPr="006B5F69" w:rsidRDefault="00536317" w:rsidP="00536317">
            <w:pPr>
              <w:spacing w:after="0" w:line="240" w:lineRule="auto"/>
              <w:rPr>
                <w:rFonts w:ascii="Times New Roman" w:eastAsia="Times New Roman" w:hAnsi="Times New Roman" w:cs="Times New Roman"/>
                <w:sz w:val="18"/>
                <w:szCs w:val="20"/>
                <w:lang w:eastAsia="pt-BR"/>
              </w:rPr>
            </w:pPr>
          </w:p>
        </w:tc>
        <w:tc>
          <w:tcPr>
            <w:tcW w:w="2018" w:type="dxa"/>
            <w:tcBorders>
              <w:top w:val="nil"/>
              <w:left w:val="nil"/>
              <w:bottom w:val="nil"/>
              <w:right w:val="nil"/>
            </w:tcBorders>
            <w:shd w:val="clear" w:color="auto" w:fill="auto"/>
            <w:noWrap/>
            <w:vAlign w:val="center"/>
            <w:hideMark/>
          </w:tcPr>
          <w:p w14:paraId="3979DD96" w14:textId="77777777" w:rsidR="00536317" w:rsidRPr="00983DF0" w:rsidRDefault="00536317" w:rsidP="00F7132F">
            <w:pPr>
              <w:spacing w:after="0" w:line="240" w:lineRule="auto"/>
              <w:jc w:val="right"/>
              <w:rPr>
                <w:rFonts w:ascii="Times New Roman" w:eastAsia="Times New Roman" w:hAnsi="Times New Roman" w:cs="Times New Roman"/>
                <w:sz w:val="18"/>
                <w:szCs w:val="20"/>
                <w:lang w:eastAsia="pt-BR"/>
              </w:rPr>
            </w:pPr>
          </w:p>
        </w:tc>
        <w:tc>
          <w:tcPr>
            <w:tcW w:w="211" w:type="dxa"/>
            <w:tcBorders>
              <w:top w:val="nil"/>
              <w:left w:val="nil"/>
              <w:bottom w:val="nil"/>
              <w:right w:val="nil"/>
            </w:tcBorders>
            <w:shd w:val="clear" w:color="auto" w:fill="auto"/>
            <w:noWrap/>
            <w:vAlign w:val="bottom"/>
            <w:hideMark/>
          </w:tcPr>
          <w:p w14:paraId="13369983" w14:textId="77777777" w:rsidR="00536317" w:rsidRPr="00983DF0" w:rsidRDefault="00536317" w:rsidP="00536317">
            <w:pPr>
              <w:spacing w:after="0" w:line="240" w:lineRule="auto"/>
              <w:rPr>
                <w:rFonts w:ascii="Verdana" w:eastAsia="Times New Roman" w:hAnsi="Verdana" w:cs="Calibri"/>
                <w:sz w:val="18"/>
                <w:szCs w:val="20"/>
                <w:lang w:eastAsia="pt-BR"/>
              </w:rPr>
            </w:pPr>
            <w:r w:rsidRPr="00983DF0">
              <w:rPr>
                <w:rFonts w:ascii="Verdana" w:eastAsia="Times New Roman" w:hAnsi="Verdana" w:cs="Calibri"/>
                <w:sz w:val="18"/>
                <w:szCs w:val="20"/>
                <w:lang w:eastAsia="pt-BR"/>
              </w:rPr>
              <w:t> </w:t>
            </w:r>
          </w:p>
        </w:tc>
        <w:tc>
          <w:tcPr>
            <w:tcW w:w="1831" w:type="dxa"/>
            <w:tcBorders>
              <w:top w:val="nil"/>
              <w:left w:val="nil"/>
              <w:bottom w:val="nil"/>
              <w:right w:val="nil"/>
            </w:tcBorders>
            <w:shd w:val="clear" w:color="auto" w:fill="auto"/>
            <w:noWrap/>
            <w:vAlign w:val="center"/>
            <w:hideMark/>
          </w:tcPr>
          <w:p w14:paraId="30ABFE26" w14:textId="77777777" w:rsidR="00536317" w:rsidRPr="006B5F69" w:rsidRDefault="00536317" w:rsidP="00F7132F">
            <w:pPr>
              <w:spacing w:after="0" w:line="240" w:lineRule="auto"/>
              <w:jc w:val="right"/>
              <w:rPr>
                <w:rFonts w:ascii="Verdana" w:eastAsia="Times New Roman" w:hAnsi="Verdana" w:cs="Calibri"/>
                <w:sz w:val="18"/>
                <w:szCs w:val="20"/>
                <w:lang w:eastAsia="pt-BR"/>
              </w:rPr>
            </w:pPr>
          </w:p>
        </w:tc>
      </w:tr>
      <w:tr w:rsidR="00536317" w:rsidRPr="006B5F69" w14:paraId="739EC662" w14:textId="77777777" w:rsidTr="00BA3EEF">
        <w:trPr>
          <w:trHeight w:val="234"/>
          <w:jc w:val="center"/>
        </w:trPr>
        <w:tc>
          <w:tcPr>
            <w:tcW w:w="4820" w:type="dxa"/>
            <w:tcBorders>
              <w:top w:val="nil"/>
              <w:left w:val="nil"/>
              <w:bottom w:val="nil"/>
              <w:right w:val="nil"/>
            </w:tcBorders>
            <w:shd w:val="clear" w:color="auto" w:fill="auto"/>
            <w:noWrap/>
            <w:vAlign w:val="center"/>
            <w:hideMark/>
          </w:tcPr>
          <w:p w14:paraId="6203BBEB"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Capital social</w:t>
            </w:r>
          </w:p>
        </w:tc>
        <w:tc>
          <w:tcPr>
            <w:tcW w:w="211" w:type="dxa"/>
            <w:tcBorders>
              <w:top w:val="nil"/>
              <w:left w:val="nil"/>
              <w:bottom w:val="nil"/>
              <w:right w:val="nil"/>
            </w:tcBorders>
            <w:shd w:val="clear" w:color="auto" w:fill="auto"/>
            <w:noWrap/>
            <w:vAlign w:val="bottom"/>
            <w:hideMark/>
          </w:tcPr>
          <w:p w14:paraId="444D0C46"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771" w:type="dxa"/>
            <w:tcBorders>
              <w:top w:val="nil"/>
              <w:left w:val="nil"/>
              <w:bottom w:val="nil"/>
              <w:right w:val="nil"/>
            </w:tcBorders>
            <w:shd w:val="clear" w:color="auto" w:fill="auto"/>
            <w:noWrap/>
            <w:vAlign w:val="center"/>
            <w:hideMark/>
          </w:tcPr>
          <w:p w14:paraId="5ADCB477" w14:textId="77777777" w:rsidR="00536317" w:rsidRPr="006B5F69" w:rsidRDefault="00581D1F" w:rsidP="00536317">
            <w:pPr>
              <w:spacing w:after="0" w:line="240" w:lineRule="auto"/>
              <w:jc w:val="center"/>
              <w:rPr>
                <w:rFonts w:ascii="Verdana" w:eastAsia="Times New Roman" w:hAnsi="Verdana" w:cs="Calibri"/>
                <w:b/>
                <w:bCs/>
                <w:sz w:val="18"/>
                <w:szCs w:val="20"/>
                <w:lang w:eastAsia="pt-BR"/>
              </w:rPr>
            </w:pPr>
            <w:r>
              <w:rPr>
                <w:rFonts w:ascii="Verdana" w:eastAsia="Times New Roman" w:hAnsi="Verdana" w:cs="Calibri"/>
                <w:b/>
                <w:bCs/>
                <w:sz w:val="18"/>
                <w:szCs w:val="20"/>
                <w:lang w:eastAsia="pt-BR"/>
              </w:rPr>
              <w:t>22</w:t>
            </w:r>
            <w:r w:rsidR="00536317" w:rsidRPr="006B5F69">
              <w:rPr>
                <w:rFonts w:ascii="Verdana" w:eastAsia="Times New Roman" w:hAnsi="Verdana" w:cs="Calibri"/>
                <w:b/>
                <w:bCs/>
                <w:sz w:val="18"/>
                <w:szCs w:val="20"/>
                <w:lang w:eastAsia="pt-BR"/>
              </w:rPr>
              <w:t xml:space="preserve"> </w:t>
            </w:r>
          </w:p>
        </w:tc>
        <w:tc>
          <w:tcPr>
            <w:tcW w:w="211" w:type="dxa"/>
            <w:tcBorders>
              <w:top w:val="nil"/>
              <w:left w:val="nil"/>
              <w:bottom w:val="nil"/>
              <w:right w:val="nil"/>
            </w:tcBorders>
            <w:shd w:val="clear" w:color="auto" w:fill="auto"/>
            <w:noWrap/>
            <w:vAlign w:val="center"/>
            <w:hideMark/>
          </w:tcPr>
          <w:p w14:paraId="60042DAB" w14:textId="77777777" w:rsidR="00536317" w:rsidRPr="006B5F69" w:rsidRDefault="00536317" w:rsidP="00536317">
            <w:pPr>
              <w:spacing w:after="0" w:line="240" w:lineRule="auto"/>
              <w:jc w:val="center"/>
              <w:rPr>
                <w:rFonts w:ascii="Verdana" w:eastAsia="Times New Roman" w:hAnsi="Verdana" w:cs="Calibri"/>
                <w:b/>
                <w:bCs/>
                <w:sz w:val="18"/>
                <w:szCs w:val="20"/>
                <w:lang w:eastAsia="pt-BR"/>
              </w:rPr>
            </w:pPr>
          </w:p>
        </w:tc>
        <w:tc>
          <w:tcPr>
            <w:tcW w:w="2018" w:type="dxa"/>
            <w:tcBorders>
              <w:top w:val="nil"/>
              <w:left w:val="nil"/>
              <w:bottom w:val="nil"/>
              <w:right w:val="nil"/>
            </w:tcBorders>
            <w:shd w:val="clear" w:color="auto" w:fill="auto"/>
            <w:noWrap/>
            <w:vAlign w:val="center"/>
            <w:hideMark/>
          </w:tcPr>
          <w:p w14:paraId="1B58DD4E" w14:textId="77777777" w:rsidR="00536317" w:rsidRPr="00983DF0" w:rsidRDefault="00536317" w:rsidP="00F7132F">
            <w:pPr>
              <w:spacing w:after="0" w:line="240" w:lineRule="auto"/>
              <w:jc w:val="right"/>
              <w:rPr>
                <w:rFonts w:ascii="Verdana" w:eastAsia="Times New Roman" w:hAnsi="Verdana" w:cs="Calibri"/>
                <w:sz w:val="18"/>
                <w:szCs w:val="20"/>
                <w:lang w:eastAsia="pt-BR"/>
              </w:rPr>
            </w:pPr>
            <w:r w:rsidRPr="00983DF0">
              <w:rPr>
                <w:rFonts w:ascii="Verdana" w:eastAsia="Times New Roman" w:hAnsi="Verdana" w:cs="Calibri"/>
                <w:sz w:val="18"/>
                <w:szCs w:val="20"/>
                <w:lang w:eastAsia="pt-BR"/>
              </w:rPr>
              <w:t xml:space="preserve">         4.000.000 </w:t>
            </w:r>
          </w:p>
        </w:tc>
        <w:tc>
          <w:tcPr>
            <w:tcW w:w="211" w:type="dxa"/>
            <w:tcBorders>
              <w:top w:val="nil"/>
              <w:left w:val="nil"/>
              <w:bottom w:val="nil"/>
              <w:right w:val="nil"/>
            </w:tcBorders>
            <w:shd w:val="clear" w:color="auto" w:fill="auto"/>
            <w:noWrap/>
            <w:vAlign w:val="bottom"/>
            <w:hideMark/>
          </w:tcPr>
          <w:p w14:paraId="3B2EA731" w14:textId="77777777" w:rsidR="00536317" w:rsidRPr="00983DF0" w:rsidRDefault="00536317" w:rsidP="00536317">
            <w:pPr>
              <w:spacing w:after="0" w:line="240" w:lineRule="auto"/>
              <w:rPr>
                <w:rFonts w:ascii="Verdana" w:eastAsia="Times New Roman" w:hAnsi="Verdana" w:cs="Calibri"/>
                <w:b/>
                <w:bCs/>
                <w:sz w:val="18"/>
                <w:szCs w:val="20"/>
                <w:lang w:eastAsia="pt-BR"/>
              </w:rPr>
            </w:pPr>
            <w:r w:rsidRPr="00983DF0">
              <w:rPr>
                <w:rFonts w:ascii="Verdana" w:eastAsia="Times New Roman" w:hAnsi="Verdana" w:cs="Calibri"/>
                <w:b/>
                <w:bCs/>
                <w:sz w:val="18"/>
                <w:szCs w:val="20"/>
                <w:lang w:eastAsia="pt-BR"/>
              </w:rPr>
              <w:t> </w:t>
            </w:r>
          </w:p>
        </w:tc>
        <w:tc>
          <w:tcPr>
            <w:tcW w:w="1831" w:type="dxa"/>
            <w:tcBorders>
              <w:top w:val="nil"/>
              <w:left w:val="nil"/>
              <w:bottom w:val="nil"/>
              <w:right w:val="nil"/>
            </w:tcBorders>
            <w:shd w:val="clear" w:color="auto" w:fill="auto"/>
            <w:noWrap/>
            <w:vAlign w:val="center"/>
            <w:hideMark/>
          </w:tcPr>
          <w:p w14:paraId="07D0E2F0" w14:textId="77777777"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4.000.000 </w:t>
            </w:r>
          </w:p>
        </w:tc>
      </w:tr>
      <w:tr w:rsidR="00536317" w:rsidRPr="006B5F69" w14:paraId="3EA7990C" w14:textId="77777777" w:rsidTr="00BA3EEF">
        <w:trPr>
          <w:trHeight w:val="234"/>
          <w:jc w:val="center"/>
        </w:trPr>
        <w:tc>
          <w:tcPr>
            <w:tcW w:w="4820" w:type="dxa"/>
            <w:tcBorders>
              <w:top w:val="nil"/>
              <w:left w:val="nil"/>
              <w:bottom w:val="nil"/>
              <w:right w:val="nil"/>
            </w:tcBorders>
            <w:shd w:val="clear" w:color="auto" w:fill="auto"/>
            <w:noWrap/>
            <w:vAlign w:val="center"/>
            <w:hideMark/>
          </w:tcPr>
          <w:p w14:paraId="2D2D9C75"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Lucros acumulados</w:t>
            </w:r>
          </w:p>
        </w:tc>
        <w:tc>
          <w:tcPr>
            <w:tcW w:w="211" w:type="dxa"/>
            <w:tcBorders>
              <w:top w:val="nil"/>
              <w:left w:val="nil"/>
              <w:bottom w:val="nil"/>
              <w:right w:val="nil"/>
            </w:tcBorders>
            <w:shd w:val="clear" w:color="auto" w:fill="auto"/>
            <w:noWrap/>
            <w:vAlign w:val="bottom"/>
            <w:hideMark/>
          </w:tcPr>
          <w:p w14:paraId="49D7FBE9"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771" w:type="dxa"/>
            <w:tcBorders>
              <w:top w:val="nil"/>
              <w:left w:val="nil"/>
              <w:bottom w:val="nil"/>
              <w:right w:val="nil"/>
            </w:tcBorders>
            <w:shd w:val="clear" w:color="auto" w:fill="auto"/>
            <w:noWrap/>
            <w:vAlign w:val="center"/>
            <w:hideMark/>
          </w:tcPr>
          <w:p w14:paraId="7DE7F774" w14:textId="77777777" w:rsidR="00536317" w:rsidRPr="006B5F69" w:rsidRDefault="00536317" w:rsidP="00536317">
            <w:pPr>
              <w:spacing w:after="0" w:line="240" w:lineRule="auto"/>
              <w:rPr>
                <w:rFonts w:ascii="Verdana" w:eastAsia="Times New Roman" w:hAnsi="Verdana" w:cs="Calibri"/>
                <w:sz w:val="18"/>
                <w:szCs w:val="20"/>
                <w:lang w:eastAsia="pt-BR"/>
              </w:rPr>
            </w:pPr>
          </w:p>
        </w:tc>
        <w:tc>
          <w:tcPr>
            <w:tcW w:w="211" w:type="dxa"/>
            <w:tcBorders>
              <w:top w:val="nil"/>
              <w:left w:val="nil"/>
              <w:bottom w:val="nil"/>
              <w:right w:val="nil"/>
            </w:tcBorders>
            <w:shd w:val="clear" w:color="auto" w:fill="auto"/>
            <w:noWrap/>
            <w:vAlign w:val="center"/>
            <w:hideMark/>
          </w:tcPr>
          <w:p w14:paraId="470D06DD" w14:textId="77777777" w:rsidR="00536317" w:rsidRPr="006B5F69" w:rsidRDefault="00536317" w:rsidP="00536317">
            <w:pPr>
              <w:spacing w:after="0" w:line="240" w:lineRule="auto"/>
              <w:jc w:val="center"/>
              <w:rPr>
                <w:rFonts w:ascii="Times New Roman" w:eastAsia="Times New Roman" w:hAnsi="Times New Roman" w:cs="Times New Roman"/>
                <w:sz w:val="18"/>
                <w:szCs w:val="20"/>
                <w:lang w:eastAsia="pt-BR"/>
              </w:rPr>
            </w:pPr>
          </w:p>
        </w:tc>
        <w:tc>
          <w:tcPr>
            <w:tcW w:w="2018" w:type="dxa"/>
            <w:tcBorders>
              <w:top w:val="nil"/>
              <w:left w:val="nil"/>
              <w:bottom w:val="nil"/>
              <w:right w:val="nil"/>
            </w:tcBorders>
            <w:shd w:val="clear" w:color="auto" w:fill="auto"/>
            <w:noWrap/>
            <w:vAlign w:val="center"/>
            <w:hideMark/>
          </w:tcPr>
          <w:p w14:paraId="59CD3183" w14:textId="77777777"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72.578 </w:t>
            </w:r>
          </w:p>
        </w:tc>
        <w:tc>
          <w:tcPr>
            <w:tcW w:w="211" w:type="dxa"/>
            <w:tcBorders>
              <w:top w:val="nil"/>
              <w:left w:val="nil"/>
              <w:bottom w:val="nil"/>
              <w:right w:val="nil"/>
            </w:tcBorders>
            <w:shd w:val="clear" w:color="auto" w:fill="auto"/>
            <w:noWrap/>
            <w:vAlign w:val="bottom"/>
            <w:hideMark/>
          </w:tcPr>
          <w:p w14:paraId="2FF157A4"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1831" w:type="dxa"/>
            <w:tcBorders>
              <w:top w:val="nil"/>
              <w:left w:val="nil"/>
              <w:bottom w:val="nil"/>
              <w:right w:val="nil"/>
            </w:tcBorders>
            <w:shd w:val="clear" w:color="auto" w:fill="auto"/>
            <w:noWrap/>
            <w:vAlign w:val="center"/>
            <w:hideMark/>
          </w:tcPr>
          <w:p w14:paraId="58BBFB61" w14:textId="77777777"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72.578 </w:t>
            </w:r>
          </w:p>
        </w:tc>
      </w:tr>
      <w:tr w:rsidR="00536317" w:rsidRPr="006B5F69" w14:paraId="05D2FAA3" w14:textId="77777777" w:rsidTr="00BA3EEF">
        <w:trPr>
          <w:trHeight w:val="234"/>
          <w:jc w:val="center"/>
        </w:trPr>
        <w:tc>
          <w:tcPr>
            <w:tcW w:w="4820" w:type="dxa"/>
            <w:tcBorders>
              <w:top w:val="nil"/>
              <w:left w:val="nil"/>
              <w:bottom w:val="nil"/>
              <w:right w:val="nil"/>
            </w:tcBorders>
            <w:shd w:val="clear" w:color="auto" w:fill="auto"/>
            <w:noWrap/>
            <w:vAlign w:val="center"/>
            <w:hideMark/>
          </w:tcPr>
          <w:p w14:paraId="3EA72EE9" w14:textId="65209AAA"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w:t>
            </w:r>
            <w:r w:rsidR="00F87197">
              <w:rPr>
                <w:rFonts w:ascii="Verdana" w:eastAsia="Times New Roman" w:hAnsi="Verdana" w:cs="Calibri"/>
                <w:sz w:val="18"/>
                <w:szCs w:val="20"/>
                <w:lang w:eastAsia="pt-BR"/>
              </w:rPr>
              <w:t>Ajuste de avaliação patrimonial</w:t>
            </w:r>
          </w:p>
        </w:tc>
        <w:tc>
          <w:tcPr>
            <w:tcW w:w="211" w:type="dxa"/>
            <w:tcBorders>
              <w:top w:val="nil"/>
              <w:left w:val="nil"/>
              <w:bottom w:val="nil"/>
              <w:right w:val="nil"/>
            </w:tcBorders>
            <w:shd w:val="clear" w:color="auto" w:fill="auto"/>
            <w:noWrap/>
            <w:vAlign w:val="bottom"/>
            <w:hideMark/>
          </w:tcPr>
          <w:p w14:paraId="2EBF7A69"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771" w:type="dxa"/>
            <w:tcBorders>
              <w:top w:val="nil"/>
              <w:left w:val="nil"/>
              <w:bottom w:val="nil"/>
              <w:right w:val="nil"/>
            </w:tcBorders>
            <w:shd w:val="clear" w:color="auto" w:fill="auto"/>
            <w:noWrap/>
            <w:vAlign w:val="center"/>
            <w:hideMark/>
          </w:tcPr>
          <w:p w14:paraId="02C7D8DA" w14:textId="77777777" w:rsidR="00536317" w:rsidRPr="006B5F69" w:rsidRDefault="00536317" w:rsidP="00536317">
            <w:pPr>
              <w:spacing w:after="0" w:line="240" w:lineRule="auto"/>
              <w:rPr>
                <w:rFonts w:ascii="Verdana" w:eastAsia="Times New Roman" w:hAnsi="Verdana" w:cs="Calibri"/>
                <w:b/>
                <w:bCs/>
                <w:sz w:val="18"/>
                <w:szCs w:val="20"/>
                <w:lang w:eastAsia="pt-BR"/>
              </w:rPr>
            </w:pPr>
          </w:p>
        </w:tc>
        <w:tc>
          <w:tcPr>
            <w:tcW w:w="211" w:type="dxa"/>
            <w:tcBorders>
              <w:top w:val="nil"/>
              <w:left w:val="nil"/>
              <w:bottom w:val="nil"/>
              <w:right w:val="nil"/>
            </w:tcBorders>
            <w:shd w:val="clear" w:color="auto" w:fill="auto"/>
            <w:noWrap/>
            <w:vAlign w:val="center"/>
            <w:hideMark/>
          </w:tcPr>
          <w:p w14:paraId="47D6DA58" w14:textId="77777777" w:rsidR="00536317" w:rsidRPr="006B5F69" w:rsidRDefault="00536317" w:rsidP="00536317">
            <w:pPr>
              <w:spacing w:after="0" w:line="240" w:lineRule="auto"/>
              <w:jc w:val="center"/>
              <w:rPr>
                <w:rFonts w:ascii="Times New Roman" w:eastAsia="Times New Roman" w:hAnsi="Times New Roman" w:cs="Times New Roman"/>
                <w:sz w:val="18"/>
                <w:szCs w:val="20"/>
                <w:lang w:eastAsia="pt-BR"/>
              </w:rPr>
            </w:pPr>
          </w:p>
        </w:tc>
        <w:tc>
          <w:tcPr>
            <w:tcW w:w="2018" w:type="dxa"/>
            <w:tcBorders>
              <w:top w:val="nil"/>
              <w:left w:val="nil"/>
              <w:bottom w:val="nil"/>
              <w:right w:val="nil"/>
            </w:tcBorders>
            <w:shd w:val="clear" w:color="auto" w:fill="auto"/>
            <w:noWrap/>
            <w:vAlign w:val="center"/>
            <w:hideMark/>
          </w:tcPr>
          <w:p w14:paraId="18832FD3" w14:textId="77777777"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w:t>
            </w:r>
            <w:r w:rsidRPr="003072B4">
              <w:rPr>
                <w:rFonts w:ascii="Verdana" w:eastAsia="Times New Roman" w:hAnsi="Verdana" w:cs="Calibri"/>
                <w:sz w:val="18"/>
                <w:szCs w:val="20"/>
                <w:lang w:eastAsia="pt-BR"/>
              </w:rPr>
              <w:t>6.305</w:t>
            </w:r>
            <w:r w:rsidRPr="006B5F69">
              <w:rPr>
                <w:rFonts w:ascii="Verdana" w:eastAsia="Times New Roman" w:hAnsi="Verdana" w:cs="Calibri"/>
                <w:sz w:val="18"/>
                <w:szCs w:val="20"/>
                <w:lang w:eastAsia="pt-BR"/>
              </w:rPr>
              <w:t xml:space="preserve"> </w:t>
            </w:r>
          </w:p>
        </w:tc>
        <w:tc>
          <w:tcPr>
            <w:tcW w:w="211" w:type="dxa"/>
            <w:tcBorders>
              <w:top w:val="nil"/>
              <w:left w:val="nil"/>
              <w:bottom w:val="nil"/>
              <w:right w:val="nil"/>
            </w:tcBorders>
            <w:shd w:val="clear" w:color="auto" w:fill="auto"/>
            <w:noWrap/>
            <w:vAlign w:val="bottom"/>
            <w:hideMark/>
          </w:tcPr>
          <w:p w14:paraId="7BCE7190"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1831" w:type="dxa"/>
            <w:tcBorders>
              <w:top w:val="nil"/>
              <w:left w:val="nil"/>
              <w:bottom w:val="nil"/>
              <w:right w:val="nil"/>
            </w:tcBorders>
            <w:shd w:val="clear" w:color="auto" w:fill="auto"/>
            <w:noWrap/>
            <w:vAlign w:val="center"/>
            <w:hideMark/>
          </w:tcPr>
          <w:p w14:paraId="39E79F31" w14:textId="77777777"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6.305 </w:t>
            </w:r>
          </w:p>
        </w:tc>
      </w:tr>
      <w:tr w:rsidR="00536317" w:rsidRPr="006B5F69" w14:paraId="1C2CCF65" w14:textId="77777777" w:rsidTr="00BA3EEF">
        <w:trPr>
          <w:trHeight w:val="234"/>
          <w:jc w:val="center"/>
        </w:trPr>
        <w:tc>
          <w:tcPr>
            <w:tcW w:w="4820" w:type="dxa"/>
            <w:tcBorders>
              <w:top w:val="nil"/>
              <w:left w:val="nil"/>
              <w:bottom w:val="nil"/>
              <w:right w:val="nil"/>
            </w:tcBorders>
            <w:shd w:val="clear" w:color="auto" w:fill="auto"/>
            <w:noWrap/>
            <w:vAlign w:val="center"/>
            <w:hideMark/>
          </w:tcPr>
          <w:p w14:paraId="09E5FEE8" w14:textId="77777777" w:rsidR="00536317" w:rsidRPr="006B5F69" w:rsidRDefault="00536317" w:rsidP="00536317">
            <w:pPr>
              <w:spacing w:after="0" w:line="240" w:lineRule="auto"/>
              <w:rPr>
                <w:rFonts w:ascii="Verdana" w:eastAsia="Times New Roman" w:hAnsi="Verdana" w:cs="Calibri"/>
                <w:sz w:val="18"/>
                <w:szCs w:val="20"/>
                <w:lang w:eastAsia="pt-BR"/>
              </w:rPr>
            </w:pPr>
          </w:p>
        </w:tc>
        <w:tc>
          <w:tcPr>
            <w:tcW w:w="211" w:type="dxa"/>
            <w:tcBorders>
              <w:top w:val="nil"/>
              <w:left w:val="nil"/>
              <w:bottom w:val="nil"/>
              <w:right w:val="nil"/>
            </w:tcBorders>
            <w:shd w:val="clear" w:color="auto" w:fill="auto"/>
            <w:noWrap/>
            <w:vAlign w:val="bottom"/>
            <w:hideMark/>
          </w:tcPr>
          <w:p w14:paraId="5770CCE4"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771" w:type="dxa"/>
            <w:tcBorders>
              <w:top w:val="nil"/>
              <w:left w:val="nil"/>
              <w:bottom w:val="nil"/>
              <w:right w:val="nil"/>
            </w:tcBorders>
            <w:shd w:val="clear" w:color="auto" w:fill="auto"/>
            <w:noWrap/>
            <w:vAlign w:val="center"/>
            <w:hideMark/>
          </w:tcPr>
          <w:p w14:paraId="1D713307" w14:textId="77777777" w:rsidR="00536317" w:rsidRPr="006B5F69" w:rsidRDefault="00536317" w:rsidP="00536317">
            <w:pPr>
              <w:spacing w:after="0" w:line="240" w:lineRule="auto"/>
              <w:rPr>
                <w:rFonts w:ascii="Verdana" w:eastAsia="Times New Roman" w:hAnsi="Verdana" w:cs="Calibri"/>
                <w:sz w:val="18"/>
                <w:szCs w:val="20"/>
                <w:lang w:eastAsia="pt-BR"/>
              </w:rPr>
            </w:pPr>
          </w:p>
        </w:tc>
        <w:tc>
          <w:tcPr>
            <w:tcW w:w="211" w:type="dxa"/>
            <w:tcBorders>
              <w:top w:val="nil"/>
              <w:left w:val="nil"/>
              <w:bottom w:val="nil"/>
              <w:right w:val="nil"/>
            </w:tcBorders>
            <w:shd w:val="clear" w:color="auto" w:fill="auto"/>
            <w:noWrap/>
            <w:vAlign w:val="center"/>
            <w:hideMark/>
          </w:tcPr>
          <w:p w14:paraId="1ABF521C" w14:textId="77777777" w:rsidR="00536317" w:rsidRPr="006B5F69" w:rsidRDefault="00536317" w:rsidP="00536317">
            <w:pPr>
              <w:spacing w:after="0" w:line="240" w:lineRule="auto"/>
              <w:rPr>
                <w:rFonts w:ascii="Times New Roman" w:eastAsia="Times New Roman" w:hAnsi="Times New Roman" w:cs="Times New Roman"/>
                <w:sz w:val="18"/>
                <w:szCs w:val="20"/>
                <w:lang w:eastAsia="pt-BR"/>
              </w:rPr>
            </w:pPr>
          </w:p>
        </w:tc>
        <w:tc>
          <w:tcPr>
            <w:tcW w:w="2018" w:type="dxa"/>
            <w:tcBorders>
              <w:top w:val="single" w:sz="4" w:space="0" w:color="auto"/>
              <w:left w:val="nil"/>
              <w:bottom w:val="nil"/>
              <w:right w:val="nil"/>
            </w:tcBorders>
            <w:shd w:val="clear" w:color="auto" w:fill="auto"/>
            <w:noWrap/>
            <w:vAlign w:val="center"/>
            <w:hideMark/>
          </w:tcPr>
          <w:p w14:paraId="38BDC959" w14:textId="77777777" w:rsidR="00536317" w:rsidRPr="006B5F69" w:rsidRDefault="00536317" w:rsidP="00F7132F">
            <w:pPr>
              <w:spacing w:after="0" w:line="240" w:lineRule="auto"/>
              <w:jc w:val="right"/>
              <w:rPr>
                <w:rFonts w:ascii="Verdana" w:eastAsia="Times New Roman" w:hAnsi="Verdana" w:cs="Calibri"/>
                <w:b/>
                <w:sz w:val="18"/>
                <w:szCs w:val="20"/>
                <w:lang w:eastAsia="pt-BR"/>
              </w:rPr>
            </w:pPr>
            <w:r w:rsidRPr="006B5F69">
              <w:rPr>
                <w:rFonts w:ascii="Verdana" w:eastAsia="Times New Roman" w:hAnsi="Verdana" w:cs="Calibri"/>
                <w:b/>
                <w:sz w:val="18"/>
                <w:szCs w:val="20"/>
                <w:lang w:eastAsia="pt-BR"/>
              </w:rPr>
              <w:t xml:space="preserve">         4.078.883 </w:t>
            </w:r>
          </w:p>
        </w:tc>
        <w:tc>
          <w:tcPr>
            <w:tcW w:w="211" w:type="dxa"/>
            <w:tcBorders>
              <w:top w:val="nil"/>
              <w:left w:val="nil"/>
              <w:bottom w:val="nil"/>
              <w:right w:val="nil"/>
            </w:tcBorders>
            <w:shd w:val="clear" w:color="auto" w:fill="auto"/>
            <w:noWrap/>
            <w:vAlign w:val="bottom"/>
            <w:hideMark/>
          </w:tcPr>
          <w:p w14:paraId="63E2389E" w14:textId="77777777" w:rsidR="00536317" w:rsidRPr="006B5F69" w:rsidRDefault="00536317" w:rsidP="00536317">
            <w:pPr>
              <w:spacing w:after="0" w:line="240" w:lineRule="auto"/>
              <w:rPr>
                <w:rFonts w:ascii="Verdana" w:eastAsia="Times New Roman" w:hAnsi="Verdana" w:cs="Calibri"/>
                <w:b/>
                <w:sz w:val="18"/>
                <w:szCs w:val="20"/>
                <w:lang w:eastAsia="pt-BR"/>
              </w:rPr>
            </w:pPr>
            <w:r w:rsidRPr="006B5F69">
              <w:rPr>
                <w:rFonts w:ascii="Verdana" w:eastAsia="Times New Roman" w:hAnsi="Verdana" w:cs="Calibri"/>
                <w:b/>
                <w:sz w:val="18"/>
                <w:szCs w:val="20"/>
                <w:lang w:eastAsia="pt-BR"/>
              </w:rPr>
              <w:t> </w:t>
            </w:r>
          </w:p>
        </w:tc>
        <w:tc>
          <w:tcPr>
            <w:tcW w:w="1831" w:type="dxa"/>
            <w:tcBorders>
              <w:top w:val="single" w:sz="4" w:space="0" w:color="auto"/>
              <w:left w:val="nil"/>
              <w:bottom w:val="nil"/>
              <w:right w:val="nil"/>
            </w:tcBorders>
            <w:shd w:val="clear" w:color="auto" w:fill="auto"/>
            <w:noWrap/>
            <w:vAlign w:val="center"/>
            <w:hideMark/>
          </w:tcPr>
          <w:p w14:paraId="78A2E4B4" w14:textId="77777777" w:rsidR="00536317" w:rsidRPr="006B5F69" w:rsidRDefault="005579BC" w:rsidP="00F7132F">
            <w:pPr>
              <w:spacing w:after="0" w:line="240" w:lineRule="auto"/>
              <w:jc w:val="right"/>
              <w:rPr>
                <w:rFonts w:ascii="Verdana" w:eastAsia="Times New Roman" w:hAnsi="Verdana" w:cs="Calibri"/>
                <w:b/>
                <w:sz w:val="18"/>
                <w:szCs w:val="20"/>
                <w:lang w:eastAsia="pt-BR"/>
              </w:rPr>
            </w:pPr>
            <w:r w:rsidRPr="006B5F69">
              <w:rPr>
                <w:rFonts w:ascii="Verdana" w:eastAsia="Times New Roman" w:hAnsi="Verdana" w:cs="Calibri"/>
                <w:b/>
                <w:sz w:val="18"/>
                <w:szCs w:val="20"/>
                <w:lang w:eastAsia="pt-BR"/>
              </w:rPr>
              <w:t xml:space="preserve">        </w:t>
            </w:r>
            <w:r w:rsidR="00536317" w:rsidRPr="006B5F69">
              <w:rPr>
                <w:rFonts w:ascii="Verdana" w:eastAsia="Times New Roman" w:hAnsi="Verdana" w:cs="Calibri"/>
                <w:b/>
                <w:sz w:val="18"/>
                <w:szCs w:val="20"/>
                <w:lang w:eastAsia="pt-BR"/>
              </w:rPr>
              <w:t xml:space="preserve">4.078.883 </w:t>
            </w:r>
          </w:p>
        </w:tc>
      </w:tr>
      <w:tr w:rsidR="00536317" w:rsidRPr="006B5F69" w14:paraId="7A1A0EE6" w14:textId="77777777" w:rsidTr="00BA3EEF">
        <w:trPr>
          <w:trHeight w:val="234"/>
          <w:jc w:val="center"/>
        </w:trPr>
        <w:tc>
          <w:tcPr>
            <w:tcW w:w="4820" w:type="dxa"/>
            <w:tcBorders>
              <w:top w:val="nil"/>
              <w:left w:val="nil"/>
              <w:bottom w:val="nil"/>
              <w:right w:val="nil"/>
            </w:tcBorders>
            <w:shd w:val="clear" w:color="auto" w:fill="auto"/>
            <w:noWrap/>
            <w:vAlign w:val="center"/>
            <w:hideMark/>
          </w:tcPr>
          <w:p w14:paraId="7E1D0EDC" w14:textId="77777777" w:rsidR="00536317" w:rsidRPr="006B5F69" w:rsidRDefault="00536317" w:rsidP="00536317">
            <w:pPr>
              <w:spacing w:after="0" w:line="240" w:lineRule="auto"/>
              <w:rPr>
                <w:rFonts w:ascii="Verdana" w:eastAsia="Times New Roman" w:hAnsi="Verdana" w:cs="Calibri"/>
                <w:sz w:val="18"/>
                <w:szCs w:val="20"/>
                <w:lang w:eastAsia="pt-BR"/>
              </w:rPr>
            </w:pPr>
          </w:p>
        </w:tc>
        <w:tc>
          <w:tcPr>
            <w:tcW w:w="211" w:type="dxa"/>
            <w:tcBorders>
              <w:top w:val="nil"/>
              <w:left w:val="nil"/>
              <w:bottom w:val="nil"/>
              <w:right w:val="nil"/>
            </w:tcBorders>
            <w:shd w:val="clear" w:color="auto" w:fill="auto"/>
            <w:noWrap/>
            <w:vAlign w:val="bottom"/>
            <w:hideMark/>
          </w:tcPr>
          <w:p w14:paraId="3BCFFE77"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771" w:type="dxa"/>
            <w:tcBorders>
              <w:top w:val="nil"/>
              <w:left w:val="nil"/>
              <w:bottom w:val="nil"/>
              <w:right w:val="nil"/>
            </w:tcBorders>
            <w:shd w:val="clear" w:color="auto" w:fill="auto"/>
            <w:noWrap/>
            <w:vAlign w:val="center"/>
            <w:hideMark/>
          </w:tcPr>
          <w:p w14:paraId="3561EE7A" w14:textId="77777777" w:rsidR="00536317" w:rsidRPr="006B5F69" w:rsidRDefault="00536317" w:rsidP="00536317">
            <w:pPr>
              <w:spacing w:after="0" w:line="240" w:lineRule="auto"/>
              <w:rPr>
                <w:rFonts w:ascii="Verdana" w:eastAsia="Times New Roman" w:hAnsi="Verdana" w:cs="Calibri"/>
                <w:b/>
                <w:bCs/>
                <w:sz w:val="18"/>
                <w:szCs w:val="20"/>
                <w:lang w:eastAsia="pt-BR"/>
              </w:rPr>
            </w:pPr>
          </w:p>
        </w:tc>
        <w:tc>
          <w:tcPr>
            <w:tcW w:w="211" w:type="dxa"/>
            <w:tcBorders>
              <w:top w:val="nil"/>
              <w:left w:val="nil"/>
              <w:bottom w:val="nil"/>
              <w:right w:val="nil"/>
            </w:tcBorders>
            <w:shd w:val="clear" w:color="auto" w:fill="auto"/>
            <w:noWrap/>
            <w:vAlign w:val="center"/>
            <w:hideMark/>
          </w:tcPr>
          <w:p w14:paraId="09069098" w14:textId="77777777" w:rsidR="00536317" w:rsidRPr="006B5F69" w:rsidRDefault="00536317" w:rsidP="00536317">
            <w:pPr>
              <w:spacing w:after="0" w:line="240" w:lineRule="auto"/>
              <w:jc w:val="center"/>
              <w:rPr>
                <w:rFonts w:ascii="Times New Roman" w:eastAsia="Times New Roman" w:hAnsi="Times New Roman" w:cs="Times New Roman"/>
                <w:sz w:val="18"/>
                <w:szCs w:val="20"/>
                <w:lang w:eastAsia="pt-BR"/>
              </w:rPr>
            </w:pPr>
          </w:p>
        </w:tc>
        <w:tc>
          <w:tcPr>
            <w:tcW w:w="2018" w:type="dxa"/>
            <w:tcBorders>
              <w:top w:val="nil"/>
              <w:left w:val="nil"/>
              <w:bottom w:val="nil"/>
              <w:right w:val="nil"/>
            </w:tcBorders>
            <w:shd w:val="clear" w:color="auto" w:fill="auto"/>
            <w:noWrap/>
            <w:vAlign w:val="center"/>
            <w:hideMark/>
          </w:tcPr>
          <w:p w14:paraId="5BE5DBA0" w14:textId="77777777" w:rsidR="00536317" w:rsidRPr="006B5F69" w:rsidRDefault="00536317" w:rsidP="00F7132F">
            <w:pPr>
              <w:spacing w:after="0" w:line="240" w:lineRule="auto"/>
              <w:jc w:val="right"/>
              <w:rPr>
                <w:rFonts w:ascii="Times New Roman" w:eastAsia="Times New Roman" w:hAnsi="Times New Roman" w:cs="Times New Roman"/>
                <w:sz w:val="18"/>
                <w:szCs w:val="20"/>
                <w:lang w:eastAsia="pt-BR"/>
              </w:rPr>
            </w:pPr>
          </w:p>
        </w:tc>
        <w:tc>
          <w:tcPr>
            <w:tcW w:w="211" w:type="dxa"/>
            <w:tcBorders>
              <w:top w:val="nil"/>
              <w:left w:val="nil"/>
              <w:bottom w:val="nil"/>
              <w:right w:val="nil"/>
            </w:tcBorders>
            <w:shd w:val="clear" w:color="auto" w:fill="auto"/>
            <w:noWrap/>
            <w:vAlign w:val="bottom"/>
            <w:hideMark/>
          </w:tcPr>
          <w:p w14:paraId="1C27831C"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1831" w:type="dxa"/>
            <w:tcBorders>
              <w:top w:val="nil"/>
              <w:left w:val="nil"/>
              <w:bottom w:val="nil"/>
              <w:right w:val="nil"/>
            </w:tcBorders>
            <w:shd w:val="clear" w:color="auto" w:fill="auto"/>
            <w:noWrap/>
            <w:vAlign w:val="center"/>
            <w:hideMark/>
          </w:tcPr>
          <w:p w14:paraId="32DD97EC" w14:textId="77777777" w:rsidR="00536317" w:rsidRPr="006B5F69" w:rsidRDefault="00536317" w:rsidP="00F7132F">
            <w:pPr>
              <w:spacing w:after="0" w:line="240" w:lineRule="auto"/>
              <w:jc w:val="right"/>
              <w:rPr>
                <w:rFonts w:ascii="Verdana" w:eastAsia="Times New Roman" w:hAnsi="Verdana" w:cs="Calibri"/>
                <w:b/>
                <w:bCs/>
                <w:sz w:val="18"/>
                <w:szCs w:val="20"/>
                <w:lang w:eastAsia="pt-BR"/>
              </w:rPr>
            </w:pPr>
          </w:p>
        </w:tc>
      </w:tr>
      <w:tr w:rsidR="00536317" w:rsidRPr="006B5F69" w14:paraId="27C69CE2" w14:textId="77777777" w:rsidTr="00BA3EEF">
        <w:trPr>
          <w:trHeight w:val="234"/>
          <w:jc w:val="center"/>
        </w:trPr>
        <w:tc>
          <w:tcPr>
            <w:tcW w:w="6013" w:type="dxa"/>
            <w:gridSpan w:val="4"/>
            <w:tcBorders>
              <w:top w:val="nil"/>
              <w:left w:val="nil"/>
              <w:bottom w:val="nil"/>
              <w:right w:val="nil"/>
            </w:tcBorders>
            <w:shd w:val="clear" w:color="auto" w:fill="auto"/>
            <w:noWrap/>
            <w:vAlign w:val="center"/>
            <w:hideMark/>
          </w:tcPr>
          <w:p w14:paraId="54BA8969" w14:textId="77777777" w:rsidR="00536317" w:rsidRPr="006B5F69" w:rsidRDefault="00536317" w:rsidP="00F7132F">
            <w:pPr>
              <w:spacing w:after="0" w:line="240" w:lineRule="auto"/>
              <w:rPr>
                <w:rFonts w:ascii="Verdana" w:eastAsia="Times New Roman" w:hAnsi="Verdana" w:cs="Calibri"/>
                <w:b/>
                <w:sz w:val="18"/>
                <w:szCs w:val="20"/>
                <w:lang w:eastAsia="pt-BR"/>
              </w:rPr>
            </w:pPr>
            <w:r w:rsidRPr="006B5F69">
              <w:rPr>
                <w:rFonts w:ascii="Verdana" w:eastAsia="Times New Roman" w:hAnsi="Verdana" w:cs="Calibri"/>
                <w:b/>
                <w:sz w:val="18"/>
                <w:szCs w:val="20"/>
                <w:lang w:eastAsia="pt-BR"/>
              </w:rPr>
              <w:t>Participação de acionistas não controladores </w:t>
            </w:r>
          </w:p>
        </w:tc>
        <w:tc>
          <w:tcPr>
            <w:tcW w:w="2018" w:type="dxa"/>
            <w:tcBorders>
              <w:top w:val="nil"/>
              <w:left w:val="nil"/>
              <w:bottom w:val="nil"/>
              <w:right w:val="nil"/>
            </w:tcBorders>
            <w:shd w:val="clear" w:color="auto" w:fill="auto"/>
            <w:noWrap/>
            <w:vAlign w:val="center"/>
            <w:hideMark/>
          </w:tcPr>
          <w:p w14:paraId="133664BA" w14:textId="77777777" w:rsidR="00536317" w:rsidRPr="006B5F69" w:rsidRDefault="00536317" w:rsidP="00F7132F">
            <w:pPr>
              <w:spacing w:after="0" w:line="240" w:lineRule="auto"/>
              <w:jc w:val="right"/>
              <w:rPr>
                <w:rFonts w:ascii="Verdana" w:eastAsia="Times New Roman" w:hAnsi="Verdana" w:cs="Calibri"/>
                <w:sz w:val="18"/>
                <w:szCs w:val="20"/>
                <w:lang w:eastAsia="pt-BR"/>
              </w:rPr>
            </w:pPr>
          </w:p>
        </w:tc>
        <w:tc>
          <w:tcPr>
            <w:tcW w:w="211" w:type="dxa"/>
            <w:tcBorders>
              <w:top w:val="nil"/>
              <w:left w:val="nil"/>
              <w:bottom w:val="nil"/>
              <w:right w:val="nil"/>
            </w:tcBorders>
            <w:shd w:val="clear" w:color="auto" w:fill="auto"/>
            <w:noWrap/>
            <w:vAlign w:val="center"/>
            <w:hideMark/>
          </w:tcPr>
          <w:p w14:paraId="28C2F668"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1831" w:type="dxa"/>
            <w:tcBorders>
              <w:top w:val="nil"/>
              <w:left w:val="nil"/>
              <w:bottom w:val="nil"/>
              <w:right w:val="nil"/>
            </w:tcBorders>
            <w:shd w:val="clear" w:color="auto" w:fill="auto"/>
            <w:noWrap/>
            <w:vAlign w:val="center"/>
            <w:hideMark/>
          </w:tcPr>
          <w:p w14:paraId="5A73CE85" w14:textId="77777777"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6.572.180 </w:t>
            </w:r>
          </w:p>
        </w:tc>
      </w:tr>
      <w:tr w:rsidR="00536317" w:rsidRPr="006B5F69" w14:paraId="3D22B905" w14:textId="77777777" w:rsidTr="00BA3EEF">
        <w:trPr>
          <w:trHeight w:val="234"/>
          <w:jc w:val="center"/>
        </w:trPr>
        <w:tc>
          <w:tcPr>
            <w:tcW w:w="4820" w:type="dxa"/>
            <w:tcBorders>
              <w:top w:val="nil"/>
              <w:left w:val="nil"/>
              <w:bottom w:val="nil"/>
              <w:right w:val="nil"/>
            </w:tcBorders>
            <w:shd w:val="clear" w:color="auto" w:fill="auto"/>
            <w:noWrap/>
            <w:vAlign w:val="center"/>
            <w:hideMark/>
          </w:tcPr>
          <w:p w14:paraId="097D5868" w14:textId="77777777" w:rsidR="00536317" w:rsidRPr="006B5F69" w:rsidRDefault="00536317" w:rsidP="00536317">
            <w:pPr>
              <w:spacing w:after="0" w:line="240" w:lineRule="auto"/>
              <w:rPr>
                <w:rFonts w:ascii="Verdana" w:eastAsia="Times New Roman" w:hAnsi="Verdana" w:cs="Calibri"/>
                <w:sz w:val="18"/>
                <w:szCs w:val="20"/>
                <w:lang w:eastAsia="pt-BR"/>
              </w:rPr>
            </w:pPr>
          </w:p>
        </w:tc>
        <w:tc>
          <w:tcPr>
            <w:tcW w:w="211" w:type="dxa"/>
            <w:tcBorders>
              <w:top w:val="nil"/>
              <w:left w:val="nil"/>
              <w:bottom w:val="nil"/>
              <w:right w:val="nil"/>
            </w:tcBorders>
            <w:shd w:val="clear" w:color="auto" w:fill="auto"/>
            <w:noWrap/>
            <w:vAlign w:val="bottom"/>
            <w:hideMark/>
          </w:tcPr>
          <w:p w14:paraId="28B53A24"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771" w:type="dxa"/>
            <w:tcBorders>
              <w:top w:val="nil"/>
              <w:left w:val="nil"/>
              <w:bottom w:val="nil"/>
              <w:right w:val="nil"/>
            </w:tcBorders>
            <w:shd w:val="clear" w:color="auto" w:fill="auto"/>
            <w:noWrap/>
            <w:vAlign w:val="center"/>
            <w:hideMark/>
          </w:tcPr>
          <w:p w14:paraId="4B843EEF" w14:textId="77777777" w:rsidR="00536317" w:rsidRPr="006B5F69" w:rsidRDefault="00536317" w:rsidP="00536317">
            <w:pPr>
              <w:spacing w:after="0" w:line="240" w:lineRule="auto"/>
              <w:rPr>
                <w:rFonts w:ascii="Verdana" w:eastAsia="Times New Roman" w:hAnsi="Verdana" w:cs="Calibri"/>
                <w:sz w:val="18"/>
                <w:szCs w:val="20"/>
                <w:lang w:eastAsia="pt-BR"/>
              </w:rPr>
            </w:pPr>
          </w:p>
        </w:tc>
        <w:tc>
          <w:tcPr>
            <w:tcW w:w="211" w:type="dxa"/>
            <w:tcBorders>
              <w:top w:val="nil"/>
              <w:left w:val="nil"/>
              <w:bottom w:val="nil"/>
              <w:right w:val="nil"/>
            </w:tcBorders>
            <w:shd w:val="clear" w:color="auto" w:fill="auto"/>
            <w:noWrap/>
            <w:vAlign w:val="center"/>
            <w:hideMark/>
          </w:tcPr>
          <w:p w14:paraId="2B6F3815" w14:textId="77777777" w:rsidR="00536317" w:rsidRPr="006B5F69" w:rsidRDefault="00536317" w:rsidP="00F7132F">
            <w:pPr>
              <w:spacing w:after="0" w:line="240" w:lineRule="auto"/>
              <w:rPr>
                <w:rFonts w:ascii="Verdana" w:eastAsia="Times New Roman" w:hAnsi="Verdana" w:cs="Calibri"/>
                <w:sz w:val="18"/>
                <w:szCs w:val="20"/>
                <w:lang w:eastAsia="pt-BR"/>
              </w:rPr>
            </w:pPr>
          </w:p>
        </w:tc>
        <w:tc>
          <w:tcPr>
            <w:tcW w:w="2018" w:type="dxa"/>
            <w:tcBorders>
              <w:top w:val="nil"/>
              <w:left w:val="nil"/>
              <w:bottom w:val="nil"/>
              <w:right w:val="nil"/>
            </w:tcBorders>
            <w:shd w:val="clear" w:color="auto" w:fill="auto"/>
            <w:noWrap/>
            <w:vAlign w:val="center"/>
            <w:hideMark/>
          </w:tcPr>
          <w:p w14:paraId="64C74EA0" w14:textId="77777777" w:rsidR="00536317" w:rsidRPr="006B5F69" w:rsidRDefault="00536317" w:rsidP="00F7132F">
            <w:pPr>
              <w:spacing w:after="0" w:line="240" w:lineRule="auto"/>
              <w:rPr>
                <w:rFonts w:ascii="Verdana" w:eastAsia="Times New Roman" w:hAnsi="Verdana" w:cs="Calibri"/>
                <w:sz w:val="18"/>
                <w:szCs w:val="20"/>
                <w:lang w:eastAsia="pt-BR"/>
              </w:rPr>
            </w:pPr>
          </w:p>
        </w:tc>
        <w:tc>
          <w:tcPr>
            <w:tcW w:w="211" w:type="dxa"/>
            <w:tcBorders>
              <w:top w:val="nil"/>
              <w:left w:val="nil"/>
              <w:bottom w:val="nil"/>
              <w:right w:val="nil"/>
            </w:tcBorders>
            <w:shd w:val="clear" w:color="auto" w:fill="auto"/>
            <w:noWrap/>
            <w:vAlign w:val="bottom"/>
            <w:hideMark/>
          </w:tcPr>
          <w:p w14:paraId="4D203787"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1831" w:type="dxa"/>
            <w:tcBorders>
              <w:top w:val="nil"/>
              <w:left w:val="nil"/>
              <w:bottom w:val="nil"/>
              <w:right w:val="nil"/>
            </w:tcBorders>
            <w:shd w:val="clear" w:color="auto" w:fill="auto"/>
            <w:noWrap/>
            <w:vAlign w:val="center"/>
            <w:hideMark/>
          </w:tcPr>
          <w:p w14:paraId="67FF02FE" w14:textId="77777777" w:rsidR="00536317" w:rsidRPr="006B5F69" w:rsidRDefault="00536317">
            <w:pPr>
              <w:spacing w:after="0" w:line="240" w:lineRule="auto"/>
              <w:rPr>
                <w:rFonts w:ascii="Verdana" w:eastAsia="Times New Roman" w:hAnsi="Verdana" w:cs="Calibri"/>
                <w:sz w:val="18"/>
                <w:szCs w:val="20"/>
                <w:lang w:eastAsia="pt-BR"/>
              </w:rPr>
            </w:pPr>
          </w:p>
        </w:tc>
      </w:tr>
      <w:tr w:rsidR="00536317" w:rsidRPr="006B5F69" w14:paraId="27E64E26" w14:textId="77777777" w:rsidTr="00BA3EEF">
        <w:trPr>
          <w:trHeight w:val="234"/>
          <w:jc w:val="center"/>
        </w:trPr>
        <w:tc>
          <w:tcPr>
            <w:tcW w:w="4820" w:type="dxa"/>
            <w:tcBorders>
              <w:top w:val="nil"/>
              <w:left w:val="nil"/>
              <w:bottom w:val="nil"/>
              <w:right w:val="nil"/>
            </w:tcBorders>
            <w:shd w:val="clear" w:color="auto" w:fill="auto"/>
            <w:noWrap/>
            <w:vAlign w:val="bottom"/>
            <w:hideMark/>
          </w:tcPr>
          <w:p w14:paraId="7820BA1F" w14:textId="77777777" w:rsidR="00536317" w:rsidRPr="006B5F69" w:rsidRDefault="00536317" w:rsidP="00536317">
            <w:pPr>
              <w:spacing w:after="0" w:line="240" w:lineRule="auto"/>
              <w:jc w:val="center"/>
              <w:rPr>
                <w:rFonts w:ascii="Times New Roman" w:eastAsia="Times New Roman" w:hAnsi="Times New Roman" w:cs="Times New Roman"/>
                <w:sz w:val="18"/>
                <w:szCs w:val="20"/>
                <w:lang w:eastAsia="pt-BR"/>
              </w:rPr>
            </w:pPr>
          </w:p>
        </w:tc>
        <w:tc>
          <w:tcPr>
            <w:tcW w:w="211" w:type="dxa"/>
            <w:tcBorders>
              <w:top w:val="nil"/>
              <w:left w:val="nil"/>
              <w:bottom w:val="nil"/>
              <w:right w:val="nil"/>
            </w:tcBorders>
            <w:shd w:val="clear" w:color="auto" w:fill="auto"/>
            <w:noWrap/>
            <w:vAlign w:val="bottom"/>
            <w:hideMark/>
          </w:tcPr>
          <w:p w14:paraId="1A913824"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771" w:type="dxa"/>
            <w:tcBorders>
              <w:top w:val="nil"/>
              <w:left w:val="nil"/>
              <w:bottom w:val="nil"/>
              <w:right w:val="nil"/>
            </w:tcBorders>
            <w:shd w:val="clear" w:color="auto" w:fill="auto"/>
            <w:noWrap/>
            <w:vAlign w:val="center"/>
            <w:hideMark/>
          </w:tcPr>
          <w:p w14:paraId="502380BD" w14:textId="77777777" w:rsidR="00536317" w:rsidRPr="006B5F69" w:rsidRDefault="00536317" w:rsidP="00536317">
            <w:pPr>
              <w:spacing w:after="0" w:line="240" w:lineRule="auto"/>
              <w:rPr>
                <w:rFonts w:ascii="Verdana" w:eastAsia="Times New Roman" w:hAnsi="Verdana" w:cs="Calibri"/>
                <w:sz w:val="18"/>
                <w:szCs w:val="20"/>
                <w:lang w:eastAsia="pt-BR"/>
              </w:rPr>
            </w:pPr>
          </w:p>
        </w:tc>
        <w:tc>
          <w:tcPr>
            <w:tcW w:w="211" w:type="dxa"/>
            <w:tcBorders>
              <w:top w:val="nil"/>
              <w:left w:val="nil"/>
              <w:bottom w:val="nil"/>
              <w:right w:val="nil"/>
            </w:tcBorders>
            <w:shd w:val="clear" w:color="auto" w:fill="auto"/>
            <w:noWrap/>
            <w:vAlign w:val="center"/>
            <w:hideMark/>
          </w:tcPr>
          <w:p w14:paraId="7D0EAD52" w14:textId="77777777" w:rsidR="00536317" w:rsidRPr="006B5F69" w:rsidRDefault="00536317" w:rsidP="00536317">
            <w:pPr>
              <w:spacing w:after="0" w:line="240" w:lineRule="auto"/>
              <w:jc w:val="center"/>
              <w:rPr>
                <w:rFonts w:ascii="Times New Roman" w:eastAsia="Times New Roman" w:hAnsi="Times New Roman" w:cs="Times New Roman"/>
                <w:sz w:val="18"/>
                <w:szCs w:val="20"/>
                <w:lang w:eastAsia="pt-BR"/>
              </w:rPr>
            </w:pPr>
          </w:p>
        </w:tc>
        <w:tc>
          <w:tcPr>
            <w:tcW w:w="2018" w:type="dxa"/>
            <w:tcBorders>
              <w:top w:val="nil"/>
              <w:left w:val="nil"/>
              <w:bottom w:val="nil"/>
              <w:right w:val="nil"/>
            </w:tcBorders>
            <w:shd w:val="clear" w:color="auto" w:fill="auto"/>
            <w:noWrap/>
            <w:vAlign w:val="center"/>
            <w:hideMark/>
          </w:tcPr>
          <w:p w14:paraId="371C1AC0" w14:textId="77777777" w:rsidR="00536317" w:rsidRPr="006B5F69" w:rsidRDefault="00536317" w:rsidP="00F7132F">
            <w:pPr>
              <w:spacing w:after="0" w:line="240" w:lineRule="auto"/>
              <w:jc w:val="right"/>
              <w:rPr>
                <w:rFonts w:ascii="Times New Roman" w:eastAsia="Times New Roman" w:hAnsi="Times New Roman" w:cs="Times New Roman"/>
                <w:sz w:val="18"/>
                <w:szCs w:val="20"/>
                <w:lang w:eastAsia="pt-BR"/>
              </w:rPr>
            </w:pPr>
          </w:p>
        </w:tc>
        <w:tc>
          <w:tcPr>
            <w:tcW w:w="211" w:type="dxa"/>
            <w:tcBorders>
              <w:top w:val="nil"/>
              <w:left w:val="nil"/>
              <w:bottom w:val="nil"/>
              <w:right w:val="nil"/>
            </w:tcBorders>
            <w:shd w:val="clear" w:color="auto" w:fill="auto"/>
            <w:noWrap/>
            <w:vAlign w:val="bottom"/>
            <w:hideMark/>
          </w:tcPr>
          <w:p w14:paraId="4C3B0A3F"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1831" w:type="dxa"/>
            <w:tcBorders>
              <w:top w:val="nil"/>
              <w:left w:val="nil"/>
              <w:bottom w:val="nil"/>
              <w:right w:val="nil"/>
            </w:tcBorders>
            <w:shd w:val="clear" w:color="auto" w:fill="auto"/>
            <w:noWrap/>
            <w:vAlign w:val="center"/>
            <w:hideMark/>
          </w:tcPr>
          <w:p w14:paraId="1004EC34" w14:textId="77777777" w:rsidR="00536317" w:rsidRPr="006B5F69" w:rsidRDefault="00536317" w:rsidP="00F7132F">
            <w:pPr>
              <w:spacing w:after="0" w:line="240" w:lineRule="auto"/>
              <w:jc w:val="right"/>
              <w:rPr>
                <w:rFonts w:ascii="Verdana" w:eastAsia="Times New Roman" w:hAnsi="Verdana" w:cs="Calibri"/>
                <w:sz w:val="18"/>
                <w:szCs w:val="20"/>
                <w:lang w:eastAsia="pt-BR"/>
              </w:rPr>
            </w:pPr>
          </w:p>
        </w:tc>
      </w:tr>
      <w:tr w:rsidR="00536317" w:rsidRPr="006B5F69" w14:paraId="13B60555" w14:textId="77777777" w:rsidTr="00BA3EEF">
        <w:trPr>
          <w:trHeight w:val="234"/>
          <w:jc w:val="center"/>
        </w:trPr>
        <w:tc>
          <w:tcPr>
            <w:tcW w:w="6013" w:type="dxa"/>
            <w:gridSpan w:val="4"/>
            <w:tcBorders>
              <w:top w:val="nil"/>
              <w:left w:val="nil"/>
              <w:bottom w:val="nil"/>
              <w:right w:val="nil"/>
            </w:tcBorders>
            <w:shd w:val="clear" w:color="auto" w:fill="auto"/>
            <w:noWrap/>
            <w:vAlign w:val="center"/>
            <w:hideMark/>
          </w:tcPr>
          <w:p w14:paraId="4950D7AE" w14:textId="77777777" w:rsidR="00536317" w:rsidRPr="006B5F69" w:rsidRDefault="00536317" w:rsidP="00F7132F">
            <w:pPr>
              <w:spacing w:after="0" w:line="240" w:lineRule="auto"/>
              <w:rPr>
                <w:rFonts w:ascii="Times New Roman" w:eastAsia="Times New Roman" w:hAnsi="Times New Roman" w:cs="Times New Roman"/>
                <w:sz w:val="18"/>
                <w:szCs w:val="20"/>
                <w:lang w:eastAsia="pt-BR"/>
              </w:rPr>
            </w:pPr>
            <w:r w:rsidRPr="006B5F69">
              <w:rPr>
                <w:rFonts w:ascii="Verdana" w:eastAsia="Times New Roman" w:hAnsi="Verdana" w:cs="Calibri"/>
                <w:b/>
                <w:bCs/>
                <w:sz w:val="18"/>
                <w:szCs w:val="20"/>
                <w:lang w:eastAsia="pt-BR"/>
              </w:rPr>
              <w:t>TOTAL DO PASSIVO E DO PATRIMÔNIO LÍQUIDO </w:t>
            </w:r>
          </w:p>
        </w:tc>
        <w:tc>
          <w:tcPr>
            <w:tcW w:w="2018" w:type="dxa"/>
            <w:tcBorders>
              <w:top w:val="single" w:sz="4" w:space="0" w:color="auto"/>
              <w:left w:val="nil"/>
              <w:bottom w:val="double" w:sz="6" w:space="0" w:color="auto"/>
              <w:right w:val="nil"/>
            </w:tcBorders>
            <w:shd w:val="clear" w:color="auto" w:fill="auto"/>
            <w:noWrap/>
            <w:vAlign w:val="center"/>
            <w:hideMark/>
          </w:tcPr>
          <w:p w14:paraId="3D6EF9D0" w14:textId="77777777" w:rsidR="00536317" w:rsidRPr="006B5F69" w:rsidRDefault="00536317" w:rsidP="00F7132F">
            <w:pPr>
              <w:spacing w:after="0" w:line="240" w:lineRule="auto"/>
              <w:jc w:val="right"/>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xml:space="preserve">          7.886.452 </w:t>
            </w:r>
          </w:p>
        </w:tc>
        <w:tc>
          <w:tcPr>
            <w:tcW w:w="211" w:type="dxa"/>
            <w:tcBorders>
              <w:top w:val="nil"/>
              <w:left w:val="nil"/>
              <w:bottom w:val="nil"/>
              <w:right w:val="nil"/>
            </w:tcBorders>
            <w:shd w:val="clear" w:color="auto" w:fill="auto"/>
            <w:noWrap/>
            <w:vAlign w:val="center"/>
            <w:hideMark/>
          </w:tcPr>
          <w:p w14:paraId="657284F7"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1831" w:type="dxa"/>
            <w:tcBorders>
              <w:top w:val="single" w:sz="4" w:space="0" w:color="auto"/>
              <w:left w:val="nil"/>
              <w:bottom w:val="double" w:sz="6" w:space="0" w:color="auto"/>
              <w:right w:val="nil"/>
            </w:tcBorders>
            <w:shd w:val="clear" w:color="auto" w:fill="auto"/>
            <w:noWrap/>
            <w:vAlign w:val="center"/>
            <w:hideMark/>
          </w:tcPr>
          <w:p w14:paraId="7563E0DA" w14:textId="77777777" w:rsidR="00536317" w:rsidRPr="006B5F69" w:rsidRDefault="00536317" w:rsidP="00F7132F">
            <w:pPr>
              <w:spacing w:after="0" w:line="240" w:lineRule="auto"/>
              <w:jc w:val="right"/>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xml:space="preserve">     27.593.032 </w:t>
            </w:r>
          </w:p>
        </w:tc>
      </w:tr>
    </w:tbl>
    <w:p w14:paraId="48F7445A"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51060C8F"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701C97F2"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13FE227E"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177DEDC1"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5516BE82"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6497604F" w14:textId="2724B603" w:rsidR="007835BD" w:rsidRPr="003072B4" w:rsidRDefault="007835BD" w:rsidP="007835BD">
      <w:pPr>
        <w:widowControl w:val="0"/>
        <w:rPr>
          <w:rFonts w:ascii="Verdana" w:hAnsi="Verdana"/>
          <w:bCs/>
          <w:sz w:val="20"/>
          <w:szCs w:val="20"/>
        </w:rPr>
      </w:pPr>
      <w:r w:rsidRPr="003072B4">
        <w:rPr>
          <w:rFonts w:ascii="Verdana" w:hAnsi="Verdana"/>
          <w:bCs/>
          <w:sz w:val="20"/>
          <w:szCs w:val="24"/>
        </w:rPr>
        <w:t xml:space="preserve">As notas explicativas são parte integrante das demonstrações </w:t>
      </w:r>
      <w:r w:rsidR="00590B3C" w:rsidRPr="003072B4">
        <w:rPr>
          <w:rFonts w:ascii="Verdana" w:hAnsi="Verdana"/>
          <w:bCs/>
          <w:sz w:val="20"/>
          <w:szCs w:val="24"/>
        </w:rPr>
        <w:t>financeiras intermediárias</w:t>
      </w:r>
      <w:r w:rsidRPr="003072B4">
        <w:rPr>
          <w:rFonts w:ascii="Verdana" w:hAnsi="Verdana"/>
          <w:bCs/>
          <w:sz w:val="20"/>
          <w:szCs w:val="24"/>
        </w:rPr>
        <w:t>.</w:t>
      </w:r>
    </w:p>
    <w:p w14:paraId="1E56A3CC" w14:textId="77777777" w:rsidR="004B6B1F" w:rsidRPr="00C11BC9" w:rsidRDefault="004B6B1F">
      <w:pPr>
        <w:rPr>
          <w:rFonts w:ascii="Verdana" w:hAnsi="Verdana"/>
          <w:bCs/>
        </w:rPr>
      </w:pPr>
      <w:r w:rsidRPr="00C11BC9">
        <w:rPr>
          <w:rFonts w:ascii="Verdana" w:hAnsi="Verdana"/>
          <w:bCs/>
        </w:rPr>
        <w:br w:type="page"/>
      </w:r>
    </w:p>
    <w:p w14:paraId="4E283920" w14:textId="77777777" w:rsidR="00F52374" w:rsidRDefault="000F50CB" w:rsidP="00F7132F">
      <w:pPr>
        <w:widowControl w:val="0"/>
        <w:spacing w:after="0"/>
        <w:jc w:val="center"/>
        <w:rPr>
          <w:rFonts w:ascii="Verdana" w:hAnsi="Verdana"/>
          <w:b/>
          <w:bCs/>
          <w:szCs w:val="26"/>
        </w:rPr>
      </w:pPr>
      <w:r>
        <w:rPr>
          <w:rFonts w:ascii="Verdana" w:hAnsi="Verdana"/>
          <w:b/>
          <w:bCs/>
          <w:szCs w:val="26"/>
        </w:rPr>
        <w:lastRenderedPageBreak/>
        <w:t>Demonstrações do R</w:t>
      </w:r>
      <w:r w:rsidR="00F52374" w:rsidRPr="006E1B4F">
        <w:rPr>
          <w:rFonts w:ascii="Verdana" w:hAnsi="Verdana"/>
          <w:b/>
          <w:bCs/>
          <w:szCs w:val="26"/>
        </w:rPr>
        <w:t>esultado</w:t>
      </w:r>
    </w:p>
    <w:p w14:paraId="314DD80A" w14:textId="77777777" w:rsidR="007835BD" w:rsidRDefault="007835BD" w:rsidP="007835BD">
      <w:pPr>
        <w:spacing w:after="0" w:line="240" w:lineRule="auto"/>
        <w:jc w:val="both"/>
        <w:rPr>
          <w:rFonts w:ascii="Verdana" w:hAnsi="Verdana" w:cstheme="minorHAnsi"/>
          <w:b/>
          <w:color w:val="767171" w:themeColor="background2" w:themeShade="80"/>
        </w:rPr>
      </w:pPr>
    </w:p>
    <w:tbl>
      <w:tblPr>
        <w:tblW w:w="10855" w:type="dxa"/>
        <w:tblInd w:w="-1276" w:type="dxa"/>
        <w:tblCellMar>
          <w:left w:w="70" w:type="dxa"/>
          <w:right w:w="70" w:type="dxa"/>
        </w:tblCellMar>
        <w:tblLook w:val="04A0" w:firstRow="1" w:lastRow="0" w:firstColumn="1" w:lastColumn="0" w:noHBand="0" w:noVBand="1"/>
      </w:tblPr>
      <w:tblGrid>
        <w:gridCol w:w="3544"/>
        <w:gridCol w:w="612"/>
        <w:gridCol w:w="1642"/>
        <w:gridCol w:w="211"/>
        <w:gridCol w:w="1459"/>
        <w:gridCol w:w="211"/>
        <w:gridCol w:w="1602"/>
        <w:gridCol w:w="211"/>
        <w:gridCol w:w="1363"/>
      </w:tblGrid>
      <w:tr w:rsidR="003420B0" w:rsidRPr="0048506B" w14:paraId="680C7B24" w14:textId="77777777" w:rsidTr="003B4885">
        <w:trPr>
          <w:trHeight w:val="20"/>
        </w:trPr>
        <w:tc>
          <w:tcPr>
            <w:tcW w:w="3544" w:type="dxa"/>
            <w:tcBorders>
              <w:top w:val="nil"/>
              <w:left w:val="nil"/>
              <w:bottom w:val="nil"/>
              <w:right w:val="nil"/>
            </w:tcBorders>
            <w:shd w:val="clear" w:color="000000" w:fill="FFFFFF"/>
            <w:noWrap/>
            <w:vAlign w:val="center"/>
            <w:hideMark/>
          </w:tcPr>
          <w:p w14:paraId="3AE342A2" w14:textId="77777777" w:rsidR="003420B0" w:rsidRPr="0048506B" w:rsidRDefault="003420B0" w:rsidP="001D3745">
            <w:pPr>
              <w:spacing w:after="0" w:line="240" w:lineRule="auto"/>
              <w:rPr>
                <w:rFonts w:ascii="Verdana" w:eastAsia="Times New Roman" w:hAnsi="Verdana" w:cs="Calibri"/>
                <w:color w:val="FF0000"/>
                <w:sz w:val="16"/>
                <w:szCs w:val="16"/>
                <w:lang w:eastAsia="pt-BR"/>
              </w:rPr>
            </w:pPr>
            <w:r w:rsidRPr="0048506B">
              <w:rPr>
                <w:rFonts w:ascii="Verdana" w:eastAsia="Times New Roman" w:hAnsi="Verdana" w:cs="Calibri"/>
                <w:color w:val="FF0000"/>
                <w:sz w:val="16"/>
                <w:szCs w:val="16"/>
                <w:lang w:eastAsia="pt-BR"/>
              </w:rPr>
              <w:t> </w:t>
            </w:r>
          </w:p>
        </w:tc>
        <w:tc>
          <w:tcPr>
            <w:tcW w:w="612" w:type="dxa"/>
            <w:tcBorders>
              <w:top w:val="nil"/>
              <w:left w:val="nil"/>
              <w:bottom w:val="nil"/>
              <w:right w:val="nil"/>
            </w:tcBorders>
            <w:shd w:val="clear" w:color="000000" w:fill="FFFFFF"/>
            <w:vAlign w:val="center"/>
            <w:hideMark/>
          </w:tcPr>
          <w:p w14:paraId="3B802196" w14:textId="77777777" w:rsidR="003420B0" w:rsidRPr="0048506B" w:rsidRDefault="003420B0" w:rsidP="001D3745">
            <w:pPr>
              <w:spacing w:after="0" w:line="240" w:lineRule="auto"/>
              <w:jc w:val="center"/>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Nota</w:t>
            </w:r>
          </w:p>
        </w:tc>
        <w:tc>
          <w:tcPr>
            <w:tcW w:w="3312" w:type="dxa"/>
            <w:gridSpan w:val="3"/>
            <w:tcBorders>
              <w:top w:val="nil"/>
              <w:left w:val="nil"/>
              <w:bottom w:val="nil"/>
              <w:right w:val="nil"/>
            </w:tcBorders>
            <w:shd w:val="clear" w:color="000000" w:fill="FFFFFF"/>
            <w:vAlign w:val="center"/>
            <w:hideMark/>
          </w:tcPr>
          <w:p w14:paraId="0130B270" w14:textId="09F2E26A" w:rsidR="003420B0" w:rsidRPr="0048506B" w:rsidRDefault="003420B0" w:rsidP="003420B0">
            <w:pPr>
              <w:spacing w:after="0" w:line="240" w:lineRule="auto"/>
              <w:jc w:val="center"/>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CONTROLADORA</w:t>
            </w:r>
          </w:p>
          <w:p w14:paraId="0FD7DBB7" w14:textId="7CF23849" w:rsidR="003420B0" w:rsidRPr="0048506B" w:rsidRDefault="003420B0" w:rsidP="003420B0">
            <w:pPr>
              <w:spacing w:after="0" w:line="240" w:lineRule="auto"/>
              <w:jc w:val="center"/>
              <w:rPr>
                <w:rFonts w:ascii="Verdana" w:eastAsia="Times New Roman" w:hAnsi="Verdana" w:cs="Calibri"/>
                <w:b/>
                <w:bCs/>
                <w:color w:val="000000"/>
                <w:sz w:val="16"/>
                <w:szCs w:val="16"/>
                <w:lang w:eastAsia="pt-BR"/>
              </w:rPr>
            </w:pPr>
          </w:p>
        </w:tc>
        <w:tc>
          <w:tcPr>
            <w:tcW w:w="211" w:type="dxa"/>
            <w:tcBorders>
              <w:top w:val="nil"/>
              <w:left w:val="nil"/>
              <w:bottom w:val="nil"/>
              <w:right w:val="nil"/>
            </w:tcBorders>
            <w:shd w:val="clear" w:color="auto" w:fill="auto"/>
            <w:noWrap/>
            <w:vAlign w:val="bottom"/>
            <w:hideMark/>
          </w:tcPr>
          <w:p w14:paraId="6714B626" w14:textId="77777777" w:rsidR="003420B0" w:rsidRPr="0048506B" w:rsidRDefault="003420B0" w:rsidP="001D3745">
            <w:pPr>
              <w:spacing w:after="0" w:line="240" w:lineRule="auto"/>
              <w:rPr>
                <w:rFonts w:ascii="Verdana" w:eastAsia="Times New Roman" w:hAnsi="Verdana" w:cs="Calibri"/>
                <w:b/>
                <w:bCs/>
                <w:color w:val="000000"/>
                <w:sz w:val="16"/>
                <w:szCs w:val="16"/>
                <w:lang w:eastAsia="pt-BR"/>
              </w:rPr>
            </w:pPr>
          </w:p>
        </w:tc>
        <w:tc>
          <w:tcPr>
            <w:tcW w:w="3176" w:type="dxa"/>
            <w:gridSpan w:val="3"/>
            <w:tcBorders>
              <w:top w:val="nil"/>
              <w:left w:val="nil"/>
              <w:bottom w:val="nil"/>
              <w:right w:val="nil"/>
            </w:tcBorders>
            <w:shd w:val="clear" w:color="000000" w:fill="FFFFFF"/>
            <w:vAlign w:val="center"/>
            <w:hideMark/>
          </w:tcPr>
          <w:p w14:paraId="05C3F4A6" w14:textId="61D94FEB" w:rsidR="003420B0" w:rsidRPr="0048506B" w:rsidRDefault="003420B0" w:rsidP="003420B0">
            <w:pPr>
              <w:spacing w:after="0" w:line="240" w:lineRule="auto"/>
              <w:jc w:val="center"/>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CONSOLIDADO</w:t>
            </w:r>
          </w:p>
          <w:p w14:paraId="6ED121D9" w14:textId="6EFC7305" w:rsidR="003420B0" w:rsidRPr="0048506B" w:rsidRDefault="003420B0" w:rsidP="003420B0">
            <w:pPr>
              <w:spacing w:after="0" w:line="240" w:lineRule="auto"/>
              <w:jc w:val="center"/>
              <w:rPr>
                <w:rFonts w:ascii="Verdana" w:eastAsia="Times New Roman" w:hAnsi="Verdana" w:cs="Calibri"/>
                <w:b/>
                <w:bCs/>
                <w:color w:val="000000"/>
                <w:sz w:val="16"/>
                <w:szCs w:val="16"/>
                <w:lang w:eastAsia="pt-BR"/>
              </w:rPr>
            </w:pPr>
          </w:p>
        </w:tc>
      </w:tr>
      <w:tr w:rsidR="003420B0" w:rsidRPr="0048506B" w14:paraId="1AF2FB71" w14:textId="77777777" w:rsidTr="003420B0">
        <w:trPr>
          <w:trHeight w:val="20"/>
        </w:trPr>
        <w:tc>
          <w:tcPr>
            <w:tcW w:w="3544" w:type="dxa"/>
            <w:tcBorders>
              <w:top w:val="nil"/>
              <w:left w:val="nil"/>
              <w:bottom w:val="nil"/>
              <w:right w:val="nil"/>
            </w:tcBorders>
            <w:shd w:val="clear" w:color="000000" w:fill="FFFFFF"/>
            <w:noWrap/>
            <w:vAlign w:val="center"/>
            <w:hideMark/>
          </w:tcPr>
          <w:p w14:paraId="41DCF0EA" w14:textId="77777777" w:rsidR="003420B0" w:rsidRPr="0048506B" w:rsidRDefault="003420B0" w:rsidP="001D3745">
            <w:pPr>
              <w:spacing w:after="0" w:line="240" w:lineRule="auto"/>
              <w:jc w:val="center"/>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w:t>
            </w:r>
          </w:p>
        </w:tc>
        <w:tc>
          <w:tcPr>
            <w:tcW w:w="612" w:type="dxa"/>
            <w:tcBorders>
              <w:top w:val="nil"/>
              <w:left w:val="nil"/>
              <w:bottom w:val="nil"/>
              <w:right w:val="nil"/>
            </w:tcBorders>
            <w:shd w:val="clear" w:color="000000" w:fill="FFFFFF"/>
            <w:vAlign w:val="center"/>
            <w:hideMark/>
          </w:tcPr>
          <w:p w14:paraId="54131CDE" w14:textId="77777777" w:rsidR="003420B0" w:rsidRPr="0048506B" w:rsidRDefault="003420B0" w:rsidP="001D3745">
            <w:pPr>
              <w:spacing w:after="0" w:line="240" w:lineRule="auto"/>
              <w:jc w:val="center"/>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w:t>
            </w:r>
          </w:p>
        </w:tc>
        <w:tc>
          <w:tcPr>
            <w:tcW w:w="1642" w:type="dxa"/>
            <w:tcBorders>
              <w:top w:val="single" w:sz="4" w:space="0" w:color="auto"/>
              <w:left w:val="nil"/>
              <w:bottom w:val="single" w:sz="4" w:space="0" w:color="auto"/>
              <w:right w:val="nil"/>
            </w:tcBorders>
            <w:shd w:val="clear" w:color="000000" w:fill="FFFFFF"/>
            <w:vAlign w:val="center"/>
            <w:hideMark/>
          </w:tcPr>
          <w:p w14:paraId="7C476502" w14:textId="77777777" w:rsidR="003420B0" w:rsidRPr="0048506B" w:rsidRDefault="003420B0" w:rsidP="001D3745">
            <w:pPr>
              <w:spacing w:after="0" w:line="240" w:lineRule="auto"/>
              <w:jc w:val="center"/>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xml:space="preserve"> 30/06/2022 </w:t>
            </w:r>
            <w:r w:rsidRPr="0048506B">
              <w:rPr>
                <w:rFonts w:ascii="Verdana" w:eastAsia="Times New Roman" w:hAnsi="Verdana" w:cs="Calibri"/>
                <w:b/>
                <w:bCs/>
                <w:color w:val="000000"/>
                <w:sz w:val="16"/>
                <w:szCs w:val="16"/>
                <w:lang w:eastAsia="pt-BR"/>
              </w:rPr>
              <w:br/>
              <w:t>(6 meses)</w:t>
            </w:r>
          </w:p>
        </w:tc>
        <w:tc>
          <w:tcPr>
            <w:tcW w:w="211" w:type="dxa"/>
            <w:tcBorders>
              <w:top w:val="nil"/>
              <w:left w:val="nil"/>
              <w:bottom w:val="nil"/>
              <w:right w:val="nil"/>
            </w:tcBorders>
            <w:shd w:val="clear" w:color="auto" w:fill="auto"/>
            <w:noWrap/>
            <w:vAlign w:val="bottom"/>
            <w:hideMark/>
          </w:tcPr>
          <w:p w14:paraId="59FB014D" w14:textId="77777777" w:rsidR="003420B0" w:rsidRPr="0048506B" w:rsidRDefault="003420B0" w:rsidP="001D3745">
            <w:pPr>
              <w:spacing w:after="0" w:line="240" w:lineRule="auto"/>
              <w:jc w:val="center"/>
              <w:rPr>
                <w:rFonts w:ascii="Verdana" w:eastAsia="Times New Roman" w:hAnsi="Verdana" w:cs="Calibri"/>
                <w:b/>
                <w:bCs/>
                <w:color w:val="000000"/>
                <w:sz w:val="16"/>
                <w:szCs w:val="16"/>
                <w:lang w:eastAsia="pt-BR"/>
              </w:rPr>
            </w:pPr>
          </w:p>
        </w:tc>
        <w:tc>
          <w:tcPr>
            <w:tcW w:w="1459" w:type="dxa"/>
            <w:tcBorders>
              <w:top w:val="single" w:sz="4" w:space="0" w:color="auto"/>
              <w:left w:val="nil"/>
              <w:bottom w:val="single" w:sz="4" w:space="0" w:color="auto"/>
              <w:right w:val="nil"/>
            </w:tcBorders>
            <w:shd w:val="clear" w:color="000000" w:fill="FFFFFF"/>
            <w:vAlign w:val="center"/>
            <w:hideMark/>
          </w:tcPr>
          <w:p w14:paraId="0D6DBF51" w14:textId="77777777" w:rsidR="003420B0" w:rsidRPr="0048506B" w:rsidRDefault="003420B0" w:rsidP="001D3745">
            <w:pPr>
              <w:spacing w:after="0" w:line="240" w:lineRule="auto"/>
              <w:jc w:val="center"/>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xml:space="preserve"> 30/06/2022 </w:t>
            </w:r>
            <w:r w:rsidRPr="0048506B">
              <w:rPr>
                <w:rFonts w:ascii="Verdana" w:eastAsia="Times New Roman" w:hAnsi="Verdana" w:cs="Calibri"/>
                <w:b/>
                <w:bCs/>
                <w:color w:val="000000"/>
                <w:sz w:val="16"/>
                <w:szCs w:val="16"/>
                <w:lang w:eastAsia="pt-BR"/>
              </w:rPr>
              <w:br/>
              <w:t>(3 meses)</w:t>
            </w:r>
          </w:p>
        </w:tc>
        <w:tc>
          <w:tcPr>
            <w:tcW w:w="211" w:type="dxa"/>
            <w:tcBorders>
              <w:top w:val="nil"/>
              <w:left w:val="nil"/>
              <w:bottom w:val="nil"/>
              <w:right w:val="nil"/>
            </w:tcBorders>
            <w:shd w:val="clear" w:color="auto" w:fill="auto"/>
            <w:noWrap/>
            <w:vAlign w:val="bottom"/>
            <w:hideMark/>
          </w:tcPr>
          <w:p w14:paraId="46513FD2" w14:textId="77777777" w:rsidR="003420B0" w:rsidRPr="0048506B" w:rsidRDefault="003420B0" w:rsidP="001D3745">
            <w:pPr>
              <w:spacing w:after="0" w:line="240" w:lineRule="auto"/>
              <w:jc w:val="center"/>
              <w:rPr>
                <w:rFonts w:ascii="Verdana" w:eastAsia="Times New Roman" w:hAnsi="Verdana" w:cs="Calibri"/>
                <w:b/>
                <w:bCs/>
                <w:color w:val="000000"/>
                <w:sz w:val="16"/>
                <w:szCs w:val="16"/>
                <w:lang w:eastAsia="pt-BR"/>
              </w:rPr>
            </w:pPr>
          </w:p>
        </w:tc>
        <w:tc>
          <w:tcPr>
            <w:tcW w:w="1602" w:type="dxa"/>
            <w:tcBorders>
              <w:top w:val="single" w:sz="4" w:space="0" w:color="auto"/>
              <w:left w:val="nil"/>
              <w:bottom w:val="single" w:sz="4" w:space="0" w:color="auto"/>
              <w:right w:val="nil"/>
            </w:tcBorders>
            <w:shd w:val="clear" w:color="000000" w:fill="FFFFFF"/>
            <w:vAlign w:val="center"/>
            <w:hideMark/>
          </w:tcPr>
          <w:p w14:paraId="360A3A60" w14:textId="77777777" w:rsidR="003420B0" w:rsidRPr="0048506B" w:rsidRDefault="003420B0" w:rsidP="001D3745">
            <w:pPr>
              <w:spacing w:after="0" w:line="240" w:lineRule="auto"/>
              <w:jc w:val="center"/>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xml:space="preserve"> 30/06/2022 </w:t>
            </w:r>
            <w:r w:rsidRPr="0048506B">
              <w:rPr>
                <w:rFonts w:ascii="Verdana" w:eastAsia="Times New Roman" w:hAnsi="Verdana" w:cs="Calibri"/>
                <w:b/>
                <w:bCs/>
                <w:color w:val="000000"/>
                <w:sz w:val="16"/>
                <w:szCs w:val="16"/>
                <w:lang w:eastAsia="pt-BR"/>
              </w:rPr>
              <w:br/>
              <w:t>(6 meses)</w:t>
            </w:r>
          </w:p>
        </w:tc>
        <w:tc>
          <w:tcPr>
            <w:tcW w:w="211" w:type="dxa"/>
            <w:tcBorders>
              <w:top w:val="nil"/>
              <w:left w:val="nil"/>
              <w:bottom w:val="nil"/>
              <w:right w:val="nil"/>
            </w:tcBorders>
            <w:shd w:val="clear" w:color="auto" w:fill="auto"/>
            <w:noWrap/>
            <w:vAlign w:val="bottom"/>
            <w:hideMark/>
          </w:tcPr>
          <w:p w14:paraId="416E3B9C" w14:textId="77777777" w:rsidR="003420B0" w:rsidRPr="0048506B" w:rsidRDefault="003420B0" w:rsidP="001D3745">
            <w:pPr>
              <w:spacing w:after="0" w:line="240" w:lineRule="auto"/>
              <w:jc w:val="center"/>
              <w:rPr>
                <w:rFonts w:ascii="Verdana" w:eastAsia="Times New Roman" w:hAnsi="Verdana" w:cs="Calibri"/>
                <w:b/>
                <w:bCs/>
                <w:color w:val="000000"/>
                <w:sz w:val="16"/>
                <w:szCs w:val="16"/>
                <w:lang w:eastAsia="pt-BR"/>
              </w:rPr>
            </w:pPr>
          </w:p>
        </w:tc>
        <w:tc>
          <w:tcPr>
            <w:tcW w:w="1363" w:type="dxa"/>
            <w:tcBorders>
              <w:top w:val="single" w:sz="4" w:space="0" w:color="auto"/>
              <w:left w:val="nil"/>
              <w:bottom w:val="single" w:sz="4" w:space="0" w:color="auto"/>
              <w:right w:val="nil"/>
            </w:tcBorders>
            <w:shd w:val="clear" w:color="000000" w:fill="FFFFFF"/>
            <w:vAlign w:val="center"/>
            <w:hideMark/>
          </w:tcPr>
          <w:p w14:paraId="3CF19522" w14:textId="77777777" w:rsidR="003420B0" w:rsidRPr="0048506B" w:rsidRDefault="003420B0" w:rsidP="001D3745">
            <w:pPr>
              <w:spacing w:after="0" w:line="240" w:lineRule="auto"/>
              <w:jc w:val="center"/>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xml:space="preserve"> 30/06/2022 </w:t>
            </w:r>
            <w:r w:rsidRPr="0048506B">
              <w:rPr>
                <w:rFonts w:ascii="Verdana" w:eastAsia="Times New Roman" w:hAnsi="Verdana" w:cs="Calibri"/>
                <w:b/>
                <w:bCs/>
                <w:color w:val="000000"/>
                <w:sz w:val="16"/>
                <w:szCs w:val="16"/>
                <w:lang w:eastAsia="pt-BR"/>
              </w:rPr>
              <w:br/>
              <w:t>(3 meses)</w:t>
            </w:r>
          </w:p>
        </w:tc>
      </w:tr>
      <w:tr w:rsidR="003420B0" w:rsidRPr="0048506B" w14:paraId="071075FE" w14:textId="77777777" w:rsidTr="003420B0">
        <w:trPr>
          <w:trHeight w:val="20"/>
        </w:trPr>
        <w:tc>
          <w:tcPr>
            <w:tcW w:w="3544" w:type="dxa"/>
            <w:tcBorders>
              <w:top w:val="nil"/>
              <w:left w:val="nil"/>
              <w:bottom w:val="nil"/>
              <w:right w:val="nil"/>
            </w:tcBorders>
            <w:shd w:val="clear" w:color="000000" w:fill="FFFFFF"/>
            <w:noWrap/>
            <w:vAlign w:val="center"/>
            <w:hideMark/>
          </w:tcPr>
          <w:p w14:paraId="76A4D977"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612" w:type="dxa"/>
            <w:tcBorders>
              <w:top w:val="nil"/>
              <w:left w:val="nil"/>
              <w:bottom w:val="nil"/>
              <w:right w:val="nil"/>
            </w:tcBorders>
            <w:shd w:val="clear" w:color="auto" w:fill="auto"/>
            <w:vAlign w:val="center"/>
            <w:hideMark/>
          </w:tcPr>
          <w:p w14:paraId="2D37AC02"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p>
        </w:tc>
        <w:tc>
          <w:tcPr>
            <w:tcW w:w="1642" w:type="dxa"/>
            <w:tcBorders>
              <w:top w:val="nil"/>
              <w:left w:val="nil"/>
              <w:bottom w:val="nil"/>
              <w:right w:val="nil"/>
            </w:tcBorders>
            <w:shd w:val="clear" w:color="auto" w:fill="auto"/>
            <w:noWrap/>
            <w:vAlign w:val="bottom"/>
            <w:hideMark/>
          </w:tcPr>
          <w:p w14:paraId="4BCE9348" w14:textId="77777777" w:rsidR="003420B0" w:rsidRPr="0048506B" w:rsidRDefault="003420B0" w:rsidP="001D3745">
            <w:pPr>
              <w:spacing w:after="0" w:line="240" w:lineRule="auto"/>
              <w:jc w:val="center"/>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4EF500BB"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459" w:type="dxa"/>
            <w:tcBorders>
              <w:top w:val="nil"/>
              <w:left w:val="nil"/>
              <w:bottom w:val="nil"/>
              <w:right w:val="nil"/>
            </w:tcBorders>
            <w:shd w:val="clear" w:color="auto" w:fill="auto"/>
            <w:noWrap/>
            <w:vAlign w:val="bottom"/>
            <w:hideMark/>
          </w:tcPr>
          <w:p w14:paraId="2829DC07"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68EAC711"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602" w:type="dxa"/>
            <w:tcBorders>
              <w:top w:val="nil"/>
              <w:left w:val="nil"/>
              <w:bottom w:val="nil"/>
              <w:right w:val="nil"/>
            </w:tcBorders>
            <w:shd w:val="clear" w:color="000000" w:fill="FFFFFF"/>
            <w:noWrap/>
            <w:vAlign w:val="center"/>
            <w:hideMark/>
          </w:tcPr>
          <w:p w14:paraId="11E3BECE"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211" w:type="dxa"/>
            <w:tcBorders>
              <w:top w:val="nil"/>
              <w:left w:val="nil"/>
              <w:bottom w:val="nil"/>
              <w:right w:val="nil"/>
            </w:tcBorders>
            <w:shd w:val="clear" w:color="auto" w:fill="auto"/>
            <w:noWrap/>
            <w:vAlign w:val="bottom"/>
            <w:hideMark/>
          </w:tcPr>
          <w:p w14:paraId="691BA054"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p>
        </w:tc>
        <w:tc>
          <w:tcPr>
            <w:tcW w:w="1363" w:type="dxa"/>
            <w:tcBorders>
              <w:top w:val="nil"/>
              <w:left w:val="nil"/>
              <w:bottom w:val="nil"/>
              <w:right w:val="nil"/>
            </w:tcBorders>
            <w:shd w:val="clear" w:color="000000" w:fill="FFFFFF"/>
            <w:noWrap/>
            <w:vAlign w:val="center"/>
            <w:hideMark/>
          </w:tcPr>
          <w:p w14:paraId="63E298E5"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r>
      <w:tr w:rsidR="003420B0" w:rsidRPr="0048506B" w14:paraId="3A866DB6" w14:textId="77777777" w:rsidTr="003420B0">
        <w:trPr>
          <w:trHeight w:val="20"/>
        </w:trPr>
        <w:tc>
          <w:tcPr>
            <w:tcW w:w="3544" w:type="dxa"/>
            <w:tcBorders>
              <w:top w:val="nil"/>
              <w:left w:val="nil"/>
              <w:bottom w:val="nil"/>
              <w:right w:val="nil"/>
            </w:tcBorders>
            <w:shd w:val="clear" w:color="000000" w:fill="FFFFFF"/>
            <w:noWrap/>
            <w:vAlign w:val="center"/>
            <w:hideMark/>
          </w:tcPr>
          <w:p w14:paraId="1D8B3ADC" w14:textId="77777777" w:rsidR="003420B0" w:rsidRPr="0048506B" w:rsidRDefault="003420B0" w:rsidP="001D3745">
            <w:pPr>
              <w:spacing w:after="0" w:line="240" w:lineRule="auto"/>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RECEITAS OPERACIONAIS</w:t>
            </w:r>
          </w:p>
        </w:tc>
        <w:tc>
          <w:tcPr>
            <w:tcW w:w="612" w:type="dxa"/>
            <w:tcBorders>
              <w:top w:val="nil"/>
              <w:left w:val="nil"/>
              <w:bottom w:val="nil"/>
              <w:right w:val="nil"/>
            </w:tcBorders>
            <w:shd w:val="clear" w:color="auto" w:fill="auto"/>
            <w:vAlign w:val="center"/>
            <w:hideMark/>
          </w:tcPr>
          <w:p w14:paraId="015DDC7F" w14:textId="77777777" w:rsidR="003420B0" w:rsidRPr="0048506B" w:rsidRDefault="003420B0" w:rsidP="001D3745">
            <w:pPr>
              <w:spacing w:after="0" w:line="240" w:lineRule="auto"/>
              <w:jc w:val="center"/>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23</w:t>
            </w:r>
          </w:p>
        </w:tc>
        <w:tc>
          <w:tcPr>
            <w:tcW w:w="1642" w:type="dxa"/>
            <w:tcBorders>
              <w:top w:val="nil"/>
              <w:left w:val="nil"/>
              <w:bottom w:val="nil"/>
              <w:right w:val="nil"/>
            </w:tcBorders>
            <w:shd w:val="clear" w:color="auto" w:fill="auto"/>
            <w:noWrap/>
            <w:vAlign w:val="bottom"/>
            <w:hideMark/>
          </w:tcPr>
          <w:p w14:paraId="08E0AE0F" w14:textId="77777777" w:rsidR="003420B0" w:rsidRPr="0048506B" w:rsidRDefault="003420B0" w:rsidP="001D3745">
            <w:pPr>
              <w:spacing w:after="0" w:line="240" w:lineRule="auto"/>
              <w:jc w:val="center"/>
              <w:rPr>
                <w:rFonts w:ascii="Verdana" w:eastAsia="Times New Roman" w:hAnsi="Verdana" w:cs="Calibri"/>
                <w:b/>
                <w:bCs/>
                <w:color w:val="000000"/>
                <w:sz w:val="16"/>
                <w:szCs w:val="16"/>
                <w:lang w:eastAsia="pt-BR"/>
              </w:rPr>
            </w:pPr>
          </w:p>
        </w:tc>
        <w:tc>
          <w:tcPr>
            <w:tcW w:w="211" w:type="dxa"/>
            <w:tcBorders>
              <w:top w:val="nil"/>
              <w:left w:val="nil"/>
              <w:bottom w:val="nil"/>
              <w:right w:val="nil"/>
            </w:tcBorders>
            <w:shd w:val="clear" w:color="auto" w:fill="auto"/>
            <w:noWrap/>
            <w:vAlign w:val="bottom"/>
            <w:hideMark/>
          </w:tcPr>
          <w:p w14:paraId="2E823896"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459" w:type="dxa"/>
            <w:tcBorders>
              <w:top w:val="nil"/>
              <w:left w:val="nil"/>
              <w:bottom w:val="nil"/>
              <w:right w:val="nil"/>
            </w:tcBorders>
            <w:shd w:val="clear" w:color="auto" w:fill="auto"/>
            <w:noWrap/>
            <w:vAlign w:val="bottom"/>
            <w:hideMark/>
          </w:tcPr>
          <w:p w14:paraId="54C1AE3E"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25465741"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602" w:type="dxa"/>
            <w:tcBorders>
              <w:top w:val="nil"/>
              <w:left w:val="nil"/>
              <w:bottom w:val="nil"/>
              <w:right w:val="nil"/>
            </w:tcBorders>
            <w:shd w:val="clear" w:color="000000" w:fill="FFFFFF"/>
            <w:vAlign w:val="center"/>
            <w:hideMark/>
          </w:tcPr>
          <w:p w14:paraId="168E28CA" w14:textId="77777777" w:rsidR="003420B0" w:rsidRPr="0048506B" w:rsidRDefault="003420B0" w:rsidP="001D3745">
            <w:pPr>
              <w:spacing w:after="0" w:line="240" w:lineRule="auto"/>
              <w:jc w:val="center"/>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w:t>
            </w:r>
          </w:p>
        </w:tc>
        <w:tc>
          <w:tcPr>
            <w:tcW w:w="211" w:type="dxa"/>
            <w:tcBorders>
              <w:top w:val="nil"/>
              <w:left w:val="nil"/>
              <w:bottom w:val="nil"/>
              <w:right w:val="nil"/>
            </w:tcBorders>
            <w:shd w:val="clear" w:color="auto" w:fill="auto"/>
            <w:noWrap/>
            <w:vAlign w:val="bottom"/>
            <w:hideMark/>
          </w:tcPr>
          <w:p w14:paraId="66BF8E7E" w14:textId="77777777" w:rsidR="003420B0" w:rsidRPr="0048506B" w:rsidRDefault="003420B0" w:rsidP="001D3745">
            <w:pPr>
              <w:spacing w:after="0" w:line="240" w:lineRule="auto"/>
              <w:jc w:val="center"/>
              <w:rPr>
                <w:rFonts w:ascii="Verdana" w:eastAsia="Times New Roman" w:hAnsi="Verdana" w:cs="Calibri"/>
                <w:b/>
                <w:bCs/>
                <w:color w:val="000000"/>
                <w:sz w:val="16"/>
                <w:szCs w:val="16"/>
                <w:lang w:eastAsia="pt-BR"/>
              </w:rPr>
            </w:pPr>
          </w:p>
        </w:tc>
        <w:tc>
          <w:tcPr>
            <w:tcW w:w="1363" w:type="dxa"/>
            <w:tcBorders>
              <w:top w:val="nil"/>
              <w:left w:val="nil"/>
              <w:bottom w:val="nil"/>
              <w:right w:val="nil"/>
            </w:tcBorders>
            <w:shd w:val="clear" w:color="000000" w:fill="FFFFFF"/>
            <w:vAlign w:val="center"/>
            <w:hideMark/>
          </w:tcPr>
          <w:p w14:paraId="5DCA720E" w14:textId="77777777" w:rsidR="003420B0" w:rsidRPr="0048506B" w:rsidRDefault="003420B0" w:rsidP="001D3745">
            <w:pPr>
              <w:spacing w:after="0" w:line="240" w:lineRule="auto"/>
              <w:jc w:val="center"/>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w:t>
            </w:r>
          </w:p>
        </w:tc>
      </w:tr>
      <w:tr w:rsidR="003420B0" w:rsidRPr="0048506B" w14:paraId="4C9A4092" w14:textId="77777777" w:rsidTr="003420B0">
        <w:trPr>
          <w:trHeight w:val="20"/>
        </w:trPr>
        <w:tc>
          <w:tcPr>
            <w:tcW w:w="3544" w:type="dxa"/>
            <w:tcBorders>
              <w:top w:val="nil"/>
              <w:left w:val="nil"/>
              <w:bottom w:val="nil"/>
              <w:right w:val="nil"/>
            </w:tcBorders>
            <w:shd w:val="clear" w:color="000000" w:fill="FFFFFF"/>
            <w:noWrap/>
            <w:vAlign w:val="center"/>
            <w:hideMark/>
          </w:tcPr>
          <w:p w14:paraId="522BA4CD" w14:textId="77777777" w:rsidR="003420B0" w:rsidRPr="0048506B" w:rsidRDefault="003420B0" w:rsidP="001D3745">
            <w:pPr>
              <w:spacing w:after="0" w:line="240" w:lineRule="auto"/>
              <w:rPr>
                <w:rFonts w:ascii="Verdana" w:eastAsia="Times New Roman" w:hAnsi="Verdana" w:cs="Calibri"/>
                <w:b/>
                <w:bCs/>
                <w:color w:val="000000"/>
                <w:sz w:val="10"/>
                <w:szCs w:val="10"/>
                <w:lang w:eastAsia="pt-BR"/>
              </w:rPr>
            </w:pPr>
            <w:r w:rsidRPr="0048506B">
              <w:rPr>
                <w:rFonts w:ascii="Verdana" w:eastAsia="Times New Roman" w:hAnsi="Verdana" w:cs="Calibri"/>
                <w:b/>
                <w:bCs/>
                <w:color w:val="000000"/>
                <w:sz w:val="10"/>
                <w:szCs w:val="10"/>
                <w:lang w:eastAsia="pt-BR"/>
              </w:rPr>
              <w:t> </w:t>
            </w:r>
          </w:p>
        </w:tc>
        <w:tc>
          <w:tcPr>
            <w:tcW w:w="612" w:type="dxa"/>
            <w:tcBorders>
              <w:top w:val="nil"/>
              <w:left w:val="nil"/>
              <w:bottom w:val="nil"/>
              <w:right w:val="nil"/>
            </w:tcBorders>
            <w:shd w:val="clear" w:color="auto" w:fill="auto"/>
            <w:vAlign w:val="center"/>
            <w:hideMark/>
          </w:tcPr>
          <w:p w14:paraId="6F5E2376" w14:textId="77777777" w:rsidR="003420B0" w:rsidRPr="0048506B" w:rsidRDefault="003420B0" w:rsidP="001D3745">
            <w:pPr>
              <w:spacing w:after="0" w:line="240" w:lineRule="auto"/>
              <w:rPr>
                <w:rFonts w:ascii="Verdana" w:eastAsia="Times New Roman" w:hAnsi="Verdana" w:cs="Calibri"/>
                <w:b/>
                <w:bCs/>
                <w:color w:val="000000"/>
                <w:sz w:val="10"/>
                <w:szCs w:val="10"/>
                <w:lang w:eastAsia="pt-BR"/>
              </w:rPr>
            </w:pPr>
          </w:p>
        </w:tc>
        <w:tc>
          <w:tcPr>
            <w:tcW w:w="1642" w:type="dxa"/>
            <w:tcBorders>
              <w:top w:val="nil"/>
              <w:left w:val="nil"/>
              <w:bottom w:val="nil"/>
              <w:right w:val="nil"/>
            </w:tcBorders>
            <w:shd w:val="clear" w:color="auto" w:fill="auto"/>
            <w:noWrap/>
            <w:vAlign w:val="bottom"/>
            <w:hideMark/>
          </w:tcPr>
          <w:p w14:paraId="098361A7" w14:textId="77777777" w:rsidR="003420B0" w:rsidRPr="0048506B" w:rsidRDefault="003420B0" w:rsidP="001D3745">
            <w:pPr>
              <w:spacing w:after="0" w:line="240" w:lineRule="auto"/>
              <w:jc w:val="center"/>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1045F9D8"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459" w:type="dxa"/>
            <w:tcBorders>
              <w:top w:val="nil"/>
              <w:left w:val="nil"/>
              <w:bottom w:val="nil"/>
              <w:right w:val="nil"/>
            </w:tcBorders>
            <w:shd w:val="clear" w:color="auto" w:fill="auto"/>
            <w:noWrap/>
            <w:vAlign w:val="bottom"/>
            <w:hideMark/>
          </w:tcPr>
          <w:p w14:paraId="678E9375"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63BBCDFD"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602" w:type="dxa"/>
            <w:tcBorders>
              <w:top w:val="nil"/>
              <w:left w:val="nil"/>
              <w:bottom w:val="nil"/>
              <w:right w:val="nil"/>
            </w:tcBorders>
            <w:shd w:val="clear" w:color="000000" w:fill="FFFFFF"/>
            <w:noWrap/>
            <w:vAlign w:val="center"/>
            <w:hideMark/>
          </w:tcPr>
          <w:p w14:paraId="36DA3EA0" w14:textId="77777777" w:rsidR="003420B0" w:rsidRPr="0048506B" w:rsidRDefault="003420B0" w:rsidP="001D3745">
            <w:pPr>
              <w:spacing w:after="0" w:line="240" w:lineRule="auto"/>
              <w:rPr>
                <w:rFonts w:ascii="Verdana" w:eastAsia="Times New Roman" w:hAnsi="Verdana" w:cs="Calibri"/>
                <w:color w:val="000000"/>
                <w:sz w:val="10"/>
                <w:szCs w:val="10"/>
                <w:lang w:eastAsia="pt-BR"/>
              </w:rPr>
            </w:pPr>
            <w:r w:rsidRPr="0048506B">
              <w:rPr>
                <w:rFonts w:ascii="Verdana" w:eastAsia="Times New Roman" w:hAnsi="Verdana" w:cs="Calibri"/>
                <w:color w:val="000000"/>
                <w:sz w:val="10"/>
                <w:szCs w:val="10"/>
                <w:lang w:eastAsia="pt-BR"/>
              </w:rPr>
              <w:t> </w:t>
            </w:r>
          </w:p>
        </w:tc>
        <w:tc>
          <w:tcPr>
            <w:tcW w:w="211" w:type="dxa"/>
            <w:tcBorders>
              <w:top w:val="nil"/>
              <w:left w:val="nil"/>
              <w:bottom w:val="nil"/>
              <w:right w:val="nil"/>
            </w:tcBorders>
            <w:shd w:val="clear" w:color="auto" w:fill="auto"/>
            <w:noWrap/>
            <w:vAlign w:val="bottom"/>
            <w:hideMark/>
          </w:tcPr>
          <w:p w14:paraId="6DA14030" w14:textId="77777777" w:rsidR="003420B0" w:rsidRPr="0048506B" w:rsidRDefault="003420B0" w:rsidP="001D3745">
            <w:pPr>
              <w:spacing w:after="0" w:line="240" w:lineRule="auto"/>
              <w:rPr>
                <w:rFonts w:ascii="Verdana" w:eastAsia="Times New Roman" w:hAnsi="Verdana" w:cs="Calibri"/>
                <w:color w:val="000000"/>
                <w:sz w:val="10"/>
                <w:szCs w:val="10"/>
                <w:lang w:eastAsia="pt-BR"/>
              </w:rPr>
            </w:pPr>
          </w:p>
        </w:tc>
        <w:tc>
          <w:tcPr>
            <w:tcW w:w="1363" w:type="dxa"/>
            <w:tcBorders>
              <w:top w:val="nil"/>
              <w:left w:val="nil"/>
              <w:bottom w:val="nil"/>
              <w:right w:val="nil"/>
            </w:tcBorders>
            <w:shd w:val="clear" w:color="000000" w:fill="FFFFFF"/>
            <w:noWrap/>
            <w:vAlign w:val="center"/>
            <w:hideMark/>
          </w:tcPr>
          <w:p w14:paraId="5E2856E4" w14:textId="77777777" w:rsidR="003420B0" w:rsidRPr="0048506B" w:rsidRDefault="003420B0" w:rsidP="001D3745">
            <w:pPr>
              <w:spacing w:after="0" w:line="240" w:lineRule="auto"/>
              <w:rPr>
                <w:rFonts w:ascii="Verdana" w:eastAsia="Times New Roman" w:hAnsi="Verdana" w:cs="Calibri"/>
                <w:color w:val="000000"/>
                <w:sz w:val="10"/>
                <w:szCs w:val="10"/>
                <w:lang w:eastAsia="pt-BR"/>
              </w:rPr>
            </w:pPr>
            <w:r w:rsidRPr="0048506B">
              <w:rPr>
                <w:rFonts w:ascii="Verdana" w:eastAsia="Times New Roman" w:hAnsi="Verdana" w:cs="Calibri"/>
                <w:color w:val="000000"/>
                <w:sz w:val="10"/>
                <w:szCs w:val="10"/>
                <w:lang w:eastAsia="pt-BR"/>
              </w:rPr>
              <w:t> </w:t>
            </w:r>
          </w:p>
        </w:tc>
      </w:tr>
      <w:tr w:rsidR="003420B0" w:rsidRPr="0048506B" w14:paraId="74C7E498" w14:textId="77777777" w:rsidTr="003420B0">
        <w:trPr>
          <w:trHeight w:val="20"/>
        </w:trPr>
        <w:tc>
          <w:tcPr>
            <w:tcW w:w="3544" w:type="dxa"/>
            <w:tcBorders>
              <w:top w:val="nil"/>
              <w:left w:val="nil"/>
              <w:bottom w:val="nil"/>
              <w:right w:val="nil"/>
            </w:tcBorders>
            <w:shd w:val="clear" w:color="000000" w:fill="FFFFFF"/>
            <w:noWrap/>
            <w:vAlign w:val="center"/>
            <w:hideMark/>
          </w:tcPr>
          <w:p w14:paraId="54ABEF6A"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Suprimento de energia Elétrica</w:t>
            </w:r>
          </w:p>
        </w:tc>
        <w:tc>
          <w:tcPr>
            <w:tcW w:w="612" w:type="dxa"/>
            <w:tcBorders>
              <w:top w:val="nil"/>
              <w:left w:val="nil"/>
              <w:bottom w:val="nil"/>
              <w:right w:val="nil"/>
            </w:tcBorders>
            <w:shd w:val="clear" w:color="auto" w:fill="auto"/>
            <w:vAlign w:val="center"/>
            <w:hideMark/>
          </w:tcPr>
          <w:p w14:paraId="630C8F32"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p>
        </w:tc>
        <w:tc>
          <w:tcPr>
            <w:tcW w:w="1642" w:type="dxa"/>
            <w:tcBorders>
              <w:top w:val="nil"/>
              <w:left w:val="nil"/>
              <w:bottom w:val="nil"/>
              <w:right w:val="nil"/>
            </w:tcBorders>
            <w:shd w:val="clear" w:color="auto" w:fill="auto"/>
            <w:noWrap/>
            <w:vAlign w:val="center"/>
            <w:hideMark/>
          </w:tcPr>
          <w:p w14:paraId="73DE5B42"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 </w:t>
            </w:r>
          </w:p>
        </w:tc>
        <w:tc>
          <w:tcPr>
            <w:tcW w:w="211" w:type="dxa"/>
            <w:tcBorders>
              <w:top w:val="nil"/>
              <w:left w:val="nil"/>
              <w:bottom w:val="nil"/>
              <w:right w:val="nil"/>
            </w:tcBorders>
            <w:shd w:val="clear" w:color="auto" w:fill="auto"/>
            <w:noWrap/>
            <w:vAlign w:val="bottom"/>
            <w:hideMark/>
          </w:tcPr>
          <w:p w14:paraId="345FFAF9"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459" w:type="dxa"/>
            <w:tcBorders>
              <w:top w:val="nil"/>
              <w:left w:val="nil"/>
              <w:bottom w:val="nil"/>
              <w:right w:val="nil"/>
            </w:tcBorders>
            <w:shd w:val="clear" w:color="auto" w:fill="auto"/>
            <w:noWrap/>
            <w:vAlign w:val="center"/>
            <w:hideMark/>
          </w:tcPr>
          <w:p w14:paraId="612BF002"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 </w:t>
            </w:r>
          </w:p>
        </w:tc>
        <w:tc>
          <w:tcPr>
            <w:tcW w:w="211" w:type="dxa"/>
            <w:tcBorders>
              <w:top w:val="nil"/>
              <w:left w:val="nil"/>
              <w:bottom w:val="nil"/>
              <w:right w:val="nil"/>
            </w:tcBorders>
            <w:shd w:val="clear" w:color="auto" w:fill="auto"/>
            <w:noWrap/>
            <w:vAlign w:val="bottom"/>
            <w:hideMark/>
          </w:tcPr>
          <w:p w14:paraId="6DA3567D"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602" w:type="dxa"/>
            <w:tcBorders>
              <w:top w:val="nil"/>
              <w:left w:val="nil"/>
              <w:bottom w:val="nil"/>
              <w:right w:val="nil"/>
            </w:tcBorders>
            <w:shd w:val="clear" w:color="000000" w:fill="FFFFFF"/>
            <w:vAlign w:val="center"/>
            <w:hideMark/>
          </w:tcPr>
          <w:p w14:paraId="2E39EA7A"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389.361</w:t>
            </w:r>
          </w:p>
        </w:tc>
        <w:tc>
          <w:tcPr>
            <w:tcW w:w="211" w:type="dxa"/>
            <w:tcBorders>
              <w:top w:val="nil"/>
              <w:left w:val="nil"/>
              <w:bottom w:val="nil"/>
              <w:right w:val="nil"/>
            </w:tcBorders>
            <w:shd w:val="clear" w:color="auto" w:fill="auto"/>
            <w:noWrap/>
            <w:vAlign w:val="bottom"/>
            <w:hideMark/>
          </w:tcPr>
          <w:p w14:paraId="7EE527E7"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363" w:type="dxa"/>
            <w:tcBorders>
              <w:top w:val="nil"/>
              <w:left w:val="nil"/>
              <w:bottom w:val="nil"/>
              <w:right w:val="nil"/>
            </w:tcBorders>
            <w:shd w:val="clear" w:color="000000" w:fill="FFFFFF"/>
            <w:vAlign w:val="center"/>
            <w:hideMark/>
          </w:tcPr>
          <w:p w14:paraId="3838C41A"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389.361</w:t>
            </w:r>
          </w:p>
        </w:tc>
      </w:tr>
      <w:tr w:rsidR="003420B0" w:rsidRPr="0048506B" w14:paraId="3AE2D8F4" w14:textId="77777777" w:rsidTr="003420B0">
        <w:trPr>
          <w:trHeight w:val="20"/>
        </w:trPr>
        <w:tc>
          <w:tcPr>
            <w:tcW w:w="3544" w:type="dxa"/>
            <w:tcBorders>
              <w:top w:val="nil"/>
              <w:left w:val="nil"/>
              <w:bottom w:val="nil"/>
              <w:right w:val="nil"/>
            </w:tcBorders>
            <w:shd w:val="clear" w:color="000000" w:fill="FFFFFF"/>
            <w:noWrap/>
            <w:vAlign w:val="center"/>
            <w:hideMark/>
          </w:tcPr>
          <w:p w14:paraId="3399A28A"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Outras Receitas</w:t>
            </w:r>
          </w:p>
        </w:tc>
        <w:tc>
          <w:tcPr>
            <w:tcW w:w="612" w:type="dxa"/>
            <w:tcBorders>
              <w:top w:val="nil"/>
              <w:left w:val="nil"/>
              <w:bottom w:val="nil"/>
              <w:right w:val="nil"/>
            </w:tcBorders>
            <w:shd w:val="clear" w:color="auto" w:fill="auto"/>
            <w:vAlign w:val="center"/>
            <w:hideMark/>
          </w:tcPr>
          <w:p w14:paraId="27FD63C6"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p>
        </w:tc>
        <w:tc>
          <w:tcPr>
            <w:tcW w:w="1642" w:type="dxa"/>
            <w:tcBorders>
              <w:top w:val="nil"/>
              <w:left w:val="nil"/>
              <w:bottom w:val="nil"/>
              <w:right w:val="nil"/>
            </w:tcBorders>
            <w:shd w:val="clear" w:color="auto" w:fill="auto"/>
            <w:noWrap/>
            <w:vAlign w:val="center"/>
            <w:hideMark/>
          </w:tcPr>
          <w:p w14:paraId="3EE95C07"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1.205 </w:t>
            </w:r>
          </w:p>
        </w:tc>
        <w:tc>
          <w:tcPr>
            <w:tcW w:w="211" w:type="dxa"/>
            <w:tcBorders>
              <w:top w:val="nil"/>
              <w:left w:val="nil"/>
              <w:bottom w:val="nil"/>
              <w:right w:val="nil"/>
            </w:tcBorders>
            <w:shd w:val="clear" w:color="auto" w:fill="auto"/>
            <w:noWrap/>
            <w:vAlign w:val="bottom"/>
            <w:hideMark/>
          </w:tcPr>
          <w:p w14:paraId="197C3BC2"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459" w:type="dxa"/>
            <w:tcBorders>
              <w:top w:val="nil"/>
              <w:left w:val="nil"/>
              <w:bottom w:val="nil"/>
              <w:right w:val="nil"/>
            </w:tcBorders>
            <w:shd w:val="clear" w:color="auto" w:fill="auto"/>
            <w:noWrap/>
            <w:vAlign w:val="center"/>
            <w:hideMark/>
          </w:tcPr>
          <w:p w14:paraId="4E0D3254"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1.205 </w:t>
            </w:r>
          </w:p>
        </w:tc>
        <w:tc>
          <w:tcPr>
            <w:tcW w:w="211" w:type="dxa"/>
            <w:tcBorders>
              <w:top w:val="nil"/>
              <w:left w:val="nil"/>
              <w:bottom w:val="nil"/>
              <w:right w:val="nil"/>
            </w:tcBorders>
            <w:shd w:val="clear" w:color="auto" w:fill="auto"/>
            <w:noWrap/>
            <w:vAlign w:val="bottom"/>
            <w:hideMark/>
          </w:tcPr>
          <w:p w14:paraId="6B50AAD6"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602" w:type="dxa"/>
            <w:tcBorders>
              <w:top w:val="nil"/>
              <w:left w:val="nil"/>
              <w:bottom w:val="nil"/>
              <w:right w:val="nil"/>
            </w:tcBorders>
            <w:shd w:val="clear" w:color="000000" w:fill="FFFFFF"/>
            <w:vAlign w:val="center"/>
            <w:hideMark/>
          </w:tcPr>
          <w:p w14:paraId="10B6CA48"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1.230</w:t>
            </w:r>
          </w:p>
        </w:tc>
        <w:tc>
          <w:tcPr>
            <w:tcW w:w="211" w:type="dxa"/>
            <w:tcBorders>
              <w:top w:val="nil"/>
              <w:left w:val="nil"/>
              <w:bottom w:val="nil"/>
              <w:right w:val="nil"/>
            </w:tcBorders>
            <w:shd w:val="clear" w:color="auto" w:fill="auto"/>
            <w:noWrap/>
            <w:vAlign w:val="bottom"/>
            <w:hideMark/>
          </w:tcPr>
          <w:p w14:paraId="4F7AED6B"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363" w:type="dxa"/>
            <w:tcBorders>
              <w:top w:val="nil"/>
              <w:left w:val="nil"/>
              <w:bottom w:val="nil"/>
              <w:right w:val="nil"/>
            </w:tcBorders>
            <w:shd w:val="clear" w:color="000000" w:fill="FFFFFF"/>
            <w:vAlign w:val="center"/>
            <w:hideMark/>
          </w:tcPr>
          <w:p w14:paraId="39F303BA"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1.230</w:t>
            </w:r>
          </w:p>
        </w:tc>
      </w:tr>
      <w:tr w:rsidR="003420B0" w:rsidRPr="0048506B" w14:paraId="5C418B57" w14:textId="77777777" w:rsidTr="003420B0">
        <w:trPr>
          <w:trHeight w:val="20"/>
        </w:trPr>
        <w:tc>
          <w:tcPr>
            <w:tcW w:w="3544" w:type="dxa"/>
            <w:tcBorders>
              <w:top w:val="nil"/>
              <w:left w:val="nil"/>
              <w:bottom w:val="nil"/>
              <w:right w:val="nil"/>
            </w:tcBorders>
            <w:shd w:val="clear" w:color="000000" w:fill="FFFFFF"/>
            <w:noWrap/>
            <w:vAlign w:val="center"/>
            <w:hideMark/>
          </w:tcPr>
          <w:p w14:paraId="2BA9CF13" w14:textId="77777777" w:rsidR="003420B0" w:rsidRPr="0048506B" w:rsidRDefault="003420B0" w:rsidP="001D3745">
            <w:pPr>
              <w:spacing w:after="0" w:line="240" w:lineRule="auto"/>
              <w:rPr>
                <w:rFonts w:ascii="Verdana" w:eastAsia="Times New Roman" w:hAnsi="Verdana" w:cs="Calibri"/>
                <w:color w:val="000000"/>
                <w:sz w:val="10"/>
                <w:szCs w:val="10"/>
                <w:lang w:eastAsia="pt-BR"/>
              </w:rPr>
            </w:pPr>
            <w:r w:rsidRPr="0048506B">
              <w:rPr>
                <w:rFonts w:ascii="Verdana" w:eastAsia="Times New Roman" w:hAnsi="Verdana" w:cs="Calibri"/>
                <w:color w:val="000000"/>
                <w:sz w:val="10"/>
                <w:szCs w:val="10"/>
                <w:lang w:eastAsia="pt-BR"/>
              </w:rPr>
              <w:t> </w:t>
            </w:r>
          </w:p>
        </w:tc>
        <w:tc>
          <w:tcPr>
            <w:tcW w:w="612" w:type="dxa"/>
            <w:tcBorders>
              <w:top w:val="nil"/>
              <w:left w:val="nil"/>
              <w:bottom w:val="nil"/>
              <w:right w:val="nil"/>
            </w:tcBorders>
            <w:shd w:val="clear" w:color="auto" w:fill="auto"/>
            <w:vAlign w:val="center"/>
            <w:hideMark/>
          </w:tcPr>
          <w:p w14:paraId="2C79DBDA" w14:textId="77777777" w:rsidR="003420B0" w:rsidRPr="0048506B" w:rsidRDefault="003420B0" w:rsidP="001D3745">
            <w:pPr>
              <w:spacing w:after="0" w:line="240" w:lineRule="auto"/>
              <w:rPr>
                <w:rFonts w:ascii="Verdana" w:eastAsia="Times New Roman" w:hAnsi="Verdana" w:cs="Calibri"/>
                <w:color w:val="000000"/>
                <w:sz w:val="10"/>
                <w:szCs w:val="10"/>
                <w:lang w:eastAsia="pt-BR"/>
              </w:rPr>
            </w:pPr>
          </w:p>
        </w:tc>
        <w:tc>
          <w:tcPr>
            <w:tcW w:w="1642" w:type="dxa"/>
            <w:tcBorders>
              <w:top w:val="nil"/>
              <w:left w:val="nil"/>
              <w:bottom w:val="nil"/>
              <w:right w:val="nil"/>
            </w:tcBorders>
            <w:shd w:val="clear" w:color="auto" w:fill="auto"/>
            <w:noWrap/>
            <w:vAlign w:val="bottom"/>
            <w:hideMark/>
          </w:tcPr>
          <w:p w14:paraId="59F40CC4" w14:textId="77777777" w:rsidR="003420B0" w:rsidRPr="0048506B" w:rsidRDefault="003420B0" w:rsidP="001D3745">
            <w:pPr>
              <w:spacing w:after="0" w:line="240" w:lineRule="auto"/>
              <w:jc w:val="center"/>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029A9B7D"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459" w:type="dxa"/>
            <w:tcBorders>
              <w:top w:val="nil"/>
              <w:left w:val="nil"/>
              <w:bottom w:val="nil"/>
              <w:right w:val="nil"/>
            </w:tcBorders>
            <w:shd w:val="clear" w:color="auto" w:fill="auto"/>
            <w:noWrap/>
            <w:vAlign w:val="bottom"/>
            <w:hideMark/>
          </w:tcPr>
          <w:p w14:paraId="004BCD8D"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7719441B"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602" w:type="dxa"/>
            <w:tcBorders>
              <w:top w:val="nil"/>
              <w:left w:val="nil"/>
              <w:bottom w:val="nil"/>
              <w:right w:val="nil"/>
            </w:tcBorders>
            <w:shd w:val="clear" w:color="000000" w:fill="FFFFFF"/>
            <w:noWrap/>
            <w:vAlign w:val="center"/>
            <w:hideMark/>
          </w:tcPr>
          <w:p w14:paraId="1F56C541" w14:textId="77777777" w:rsidR="003420B0" w:rsidRPr="0048506B" w:rsidRDefault="003420B0" w:rsidP="001D3745">
            <w:pPr>
              <w:spacing w:after="0" w:line="240" w:lineRule="auto"/>
              <w:jc w:val="right"/>
              <w:rPr>
                <w:rFonts w:ascii="Verdana" w:eastAsia="Times New Roman" w:hAnsi="Verdana" w:cs="Calibri"/>
                <w:color w:val="000000"/>
                <w:sz w:val="10"/>
                <w:szCs w:val="10"/>
                <w:lang w:eastAsia="pt-BR"/>
              </w:rPr>
            </w:pPr>
            <w:r w:rsidRPr="0048506B">
              <w:rPr>
                <w:rFonts w:ascii="Verdana" w:eastAsia="Times New Roman" w:hAnsi="Verdana" w:cs="Calibri"/>
                <w:color w:val="000000"/>
                <w:sz w:val="10"/>
                <w:szCs w:val="10"/>
                <w:lang w:eastAsia="pt-BR"/>
              </w:rPr>
              <w:t> </w:t>
            </w:r>
          </w:p>
        </w:tc>
        <w:tc>
          <w:tcPr>
            <w:tcW w:w="211" w:type="dxa"/>
            <w:tcBorders>
              <w:top w:val="nil"/>
              <w:left w:val="nil"/>
              <w:bottom w:val="nil"/>
              <w:right w:val="nil"/>
            </w:tcBorders>
            <w:shd w:val="clear" w:color="auto" w:fill="auto"/>
            <w:noWrap/>
            <w:vAlign w:val="bottom"/>
            <w:hideMark/>
          </w:tcPr>
          <w:p w14:paraId="5EDA053C" w14:textId="77777777" w:rsidR="003420B0" w:rsidRPr="0048506B" w:rsidRDefault="003420B0" w:rsidP="001D3745">
            <w:pPr>
              <w:spacing w:after="0" w:line="240" w:lineRule="auto"/>
              <w:jc w:val="right"/>
              <w:rPr>
                <w:rFonts w:ascii="Verdana" w:eastAsia="Times New Roman" w:hAnsi="Verdana" w:cs="Calibri"/>
                <w:color w:val="000000"/>
                <w:sz w:val="10"/>
                <w:szCs w:val="10"/>
                <w:lang w:eastAsia="pt-BR"/>
              </w:rPr>
            </w:pPr>
          </w:p>
        </w:tc>
        <w:tc>
          <w:tcPr>
            <w:tcW w:w="1363" w:type="dxa"/>
            <w:tcBorders>
              <w:top w:val="nil"/>
              <w:left w:val="nil"/>
              <w:bottom w:val="nil"/>
              <w:right w:val="nil"/>
            </w:tcBorders>
            <w:shd w:val="clear" w:color="000000" w:fill="FFFFFF"/>
            <w:noWrap/>
            <w:vAlign w:val="center"/>
            <w:hideMark/>
          </w:tcPr>
          <w:p w14:paraId="6D07B898" w14:textId="77777777" w:rsidR="003420B0" w:rsidRPr="0048506B" w:rsidRDefault="003420B0" w:rsidP="001D3745">
            <w:pPr>
              <w:spacing w:after="0" w:line="240" w:lineRule="auto"/>
              <w:jc w:val="right"/>
              <w:rPr>
                <w:rFonts w:ascii="Verdana" w:eastAsia="Times New Roman" w:hAnsi="Verdana" w:cs="Calibri"/>
                <w:color w:val="000000"/>
                <w:sz w:val="10"/>
                <w:szCs w:val="10"/>
                <w:lang w:eastAsia="pt-BR"/>
              </w:rPr>
            </w:pPr>
            <w:r w:rsidRPr="0048506B">
              <w:rPr>
                <w:rFonts w:ascii="Verdana" w:eastAsia="Times New Roman" w:hAnsi="Verdana" w:cs="Calibri"/>
                <w:color w:val="000000"/>
                <w:sz w:val="10"/>
                <w:szCs w:val="10"/>
                <w:lang w:eastAsia="pt-BR"/>
              </w:rPr>
              <w:t> </w:t>
            </w:r>
          </w:p>
        </w:tc>
      </w:tr>
      <w:tr w:rsidR="003420B0" w:rsidRPr="0048506B" w14:paraId="7AB4715D" w14:textId="77777777" w:rsidTr="003420B0">
        <w:trPr>
          <w:trHeight w:val="20"/>
        </w:trPr>
        <w:tc>
          <w:tcPr>
            <w:tcW w:w="3544" w:type="dxa"/>
            <w:tcBorders>
              <w:top w:val="nil"/>
              <w:left w:val="nil"/>
              <w:bottom w:val="nil"/>
              <w:right w:val="nil"/>
            </w:tcBorders>
            <w:shd w:val="clear" w:color="000000" w:fill="FFFFFF"/>
            <w:noWrap/>
            <w:vAlign w:val="center"/>
            <w:hideMark/>
          </w:tcPr>
          <w:p w14:paraId="598B66A4" w14:textId="77777777" w:rsidR="003420B0" w:rsidRPr="0048506B" w:rsidRDefault="003420B0" w:rsidP="001D3745">
            <w:pPr>
              <w:spacing w:after="0" w:line="240" w:lineRule="auto"/>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Deduções</w:t>
            </w:r>
          </w:p>
        </w:tc>
        <w:tc>
          <w:tcPr>
            <w:tcW w:w="612" w:type="dxa"/>
            <w:tcBorders>
              <w:top w:val="nil"/>
              <w:left w:val="nil"/>
              <w:bottom w:val="nil"/>
              <w:right w:val="nil"/>
            </w:tcBorders>
            <w:shd w:val="clear" w:color="auto" w:fill="auto"/>
            <w:vAlign w:val="center"/>
            <w:hideMark/>
          </w:tcPr>
          <w:p w14:paraId="53ED79D8" w14:textId="77777777" w:rsidR="003420B0" w:rsidRPr="0048506B" w:rsidRDefault="003420B0" w:rsidP="001D3745">
            <w:pPr>
              <w:spacing w:after="0" w:line="240" w:lineRule="auto"/>
              <w:rPr>
                <w:rFonts w:ascii="Verdana" w:eastAsia="Times New Roman" w:hAnsi="Verdana" w:cs="Calibri"/>
                <w:b/>
                <w:bCs/>
                <w:color w:val="000000"/>
                <w:sz w:val="16"/>
                <w:szCs w:val="16"/>
                <w:lang w:eastAsia="pt-BR"/>
              </w:rPr>
            </w:pPr>
          </w:p>
        </w:tc>
        <w:tc>
          <w:tcPr>
            <w:tcW w:w="1642" w:type="dxa"/>
            <w:tcBorders>
              <w:top w:val="nil"/>
              <w:left w:val="nil"/>
              <w:bottom w:val="nil"/>
              <w:right w:val="nil"/>
            </w:tcBorders>
            <w:shd w:val="clear" w:color="auto" w:fill="auto"/>
            <w:noWrap/>
            <w:vAlign w:val="bottom"/>
            <w:hideMark/>
          </w:tcPr>
          <w:p w14:paraId="58682C42" w14:textId="77777777" w:rsidR="003420B0" w:rsidRPr="0048506B" w:rsidRDefault="003420B0" w:rsidP="001D3745">
            <w:pPr>
              <w:spacing w:after="0" w:line="240" w:lineRule="auto"/>
              <w:jc w:val="center"/>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2F76C32F"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459" w:type="dxa"/>
            <w:tcBorders>
              <w:top w:val="nil"/>
              <w:left w:val="nil"/>
              <w:bottom w:val="nil"/>
              <w:right w:val="nil"/>
            </w:tcBorders>
            <w:shd w:val="clear" w:color="auto" w:fill="auto"/>
            <w:noWrap/>
            <w:vAlign w:val="bottom"/>
            <w:hideMark/>
          </w:tcPr>
          <w:p w14:paraId="7A2AA86E"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518C734E"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602" w:type="dxa"/>
            <w:tcBorders>
              <w:top w:val="nil"/>
              <w:left w:val="nil"/>
              <w:bottom w:val="nil"/>
              <w:right w:val="nil"/>
            </w:tcBorders>
            <w:shd w:val="clear" w:color="000000" w:fill="FFFFFF"/>
            <w:noWrap/>
            <w:vAlign w:val="center"/>
            <w:hideMark/>
          </w:tcPr>
          <w:p w14:paraId="14304E2E"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211" w:type="dxa"/>
            <w:tcBorders>
              <w:top w:val="nil"/>
              <w:left w:val="nil"/>
              <w:bottom w:val="nil"/>
              <w:right w:val="nil"/>
            </w:tcBorders>
            <w:shd w:val="clear" w:color="auto" w:fill="auto"/>
            <w:noWrap/>
            <w:vAlign w:val="bottom"/>
            <w:hideMark/>
          </w:tcPr>
          <w:p w14:paraId="1C340232"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363" w:type="dxa"/>
            <w:tcBorders>
              <w:top w:val="nil"/>
              <w:left w:val="nil"/>
              <w:bottom w:val="nil"/>
              <w:right w:val="nil"/>
            </w:tcBorders>
            <w:shd w:val="clear" w:color="000000" w:fill="FFFFFF"/>
            <w:noWrap/>
            <w:vAlign w:val="center"/>
            <w:hideMark/>
          </w:tcPr>
          <w:p w14:paraId="1244F695"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r>
      <w:tr w:rsidR="003420B0" w:rsidRPr="0048506B" w14:paraId="7C054118" w14:textId="77777777" w:rsidTr="003420B0">
        <w:trPr>
          <w:trHeight w:val="20"/>
        </w:trPr>
        <w:tc>
          <w:tcPr>
            <w:tcW w:w="3544" w:type="dxa"/>
            <w:tcBorders>
              <w:top w:val="nil"/>
              <w:left w:val="nil"/>
              <w:bottom w:val="nil"/>
              <w:right w:val="nil"/>
            </w:tcBorders>
            <w:shd w:val="clear" w:color="000000" w:fill="FFFFFF"/>
            <w:noWrap/>
            <w:vAlign w:val="center"/>
            <w:hideMark/>
          </w:tcPr>
          <w:p w14:paraId="776E08AC"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 Encargos setoriais e regulatórios</w:t>
            </w:r>
          </w:p>
        </w:tc>
        <w:tc>
          <w:tcPr>
            <w:tcW w:w="612" w:type="dxa"/>
            <w:tcBorders>
              <w:top w:val="nil"/>
              <w:left w:val="nil"/>
              <w:bottom w:val="nil"/>
              <w:right w:val="nil"/>
            </w:tcBorders>
            <w:shd w:val="clear" w:color="000000" w:fill="FFFFFF"/>
            <w:vAlign w:val="center"/>
            <w:hideMark/>
          </w:tcPr>
          <w:p w14:paraId="534FB37B" w14:textId="77777777" w:rsidR="003420B0" w:rsidRPr="0048506B" w:rsidRDefault="003420B0" w:rsidP="001D3745">
            <w:pPr>
              <w:spacing w:after="0" w:line="240" w:lineRule="auto"/>
              <w:jc w:val="center"/>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1642" w:type="dxa"/>
            <w:tcBorders>
              <w:top w:val="nil"/>
              <w:left w:val="nil"/>
              <w:bottom w:val="nil"/>
              <w:right w:val="nil"/>
            </w:tcBorders>
            <w:shd w:val="clear" w:color="000000" w:fill="FFFFFF"/>
            <w:vAlign w:val="center"/>
            <w:hideMark/>
          </w:tcPr>
          <w:p w14:paraId="33A55F69"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 </w:t>
            </w:r>
          </w:p>
        </w:tc>
        <w:tc>
          <w:tcPr>
            <w:tcW w:w="211" w:type="dxa"/>
            <w:tcBorders>
              <w:top w:val="nil"/>
              <w:left w:val="nil"/>
              <w:bottom w:val="nil"/>
              <w:right w:val="nil"/>
            </w:tcBorders>
            <w:shd w:val="clear" w:color="auto" w:fill="auto"/>
            <w:noWrap/>
            <w:vAlign w:val="bottom"/>
            <w:hideMark/>
          </w:tcPr>
          <w:p w14:paraId="6A49FDEF"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459" w:type="dxa"/>
            <w:tcBorders>
              <w:top w:val="nil"/>
              <w:left w:val="nil"/>
              <w:bottom w:val="nil"/>
              <w:right w:val="nil"/>
            </w:tcBorders>
            <w:shd w:val="clear" w:color="000000" w:fill="FFFFFF"/>
            <w:vAlign w:val="center"/>
            <w:hideMark/>
          </w:tcPr>
          <w:p w14:paraId="339F9BE8"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 </w:t>
            </w:r>
          </w:p>
        </w:tc>
        <w:tc>
          <w:tcPr>
            <w:tcW w:w="211" w:type="dxa"/>
            <w:tcBorders>
              <w:top w:val="nil"/>
              <w:left w:val="nil"/>
              <w:bottom w:val="nil"/>
              <w:right w:val="nil"/>
            </w:tcBorders>
            <w:shd w:val="clear" w:color="auto" w:fill="auto"/>
            <w:noWrap/>
            <w:vAlign w:val="bottom"/>
            <w:hideMark/>
          </w:tcPr>
          <w:p w14:paraId="0D2CE435"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602" w:type="dxa"/>
            <w:tcBorders>
              <w:top w:val="nil"/>
              <w:left w:val="nil"/>
              <w:bottom w:val="nil"/>
              <w:right w:val="nil"/>
            </w:tcBorders>
            <w:shd w:val="clear" w:color="000000" w:fill="FFFFFF"/>
            <w:vAlign w:val="center"/>
            <w:hideMark/>
          </w:tcPr>
          <w:p w14:paraId="0E3B7F54"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(11.681)</w:t>
            </w:r>
          </w:p>
        </w:tc>
        <w:tc>
          <w:tcPr>
            <w:tcW w:w="211" w:type="dxa"/>
            <w:tcBorders>
              <w:top w:val="nil"/>
              <w:left w:val="nil"/>
              <w:bottom w:val="nil"/>
              <w:right w:val="nil"/>
            </w:tcBorders>
            <w:shd w:val="clear" w:color="auto" w:fill="auto"/>
            <w:noWrap/>
            <w:vAlign w:val="bottom"/>
            <w:hideMark/>
          </w:tcPr>
          <w:p w14:paraId="1B90643A"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363" w:type="dxa"/>
            <w:tcBorders>
              <w:top w:val="nil"/>
              <w:left w:val="nil"/>
              <w:bottom w:val="nil"/>
              <w:right w:val="nil"/>
            </w:tcBorders>
            <w:shd w:val="clear" w:color="000000" w:fill="FFFFFF"/>
            <w:vAlign w:val="center"/>
            <w:hideMark/>
          </w:tcPr>
          <w:p w14:paraId="0D61CD14"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(11.681)</w:t>
            </w:r>
          </w:p>
        </w:tc>
      </w:tr>
      <w:tr w:rsidR="003420B0" w:rsidRPr="0048506B" w14:paraId="1067ECA0" w14:textId="77777777" w:rsidTr="003420B0">
        <w:trPr>
          <w:trHeight w:val="20"/>
        </w:trPr>
        <w:tc>
          <w:tcPr>
            <w:tcW w:w="3544" w:type="dxa"/>
            <w:tcBorders>
              <w:top w:val="nil"/>
              <w:left w:val="nil"/>
              <w:bottom w:val="nil"/>
              <w:right w:val="nil"/>
            </w:tcBorders>
            <w:shd w:val="clear" w:color="000000" w:fill="FFFFFF"/>
            <w:noWrap/>
            <w:vAlign w:val="center"/>
            <w:hideMark/>
          </w:tcPr>
          <w:p w14:paraId="709F24D6"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 PASEP e COFINS</w:t>
            </w:r>
          </w:p>
        </w:tc>
        <w:tc>
          <w:tcPr>
            <w:tcW w:w="612" w:type="dxa"/>
            <w:tcBorders>
              <w:top w:val="nil"/>
              <w:left w:val="nil"/>
              <w:bottom w:val="nil"/>
              <w:right w:val="nil"/>
            </w:tcBorders>
            <w:shd w:val="clear" w:color="000000" w:fill="FFFFFF"/>
            <w:vAlign w:val="center"/>
            <w:hideMark/>
          </w:tcPr>
          <w:p w14:paraId="24550DF8" w14:textId="77777777" w:rsidR="003420B0" w:rsidRPr="0048506B" w:rsidRDefault="003420B0" w:rsidP="001D3745">
            <w:pPr>
              <w:spacing w:after="0" w:line="240" w:lineRule="auto"/>
              <w:jc w:val="center"/>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1642" w:type="dxa"/>
            <w:tcBorders>
              <w:top w:val="nil"/>
              <w:left w:val="nil"/>
              <w:bottom w:val="nil"/>
              <w:right w:val="nil"/>
            </w:tcBorders>
            <w:shd w:val="clear" w:color="000000" w:fill="FFFFFF"/>
            <w:vAlign w:val="center"/>
            <w:hideMark/>
          </w:tcPr>
          <w:p w14:paraId="6E05B00B"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(112)</w:t>
            </w:r>
          </w:p>
        </w:tc>
        <w:tc>
          <w:tcPr>
            <w:tcW w:w="211" w:type="dxa"/>
            <w:tcBorders>
              <w:top w:val="nil"/>
              <w:left w:val="nil"/>
              <w:bottom w:val="nil"/>
              <w:right w:val="nil"/>
            </w:tcBorders>
            <w:shd w:val="clear" w:color="auto" w:fill="auto"/>
            <w:noWrap/>
            <w:vAlign w:val="bottom"/>
            <w:hideMark/>
          </w:tcPr>
          <w:p w14:paraId="6B3F84BD"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459" w:type="dxa"/>
            <w:tcBorders>
              <w:top w:val="nil"/>
              <w:left w:val="nil"/>
              <w:bottom w:val="nil"/>
              <w:right w:val="nil"/>
            </w:tcBorders>
            <w:shd w:val="clear" w:color="000000" w:fill="FFFFFF"/>
            <w:vAlign w:val="center"/>
            <w:hideMark/>
          </w:tcPr>
          <w:p w14:paraId="7ED4327A"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(112)</w:t>
            </w:r>
          </w:p>
        </w:tc>
        <w:tc>
          <w:tcPr>
            <w:tcW w:w="211" w:type="dxa"/>
            <w:tcBorders>
              <w:top w:val="nil"/>
              <w:left w:val="nil"/>
              <w:bottom w:val="nil"/>
              <w:right w:val="nil"/>
            </w:tcBorders>
            <w:shd w:val="clear" w:color="auto" w:fill="auto"/>
            <w:noWrap/>
            <w:vAlign w:val="bottom"/>
            <w:hideMark/>
          </w:tcPr>
          <w:p w14:paraId="2DA18136"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602" w:type="dxa"/>
            <w:tcBorders>
              <w:top w:val="nil"/>
              <w:left w:val="nil"/>
              <w:bottom w:val="nil"/>
              <w:right w:val="nil"/>
            </w:tcBorders>
            <w:shd w:val="clear" w:color="000000" w:fill="FFFFFF"/>
            <w:vAlign w:val="center"/>
            <w:hideMark/>
          </w:tcPr>
          <w:p w14:paraId="27E6B715"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(36.127)</w:t>
            </w:r>
          </w:p>
        </w:tc>
        <w:tc>
          <w:tcPr>
            <w:tcW w:w="211" w:type="dxa"/>
            <w:tcBorders>
              <w:top w:val="nil"/>
              <w:left w:val="nil"/>
              <w:bottom w:val="nil"/>
              <w:right w:val="nil"/>
            </w:tcBorders>
            <w:shd w:val="clear" w:color="auto" w:fill="auto"/>
            <w:noWrap/>
            <w:vAlign w:val="bottom"/>
            <w:hideMark/>
          </w:tcPr>
          <w:p w14:paraId="590A5886"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363" w:type="dxa"/>
            <w:tcBorders>
              <w:top w:val="nil"/>
              <w:left w:val="nil"/>
              <w:bottom w:val="nil"/>
              <w:right w:val="nil"/>
            </w:tcBorders>
            <w:shd w:val="clear" w:color="000000" w:fill="FFFFFF"/>
            <w:vAlign w:val="center"/>
            <w:hideMark/>
          </w:tcPr>
          <w:p w14:paraId="7CF2F9D9"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(36.127)</w:t>
            </w:r>
          </w:p>
        </w:tc>
      </w:tr>
      <w:tr w:rsidR="003420B0" w:rsidRPr="0048506B" w14:paraId="5B2F8146" w14:textId="77777777" w:rsidTr="003420B0">
        <w:trPr>
          <w:trHeight w:val="20"/>
        </w:trPr>
        <w:tc>
          <w:tcPr>
            <w:tcW w:w="3544" w:type="dxa"/>
            <w:tcBorders>
              <w:top w:val="nil"/>
              <w:left w:val="nil"/>
              <w:bottom w:val="nil"/>
              <w:right w:val="nil"/>
            </w:tcBorders>
            <w:shd w:val="clear" w:color="000000" w:fill="FFFFFF"/>
            <w:noWrap/>
            <w:vAlign w:val="center"/>
            <w:hideMark/>
          </w:tcPr>
          <w:p w14:paraId="7DED7416" w14:textId="77777777" w:rsidR="003420B0" w:rsidRPr="0048506B" w:rsidRDefault="003420B0" w:rsidP="001D3745">
            <w:pPr>
              <w:spacing w:after="0" w:line="240" w:lineRule="auto"/>
              <w:rPr>
                <w:rFonts w:ascii="Verdana" w:eastAsia="Times New Roman" w:hAnsi="Verdana" w:cs="Calibri"/>
                <w:color w:val="000000"/>
                <w:sz w:val="10"/>
                <w:szCs w:val="10"/>
                <w:lang w:eastAsia="pt-BR"/>
              </w:rPr>
            </w:pPr>
            <w:r w:rsidRPr="0048506B">
              <w:rPr>
                <w:rFonts w:ascii="Verdana" w:eastAsia="Times New Roman" w:hAnsi="Verdana" w:cs="Calibri"/>
                <w:color w:val="000000"/>
                <w:sz w:val="10"/>
                <w:szCs w:val="10"/>
                <w:lang w:eastAsia="pt-BR"/>
              </w:rPr>
              <w:t> </w:t>
            </w:r>
          </w:p>
        </w:tc>
        <w:tc>
          <w:tcPr>
            <w:tcW w:w="612" w:type="dxa"/>
            <w:tcBorders>
              <w:top w:val="nil"/>
              <w:left w:val="nil"/>
              <w:bottom w:val="nil"/>
              <w:right w:val="nil"/>
            </w:tcBorders>
            <w:shd w:val="clear" w:color="000000" w:fill="FFFFFF"/>
            <w:vAlign w:val="center"/>
            <w:hideMark/>
          </w:tcPr>
          <w:p w14:paraId="198B7884" w14:textId="77777777" w:rsidR="003420B0" w:rsidRPr="0048506B" w:rsidRDefault="003420B0" w:rsidP="001D3745">
            <w:pPr>
              <w:spacing w:after="0" w:line="240" w:lineRule="auto"/>
              <w:jc w:val="center"/>
              <w:rPr>
                <w:rFonts w:ascii="Verdana" w:eastAsia="Times New Roman" w:hAnsi="Verdana" w:cs="Calibri"/>
                <w:color w:val="000000"/>
                <w:sz w:val="10"/>
                <w:szCs w:val="10"/>
                <w:lang w:eastAsia="pt-BR"/>
              </w:rPr>
            </w:pPr>
            <w:r w:rsidRPr="0048506B">
              <w:rPr>
                <w:rFonts w:ascii="Verdana" w:eastAsia="Times New Roman" w:hAnsi="Verdana" w:cs="Calibri"/>
                <w:color w:val="000000"/>
                <w:sz w:val="10"/>
                <w:szCs w:val="10"/>
                <w:lang w:eastAsia="pt-BR"/>
              </w:rPr>
              <w:t> </w:t>
            </w:r>
          </w:p>
        </w:tc>
        <w:tc>
          <w:tcPr>
            <w:tcW w:w="1642" w:type="dxa"/>
            <w:tcBorders>
              <w:top w:val="nil"/>
              <w:left w:val="nil"/>
              <w:bottom w:val="single" w:sz="4" w:space="0" w:color="auto"/>
              <w:right w:val="nil"/>
            </w:tcBorders>
            <w:shd w:val="clear" w:color="000000" w:fill="FFFFFF"/>
            <w:vAlign w:val="center"/>
            <w:hideMark/>
          </w:tcPr>
          <w:p w14:paraId="169B11A2" w14:textId="77777777" w:rsidR="003420B0" w:rsidRPr="0048506B" w:rsidRDefault="003420B0" w:rsidP="001D3745">
            <w:pPr>
              <w:spacing w:after="0" w:line="240" w:lineRule="auto"/>
              <w:jc w:val="right"/>
              <w:rPr>
                <w:rFonts w:ascii="Verdana" w:eastAsia="Times New Roman" w:hAnsi="Verdana" w:cs="Calibri"/>
                <w:color w:val="000000"/>
                <w:sz w:val="10"/>
                <w:szCs w:val="10"/>
                <w:lang w:eastAsia="pt-BR"/>
              </w:rPr>
            </w:pPr>
            <w:r w:rsidRPr="0048506B">
              <w:rPr>
                <w:rFonts w:ascii="Verdana" w:eastAsia="Times New Roman" w:hAnsi="Verdana" w:cs="Calibri"/>
                <w:color w:val="000000"/>
                <w:sz w:val="10"/>
                <w:szCs w:val="10"/>
                <w:lang w:eastAsia="pt-BR"/>
              </w:rPr>
              <w:t> </w:t>
            </w:r>
          </w:p>
        </w:tc>
        <w:tc>
          <w:tcPr>
            <w:tcW w:w="211" w:type="dxa"/>
            <w:tcBorders>
              <w:top w:val="nil"/>
              <w:left w:val="nil"/>
              <w:bottom w:val="nil"/>
              <w:right w:val="nil"/>
            </w:tcBorders>
            <w:shd w:val="clear" w:color="auto" w:fill="auto"/>
            <w:noWrap/>
            <w:vAlign w:val="bottom"/>
            <w:hideMark/>
          </w:tcPr>
          <w:p w14:paraId="560037BC" w14:textId="77777777" w:rsidR="003420B0" w:rsidRPr="0048506B" w:rsidRDefault="003420B0" w:rsidP="001D3745">
            <w:pPr>
              <w:spacing w:after="0" w:line="240" w:lineRule="auto"/>
              <w:jc w:val="right"/>
              <w:rPr>
                <w:rFonts w:ascii="Verdana" w:eastAsia="Times New Roman" w:hAnsi="Verdana" w:cs="Calibri"/>
                <w:color w:val="000000"/>
                <w:sz w:val="10"/>
                <w:szCs w:val="10"/>
                <w:lang w:eastAsia="pt-BR"/>
              </w:rPr>
            </w:pPr>
          </w:p>
        </w:tc>
        <w:tc>
          <w:tcPr>
            <w:tcW w:w="1459" w:type="dxa"/>
            <w:tcBorders>
              <w:top w:val="nil"/>
              <w:left w:val="nil"/>
              <w:bottom w:val="single" w:sz="4" w:space="0" w:color="auto"/>
              <w:right w:val="nil"/>
            </w:tcBorders>
            <w:shd w:val="clear" w:color="000000" w:fill="FFFFFF"/>
            <w:vAlign w:val="center"/>
            <w:hideMark/>
          </w:tcPr>
          <w:p w14:paraId="616716DD" w14:textId="77777777" w:rsidR="003420B0" w:rsidRPr="0048506B" w:rsidRDefault="003420B0" w:rsidP="001D3745">
            <w:pPr>
              <w:spacing w:after="0" w:line="240" w:lineRule="auto"/>
              <w:jc w:val="right"/>
              <w:rPr>
                <w:rFonts w:ascii="Verdana" w:eastAsia="Times New Roman" w:hAnsi="Verdana" w:cs="Calibri"/>
                <w:color w:val="000000"/>
                <w:sz w:val="10"/>
                <w:szCs w:val="10"/>
                <w:lang w:eastAsia="pt-BR"/>
              </w:rPr>
            </w:pPr>
            <w:r w:rsidRPr="0048506B">
              <w:rPr>
                <w:rFonts w:ascii="Verdana" w:eastAsia="Times New Roman" w:hAnsi="Verdana" w:cs="Calibri"/>
                <w:color w:val="000000"/>
                <w:sz w:val="10"/>
                <w:szCs w:val="10"/>
                <w:lang w:eastAsia="pt-BR"/>
              </w:rPr>
              <w:t> </w:t>
            </w:r>
          </w:p>
        </w:tc>
        <w:tc>
          <w:tcPr>
            <w:tcW w:w="211" w:type="dxa"/>
            <w:tcBorders>
              <w:top w:val="nil"/>
              <w:left w:val="nil"/>
              <w:bottom w:val="nil"/>
              <w:right w:val="nil"/>
            </w:tcBorders>
            <w:shd w:val="clear" w:color="auto" w:fill="auto"/>
            <w:noWrap/>
            <w:vAlign w:val="bottom"/>
            <w:hideMark/>
          </w:tcPr>
          <w:p w14:paraId="4AE507E2" w14:textId="77777777" w:rsidR="003420B0" w:rsidRPr="0048506B" w:rsidRDefault="003420B0" w:rsidP="001D3745">
            <w:pPr>
              <w:spacing w:after="0" w:line="240" w:lineRule="auto"/>
              <w:jc w:val="right"/>
              <w:rPr>
                <w:rFonts w:ascii="Verdana" w:eastAsia="Times New Roman" w:hAnsi="Verdana" w:cs="Calibri"/>
                <w:color w:val="000000"/>
                <w:sz w:val="10"/>
                <w:szCs w:val="10"/>
                <w:lang w:eastAsia="pt-BR"/>
              </w:rPr>
            </w:pPr>
          </w:p>
        </w:tc>
        <w:tc>
          <w:tcPr>
            <w:tcW w:w="1602" w:type="dxa"/>
            <w:tcBorders>
              <w:top w:val="nil"/>
              <w:left w:val="nil"/>
              <w:bottom w:val="nil"/>
              <w:right w:val="nil"/>
            </w:tcBorders>
            <w:shd w:val="clear" w:color="000000" w:fill="FFFFFF"/>
            <w:noWrap/>
            <w:vAlign w:val="center"/>
            <w:hideMark/>
          </w:tcPr>
          <w:p w14:paraId="4F6C3CA5" w14:textId="77777777" w:rsidR="003420B0" w:rsidRPr="0048506B" w:rsidRDefault="003420B0" w:rsidP="001D3745">
            <w:pPr>
              <w:spacing w:after="0" w:line="240" w:lineRule="auto"/>
              <w:jc w:val="right"/>
              <w:rPr>
                <w:rFonts w:ascii="Verdana" w:eastAsia="Times New Roman" w:hAnsi="Verdana" w:cs="Calibri"/>
                <w:color w:val="000000"/>
                <w:sz w:val="10"/>
                <w:szCs w:val="10"/>
                <w:lang w:eastAsia="pt-BR"/>
              </w:rPr>
            </w:pPr>
            <w:r w:rsidRPr="0048506B">
              <w:rPr>
                <w:rFonts w:ascii="Verdana" w:eastAsia="Times New Roman" w:hAnsi="Verdana" w:cs="Calibri"/>
                <w:color w:val="000000"/>
                <w:sz w:val="10"/>
                <w:szCs w:val="10"/>
                <w:lang w:eastAsia="pt-BR"/>
              </w:rPr>
              <w:t> </w:t>
            </w:r>
          </w:p>
        </w:tc>
        <w:tc>
          <w:tcPr>
            <w:tcW w:w="211" w:type="dxa"/>
            <w:tcBorders>
              <w:top w:val="nil"/>
              <w:left w:val="nil"/>
              <w:bottom w:val="nil"/>
              <w:right w:val="nil"/>
            </w:tcBorders>
            <w:shd w:val="clear" w:color="auto" w:fill="auto"/>
            <w:noWrap/>
            <w:vAlign w:val="bottom"/>
            <w:hideMark/>
          </w:tcPr>
          <w:p w14:paraId="065F7417" w14:textId="77777777" w:rsidR="003420B0" w:rsidRPr="0048506B" w:rsidRDefault="003420B0" w:rsidP="001D3745">
            <w:pPr>
              <w:spacing w:after="0" w:line="240" w:lineRule="auto"/>
              <w:jc w:val="right"/>
              <w:rPr>
                <w:rFonts w:ascii="Verdana" w:eastAsia="Times New Roman" w:hAnsi="Verdana" w:cs="Calibri"/>
                <w:color w:val="000000"/>
                <w:sz w:val="10"/>
                <w:szCs w:val="10"/>
                <w:lang w:eastAsia="pt-BR"/>
              </w:rPr>
            </w:pPr>
          </w:p>
        </w:tc>
        <w:tc>
          <w:tcPr>
            <w:tcW w:w="1363" w:type="dxa"/>
            <w:tcBorders>
              <w:top w:val="nil"/>
              <w:left w:val="nil"/>
              <w:bottom w:val="nil"/>
              <w:right w:val="nil"/>
            </w:tcBorders>
            <w:shd w:val="clear" w:color="000000" w:fill="FFFFFF"/>
            <w:noWrap/>
            <w:vAlign w:val="center"/>
            <w:hideMark/>
          </w:tcPr>
          <w:p w14:paraId="16F54A49" w14:textId="77777777" w:rsidR="003420B0" w:rsidRPr="0048506B" w:rsidRDefault="003420B0" w:rsidP="001D3745">
            <w:pPr>
              <w:spacing w:after="0" w:line="240" w:lineRule="auto"/>
              <w:jc w:val="right"/>
              <w:rPr>
                <w:rFonts w:ascii="Verdana" w:eastAsia="Times New Roman" w:hAnsi="Verdana" w:cs="Calibri"/>
                <w:color w:val="000000"/>
                <w:sz w:val="10"/>
                <w:szCs w:val="10"/>
                <w:lang w:eastAsia="pt-BR"/>
              </w:rPr>
            </w:pPr>
            <w:r w:rsidRPr="0048506B">
              <w:rPr>
                <w:rFonts w:ascii="Verdana" w:eastAsia="Times New Roman" w:hAnsi="Verdana" w:cs="Calibri"/>
                <w:color w:val="000000"/>
                <w:sz w:val="10"/>
                <w:szCs w:val="10"/>
                <w:lang w:eastAsia="pt-BR"/>
              </w:rPr>
              <w:t> </w:t>
            </w:r>
          </w:p>
        </w:tc>
      </w:tr>
      <w:tr w:rsidR="003420B0" w:rsidRPr="0048506B" w14:paraId="1217660B" w14:textId="77777777" w:rsidTr="003420B0">
        <w:trPr>
          <w:trHeight w:val="20"/>
        </w:trPr>
        <w:tc>
          <w:tcPr>
            <w:tcW w:w="3544" w:type="dxa"/>
            <w:tcBorders>
              <w:top w:val="nil"/>
              <w:left w:val="nil"/>
              <w:bottom w:val="nil"/>
              <w:right w:val="nil"/>
            </w:tcBorders>
            <w:shd w:val="clear" w:color="000000" w:fill="FFFFFF"/>
            <w:noWrap/>
            <w:vAlign w:val="center"/>
            <w:hideMark/>
          </w:tcPr>
          <w:p w14:paraId="487F4175" w14:textId="77777777" w:rsidR="003420B0" w:rsidRPr="0048506B" w:rsidRDefault="003420B0" w:rsidP="001D3745">
            <w:pPr>
              <w:spacing w:after="0" w:line="240" w:lineRule="auto"/>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Receita Operacional Líquida</w:t>
            </w:r>
          </w:p>
        </w:tc>
        <w:tc>
          <w:tcPr>
            <w:tcW w:w="612" w:type="dxa"/>
            <w:tcBorders>
              <w:top w:val="nil"/>
              <w:left w:val="nil"/>
              <w:bottom w:val="nil"/>
              <w:right w:val="nil"/>
            </w:tcBorders>
            <w:shd w:val="clear" w:color="000000" w:fill="FFFFFF"/>
            <w:vAlign w:val="center"/>
            <w:hideMark/>
          </w:tcPr>
          <w:p w14:paraId="54FEF5FA" w14:textId="77777777" w:rsidR="003420B0" w:rsidRPr="0048506B" w:rsidRDefault="003420B0" w:rsidP="001D3745">
            <w:pPr>
              <w:spacing w:after="0" w:line="240" w:lineRule="auto"/>
              <w:jc w:val="center"/>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w:t>
            </w:r>
          </w:p>
        </w:tc>
        <w:tc>
          <w:tcPr>
            <w:tcW w:w="1642" w:type="dxa"/>
            <w:tcBorders>
              <w:top w:val="single" w:sz="8" w:space="0" w:color="auto"/>
              <w:left w:val="nil"/>
              <w:bottom w:val="nil"/>
              <w:right w:val="nil"/>
            </w:tcBorders>
            <w:shd w:val="clear" w:color="000000" w:fill="FFFFFF"/>
            <w:noWrap/>
            <w:vAlign w:val="center"/>
            <w:hideMark/>
          </w:tcPr>
          <w:p w14:paraId="542F54CE"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1.093</w:t>
            </w:r>
          </w:p>
        </w:tc>
        <w:tc>
          <w:tcPr>
            <w:tcW w:w="211" w:type="dxa"/>
            <w:tcBorders>
              <w:top w:val="nil"/>
              <w:left w:val="nil"/>
              <w:bottom w:val="nil"/>
              <w:right w:val="nil"/>
            </w:tcBorders>
            <w:shd w:val="clear" w:color="auto" w:fill="auto"/>
            <w:noWrap/>
            <w:vAlign w:val="bottom"/>
            <w:hideMark/>
          </w:tcPr>
          <w:p w14:paraId="36D54CA3"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p>
        </w:tc>
        <w:tc>
          <w:tcPr>
            <w:tcW w:w="1459" w:type="dxa"/>
            <w:tcBorders>
              <w:top w:val="single" w:sz="8" w:space="0" w:color="auto"/>
              <w:left w:val="nil"/>
              <w:bottom w:val="nil"/>
              <w:right w:val="nil"/>
            </w:tcBorders>
            <w:shd w:val="clear" w:color="000000" w:fill="FFFFFF"/>
            <w:noWrap/>
            <w:vAlign w:val="center"/>
            <w:hideMark/>
          </w:tcPr>
          <w:p w14:paraId="2FE9CEF9"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1.093</w:t>
            </w:r>
          </w:p>
        </w:tc>
        <w:tc>
          <w:tcPr>
            <w:tcW w:w="211" w:type="dxa"/>
            <w:tcBorders>
              <w:top w:val="nil"/>
              <w:left w:val="nil"/>
              <w:bottom w:val="nil"/>
              <w:right w:val="nil"/>
            </w:tcBorders>
            <w:shd w:val="clear" w:color="auto" w:fill="auto"/>
            <w:noWrap/>
            <w:vAlign w:val="bottom"/>
            <w:hideMark/>
          </w:tcPr>
          <w:p w14:paraId="37B6046B"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p>
        </w:tc>
        <w:tc>
          <w:tcPr>
            <w:tcW w:w="1602" w:type="dxa"/>
            <w:tcBorders>
              <w:top w:val="single" w:sz="8" w:space="0" w:color="auto"/>
              <w:left w:val="nil"/>
              <w:bottom w:val="nil"/>
              <w:right w:val="nil"/>
            </w:tcBorders>
            <w:shd w:val="clear" w:color="000000" w:fill="FFFFFF"/>
            <w:noWrap/>
            <w:vAlign w:val="center"/>
            <w:hideMark/>
          </w:tcPr>
          <w:p w14:paraId="5CD44E2B"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342.783</w:t>
            </w:r>
          </w:p>
        </w:tc>
        <w:tc>
          <w:tcPr>
            <w:tcW w:w="211" w:type="dxa"/>
            <w:tcBorders>
              <w:top w:val="nil"/>
              <w:left w:val="nil"/>
              <w:bottom w:val="nil"/>
              <w:right w:val="nil"/>
            </w:tcBorders>
            <w:shd w:val="clear" w:color="auto" w:fill="auto"/>
            <w:noWrap/>
            <w:vAlign w:val="bottom"/>
            <w:hideMark/>
          </w:tcPr>
          <w:p w14:paraId="57C7A488"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p>
        </w:tc>
        <w:tc>
          <w:tcPr>
            <w:tcW w:w="1363" w:type="dxa"/>
            <w:tcBorders>
              <w:top w:val="single" w:sz="8" w:space="0" w:color="auto"/>
              <w:left w:val="nil"/>
              <w:bottom w:val="nil"/>
              <w:right w:val="nil"/>
            </w:tcBorders>
            <w:shd w:val="clear" w:color="000000" w:fill="FFFFFF"/>
            <w:noWrap/>
            <w:vAlign w:val="center"/>
            <w:hideMark/>
          </w:tcPr>
          <w:p w14:paraId="20FFD83D"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342.783</w:t>
            </w:r>
          </w:p>
        </w:tc>
      </w:tr>
      <w:tr w:rsidR="003420B0" w:rsidRPr="0048506B" w14:paraId="7F8BA286" w14:textId="77777777" w:rsidTr="003420B0">
        <w:trPr>
          <w:trHeight w:val="20"/>
        </w:trPr>
        <w:tc>
          <w:tcPr>
            <w:tcW w:w="3544" w:type="dxa"/>
            <w:tcBorders>
              <w:top w:val="nil"/>
              <w:left w:val="nil"/>
              <w:bottom w:val="nil"/>
              <w:right w:val="nil"/>
            </w:tcBorders>
            <w:shd w:val="clear" w:color="000000" w:fill="FFFFFF"/>
            <w:noWrap/>
            <w:vAlign w:val="center"/>
            <w:hideMark/>
          </w:tcPr>
          <w:p w14:paraId="26B26B38" w14:textId="77777777" w:rsidR="003420B0" w:rsidRPr="0048506B" w:rsidRDefault="003420B0" w:rsidP="001D3745">
            <w:pPr>
              <w:spacing w:after="0" w:line="240" w:lineRule="auto"/>
              <w:rPr>
                <w:rFonts w:ascii="Verdana" w:eastAsia="Times New Roman" w:hAnsi="Verdana" w:cs="Calibri"/>
                <w:color w:val="000000"/>
                <w:sz w:val="10"/>
                <w:szCs w:val="10"/>
                <w:lang w:eastAsia="pt-BR"/>
              </w:rPr>
            </w:pPr>
            <w:r w:rsidRPr="0048506B">
              <w:rPr>
                <w:rFonts w:ascii="Verdana" w:eastAsia="Times New Roman" w:hAnsi="Verdana" w:cs="Calibri"/>
                <w:color w:val="000000"/>
                <w:sz w:val="10"/>
                <w:szCs w:val="10"/>
                <w:lang w:eastAsia="pt-BR"/>
              </w:rPr>
              <w:t> </w:t>
            </w:r>
          </w:p>
        </w:tc>
        <w:tc>
          <w:tcPr>
            <w:tcW w:w="612" w:type="dxa"/>
            <w:tcBorders>
              <w:top w:val="nil"/>
              <w:left w:val="nil"/>
              <w:bottom w:val="nil"/>
              <w:right w:val="nil"/>
            </w:tcBorders>
            <w:shd w:val="clear" w:color="auto" w:fill="auto"/>
            <w:vAlign w:val="center"/>
            <w:hideMark/>
          </w:tcPr>
          <w:p w14:paraId="25C8182A" w14:textId="77777777" w:rsidR="003420B0" w:rsidRPr="0048506B" w:rsidRDefault="003420B0" w:rsidP="001D3745">
            <w:pPr>
              <w:spacing w:after="0" w:line="240" w:lineRule="auto"/>
              <w:rPr>
                <w:rFonts w:ascii="Verdana" w:eastAsia="Times New Roman" w:hAnsi="Verdana" w:cs="Calibri"/>
                <w:color w:val="000000"/>
                <w:sz w:val="10"/>
                <w:szCs w:val="10"/>
                <w:lang w:eastAsia="pt-BR"/>
              </w:rPr>
            </w:pPr>
          </w:p>
        </w:tc>
        <w:tc>
          <w:tcPr>
            <w:tcW w:w="1642" w:type="dxa"/>
            <w:tcBorders>
              <w:top w:val="nil"/>
              <w:left w:val="nil"/>
              <w:bottom w:val="nil"/>
              <w:right w:val="nil"/>
            </w:tcBorders>
            <w:shd w:val="clear" w:color="auto" w:fill="auto"/>
            <w:noWrap/>
            <w:vAlign w:val="bottom"/>
            <w:hideMark/>
          </w:tcPr>
          <w:p w14:paraId="0853CE6A" w14:textId="77777777" w:rsidR="003420B0" w:rsidRPr="0048506B" w:rsidRDefault="003420B0" w:rsidP="001D3745">
            <w:pPr>
              <w:spacing w:after="0" w:line="240" w:lineRule="auto"/>
              <w:jc w:val="center"/>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1222731B"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459" w:type="dxa"/>
            <w:tcBorders>
              <w:top w:val="nil"/>
              <w:left w:val="nil"/>
              <w:bottom w:val="nil"/>
              <w:right w:val="nil"/>
            </w:tcBorders>
            <w:shd w:val="clear" w:color="auto" w:fill="auto"/>
            <w:noWrap/>
            <w:vAlign w:val="bottom"/>
            <w:hideMark/>
          </w:tcPr>
          <w:p w14:paraId="4EA687EF"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65B9AD58"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602" w:type="dxa"/>
            <w:tcBorders>
              <w:top w:val="nil"/>
              <w:left w:val="nil"/>
              <w:bottom w:val="nil"/>
              <w:right w:val="nil"/>
            </w:tcBorders>
            <w:shd w:val="clear" w:color="000000" w:fill="FFFFFF"/>
            <w:noWrap/>
            <w:vAlign w:val="center"/>
            <w:hideMark/>
          </w:tcPr>
          <w:p w14:paraId="1F3BFACA" w14:textId="77777777" w:rsidR="003420B0" w:rsidRPr="0048506B" w:rsidRDefault="003420B0" w:rsidP="001D3745">
            <w:pPr>
              <w:spacing w:after="0" w:line="240" w:lineRule="auto"/>
              <w:jc w:val="right"/>
              <w:rPr>
                <w:rFonts w:ascii="Verdana" w:eastAsia="Times New Roman" w:hAnsi="Verdana" w:cs="Calibri"/>
                <w:color w:val="000000"/>
                <w:sz w:val="10"/>
                <w:szCs w:val="10"/>
                <w:lang w:eastAsia="pt-BR"/>
              </w:rPr>
            </w:pPr>
            <w:r w:rsidRPr="0048506B">
              <w:rPr>
                <w:rFonts w:ascii="Verdana" w:eastAsia="Times New Roman" w:hAnsi="Verdana" w:cs="Calibri"/>
                <w:color w:val="000000"/>
                <w:sz w:val="10"/>
                <w:szCs w:val="10"/>
                <w:lang w:eastAsia="pt-BR"/>
              </w:rPr>
              <w:t> </w:t>
            </w:r>
          </w:p>
        </w:tc>
        <w:tc>
          <w:tcPr>
            <w:tcW w:w="211" w:type="dxa"/>
            <w:tcBorders>
              <w:top w:val="nil"/>
              <w:left w:val="nil"/>
              <w:bottom w:val="nil"/>
              <w:right w:val="nil"/>
            </w:tcBorders>
            <w:shd w:val="clear" w:color="auto" w:fill="auto"/>
            <w:noWrap/>
            <w:vAlign w:val="bottom"/>
            <w:hideMark/>
          </w:tcPr>
          <w:p w14:paraId="5B10C77C" w14:textId="77777777" w:rsidR="003420B0" w:rsidRPr="0048506B" w:rsidRDefault="003420B0" w:rsidP="001D3745">
            <w:pPr>
              <w:spacing w:after="0" w:line="240" w:lineRule="auto"/>
              <w:jc w:val="right"/>
              <w:rPr>
                <w:rFonts w:ascii="Verdana" w:eastAsia="Times New Roman" w:hAnsi="Verdana" w:cs="Calibri"/>
                <w:color w:val="000000"/>
                <w:sz w:val="10"/>
                <w:szCs w:val="10"/>
                <w:lang w:eastAsia="pt-BR"/>
              </w:rPr>
            </w:pPr>
          </w:p>
        </w:tc>
        <w:tc>
          <w:tcPr>
            <w:tcW w:w="1363" w:type="dxa"/>
            <w:tcBorders>
              <w:top w:val="nil"/>
              <w:left w:val="nil"/>
              <w:bottom w:val="nil"/>
              <w:right w:val="nil"/>
            </w:tcBorders>
            <w:shd w:val="clear" w:color="000000" w:fill="FFFFFF"/>
            <w:noWrap/>
            <w:vAlign w:val="center"/>
            <w:hideMark/>
          </w:tcPr>
          <w:p w14:paraId="2DC1D16A" w14:textId="77777777" w:rsidR="003420B0" w:rsidRPr="0048506B" w:rsidRDefault="003420B0" w:rsidP="001D3745">
            <w:pPr>
              <w:spacing w:after="0" w:line="240" w:lineRule="auto"/>
              <w:jc w:val="right"/>
              <w:rPr>
                <w:rFonts w:ascii="Verdana" w:eastAsia="Times New Roman" w:hAnsi="Verdana" w:cs="Calibri"/>
                <w:color w:val="000000"/>
                <w:sz w:val="10"/>
                <w:szCs w:val="10"/>
                <w:lang w:eastAsia="pt-BR"/>
              </w:rPr>
            </w:pPr>
            <w:r w:rsidRPr="0048506B">
              <w:rPr>
                <w:rFonts w:ascii="Verdana" w:eastAsia="Times New Roman" w:hAnsi="Verdana" w:cs="Calibri"/>
                <w:color w:val="000000"/>
                <w:sz w:val="10"/>
                <w:szCs w:val="10"/>
                <w:lang w:eastAsia="pt-BR"/>
              </w:rPr>
              <w:t> </w:t>
            </w:r>
          </w:p>
        </w:tc>
      </w:tr>
      <w:tr w:rsidR="003420B0" w:rsidRPr="0048506B" w14:paraId="0D154E19" w14:textId="77777777" w:rsidTr="003420B0">
        <w:trPr>
          <w:trHeight w:val="20"/>
        </w:trPr>
        <w:tc>
          <w:tcPr>
            <w:tcW w:w="3544" w:type="dxa"/>
            <w:tcBorders>
              <w:top w:val="nil"/>
              <w:left w:val="nil"/>
              <w:bottom w:val="nil"/>
              <w:right w:val="nil"/>
            </w:tcBorders>
            <w:shd w:val="clear" w:color="000000" w:fill="FFFFFF"/>
            <w:noWrap/>
            <w:vAlign w:val="center"/>
            <w:hideMark/>
          </w:tcPr>
          <w:p w14:paraId="2AE6F8C6" w14:textId="77777777" w:rsidR="003420B0" w:rsidRPr="0048506B" w:rsidRDefault="003420B0" w:rsidP="001D3745">
            <w:pPr>
              <w:spacing w:after="0" w:line="240" w:lineRule="auto"/>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CUSTOS OPERACIONAIS</w:t>
            </w:r>
          </w:p>
        </w:tc>
        <w:tc>
          <w:tcPr>
            <w:tcW w:w="612" w:type="dxa"/>
            <w:tcBorders>
              <w:top w:val="nil"/>
              <w:left w:val="nil"/>
              <w:bottom w:val="nil"/>
              <w:right w:val="nil"/>
            </w:tcBorders>
            <w:shd w:val="clear" w:color="auto" w:fill="auto"/>
            <w:vAlign w:val="center"/>
            <w:hideMark/>
          </w:tcPr>
          <w:p w14:paraId="79E294C6" w14:textId="77777777" w:rsidR="003420B0" w:rsidRPr="0048506B" w:rsidRDefault="003420B0" w:rsidP="001D3745">
            <w:pPr>
              <w:spacing w:after="0" w:line="240" w:lineRule="auto"/>
              <w:jc w:val="center"/>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24</w:t>
            </w:r>
          </w:p>
        </w:tc>
        <w:tc>
          <w:tcPr>
            <w:tcW w:w="1642" w:type="dxa"/>
            <w:tcBorders>
              <w:top w:val="nil"/>
              <w:left w:val="nil"/>
              <w:bottom w:val="nil"/>
              <w:right w:val="nil"/>
            </w:tcBorders>
            <w:shd w:val="clear" w:color="auto" w:fill="auto"/>
            <w:noWrap/>
            <w:vAlign w:val="bottom"/>
            <w:hideMark/>
          </w:tcPr>
          <w:p w14:paraId="04726FC3" w14:textId="77777777" w:rsidR="003420B0" w:rsidRPr="0048506B" w:rsidRDefault="003420B0" w:rsidP="001D3745">
            <w:pPr>
              <w:spacing w:after="0" w:line="240" w:lineRule="auto"/>
              <w:jc w:val="center"/>
              <w:rPr>
                <w:rFonts w:ascii="Verdana" w:eastAsia="Times New Roman" w:hAnsi="Verdana" w:cs="Calibri"/>
                <w:b/>
                <w:bCs/>
                <w:color w:val="000000"/>
                <w:sz w:val="16"/>
                <w:szCs w:val="16"/>
                <w:lang w:eastAsia="pt-BR"/>
              </w:rPr>
            </w:pPr>
          </w:p>
        </w:tc>
        <w:tc>
          <w:tcPr>
            <w:tcW w:w="211" w:type="dxa"/>
            <w:tcBorders>
              <w:top w:val="nil"/>
              <w:left w:val="nil"/>
              <w:bottom w:val="nil"/>
              <w:right w:val="nil"/>
            </w:tcBorders>
            <w:shd w:val="clear" w:color="auto" w:fill="auto"/>
            <w:noWrap/>
            <w:vAlign w:val="bottom"/>
            <w:hideMark/>
          </w:tcPr>
          <w:p w14:paraId="35363AD2"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459" w:type="dxa"/>
            <w:tcBorders>
              <w:top w:val="nil"/>
              <w:left w:val="nil"/>
              <w:bottom w:val="nil"/>
              <w:right w:val="nil"/>
            </w:tcBorders>
            <w:shd w:val="clear" w:color="auto" w:fill="auto"/>
            <w:noWrap/>
            <w:vAlign w:val="bottom"/>
            <w:hideMark/>
          </w:tcPr>
          <w:p w14:paraId="7C7B5FDB"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24193F09"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602" w:type="dxa"/>
            <w:tcBorders>
              <w:top w:val="nil"/>
              <w:left w:val="nil"/>
              <w:bottom w:val="nil"/>
              <w:right w:val="nil"/>
            </w:tcBorders>
            <w:shd w:val="clear" w:color="000000" w:fill="FFFFFF"/>
            <w:noWrap/>
            <w:vAlign w:val="center"/>
            <w:hideMark/>
          </w:tcPr>
          <w:p w14:paraId="7793F417"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211" w:type="dxa"/>
            <w:tcBorders>
              <w:top w:val="nil"/>
              <w:left w:val="nil"/>
              <w:bottom w:val="nil"/>
              <w:right w:val="nil"/>
            </w:tcBorders>
            <w:shd w:val="clear" w:color="auto" w:fill="auto"/>
            <w:noWrap/>
            <w:vAlign w:val="bottom"/>
            <w:hideMark/>
          </w:tcPr>
          <w:p w14:paraId="0207FC90"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363" w:type="dxa"/>
            <w:tcBorders>
              <w:top w:val="nil"/>
              <w:left w:val="nil"/>
              <w:bottom w:val="nil"/>
              <w:right w:val="nil"/>
            </w:tcBorders>
            <w:shd w:val="clear" w:color="000000" w:fill="FFFFFF"/>
            <w:noWrap/>
            <w:vAlign w:val="center"/>
            <w:hideMark/>
          </w:tcPr>
          <w:p w14:paraId="0770CA80"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r>
      <w:tr w:rsidR="00CB4B64" w:rsidRPr="0048506B" w14:paraId="355B6EAE" w14:textId="77777777" w:rsidTr="003420B0">
        <w:trPr>
          <w:trHeight w:val="20"/>
        </w:trPr>
        <w:tc>
          <w:tcPr>
            <w:tcW w:w="3544" w:type="dxa"/>
            <w:tcBorders>
              <w:top w:val="nil"/>
              <w:left w:val="nil"/>
              <w:bottom w:val="nil"/>
              <w:right w:val="nil"/>
            </w:tcBorders>
            <w:shd w:val="clear" w:color="000000" w:fill="FFFFFF"/>
            <w:noWrap/>
            <w:vAlign w:val="center"/>
            <w:hideMark/>
          </w:tcPr>
          <w:p w14:paraId="0561C508" w14:textId="77777777" w:rsidR="00CB4B64" w:rsidRPr="0048506B" w:rsidRDefault="00CB4B64" w:rsidP="00CB4B64">
            <w:pPr>
              <w:spacing w:after="0" w:line="240" w:lineRule="auto"/>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Encargos sobre uso da rede elétrica</w:t>
            </w:r>
          </w:p>
        </w:tc>
        <w:tc>
          <w:tcPr>
            <w:tcW w:w="612" w:type="dxa"/>
            <w:tcBorders>
              <w:top w:val="nil"/>
              <w:left w:val="nil"/>
              <w:bottom w:val="nil"/>
              <w:right w:val="nil"/>
            </w:tcBorders>
            <w:shd w:val="clear" w:color="auto" w:fill="auto"/>
            <w:vAlign w:val="center"/>
            <w:hideMark/>
          </w:tcPr>
          <w:p w14:paraId="12D071B8" w14:textId="77777777" w:rsidR="00CB4B64" w:rsidRPr="0048506B" w:rsidRDefault="00CB4B64" w:rsidP="00CB4B64">
            <w:pPr>
              <w:spacing w:after="0" w:line="240" w:lineRule="auto"/>
              <w:rPr>
                <w:rFonts w:ascii="Verdana" w:eastAsia="Times New Roman" w:hAnsi="Verdana" w:cs="Calibri"/>
                <w:color w:val="000000"/>
                <w:sz w:val="16"/>
                <w:szCs w:val="16"/>
                <w:lang w:eastAsia="pt-BR"/>
              </w:rPr>
            </w:pPr>
          </w:p>
        </w:tc>
        <w:tc>
          <w:tcPr>
            <w:tcW w:w="1642" w:type="dxa"/>
            <w:tcBorders>
              <w:top w:val="nil"/>
              <w:left w:val="nil"/>
              <w:bottom w:val="nil"/>
              <w:right w:val="nil"/>
            </w:tcBorders>
            <w:shd w:val="clear" w:color="auto" w:fill="auto"/>
            <w:noWrap/>
            <w:vAlign w:val="center"/>
            <w:hideMark/>
          </w:tcPr>
          <w:p w14:paraId="61A75A0D" w14:textId="6D16B50E" w:rsidR="00CB4B64" w:rsidRPr="0048506B" w:rsidRDefault="00CB4B64" w:rsidP="00CB4B64">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 </w:t>
            </w:r>
          </w:p>
        </w:tc>
        <w:tc>
          <w:tcPr>
            <w:tcW w:w="211" w:type="dxa"/>
            <w:tcBorders>
              <w:top w:val="nil"/>
              <w:left w:val="nil"/>
              <w:bottom w:val="nil"/>
              <w:right w:val="nil"/>
            </w:tcBorders>
            <w:shd w:val="clear" w:color="auto" w:fill="auto"/>
            <w:noWrap/>
            <w:vAlign w:val="bottom"/>
            <w:hideMark/>
          </w:tcPr>
          <w:p w14:paraId="6C369AD8" w14:textId="77777777" w:rsidR="00CB4B64" w:rsidRPr="0048506B" w:rsidRDefault="00CB4B64" w:rsidP="00CB4B64">
            <w:pPr>
              <w:spacing w:after="0" w:line="240" w:lineRule="auto"/>
              <w:jc w:val="right"/>
              <w:rPr>
                <w:rFonts w:ascii="Verdana" w:eastAsia="Times New Roman" w:hAnsi="Verdana" w:cs="Calibri"/>
                <w:color w:val="000000"/>
                <w:sz w:val="16"/>
                <w:szCs w:val="16"/>
                <w:lang w:eastAsia="pt-BR"/>
              </w:rPr>
            </w:pPr>
          </w:p>
        </w:tc>
        <w:tc>
          <w:tcPr>
            <w:tcW w:w="1459" w:type="dxa"/>
            <w:tcBorders>
              <w:top w:val="nil"/>
              <w:left w:val="nil"/>
              <w:bottom w:val="nil"/>
              <w:right w:val="nil"/>
            </w:tcBorders>
            <w:shd w:val="clear" w:color="auto" w:fill="auto"/>
            <w:noWrap/>
            <w:vAlign w:val="center"/>
            <w:hideMark/>
          </w:tcPr>
          <w:p w14:paraId="05DF4B35" w14:textId="1E836B76" w:rsidR="00CB4B64" w:rsidRPr="0048506B" w:rsidRDefault="00CB4B64" w:rsidP="00CB4B64">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 </w:t>
            </w:r>
          </w:p>
        </w:tc>
        <w:tc>
          <w:tcPr>
            <w:tcW w:w="211" w:type="dxa"/>
            <w:tcBorders>
              <w:top w:val="nil"/>
              <w:left w:val="nil"/>
              <w:bottom w:val="nil"/>
              <w:right w:val="nil"/>
            </w:tcBorders>
            <w:shd w:val="clear" w:color="auto" w:fill="auto"/>
            <w:noWrap/>
            <w:vAlign w:val="bottom"/>
            <w:hideMark/>
          </w:tcPr>
          <w:p w14:paraId="6254D1BF" w14:textId="77777777" w:rsidR="00CB4B64" w:rsidRPr="0048506B" w:rsidRDefault="00CB4B64" w:rsidP="00CB4B64">
            <w:pPr>
              <w:spacing w:after="0" w:line="240" w:lineRule="auto"/>
              <w:jc w:val="right"/>
              <w:rPr>
                <w:rFonts w:ascii="Verdana" w:eastAsia="Times New Roman" w:hAnsi="Verdana" w:cs="Calibri"/>
                <w:color w:val="000000"/>
                <w:sz w:val="16"/>
                <w:szCs w:val="16"/>
                <w:lang w:eastAsia="pt-BR"/>
              </w:rPr>
            </w:pPr>
          </w:p>
        </w:tc>
        <w:tc>
          <w:tcPr>
            <w:tcW w:w="1602" w:type="dxa"/>
            <w:tcBorders>
              <w:top w:val="nil"/>
              <w:left w:val="nil"/>
              <w:bottom w:val="nil"/>
              <w:right w:val="nil"/>
            </w:tcBorders>
            <w:shd w:val="clear" w:color="000000" w:fill="FFFFFF"/>
            <w:vAlign w:val="center"/>
            <w:hideMark/>
          </w:tcPr>
          <w:p w14:paraId="6AFF6DA4" w14:textId="77777777" w:rsidR="00CB4B64" w:rsidRPr="0048506B" w:rsidRDefault="00CB4B64" w:rsidP="00CB4B64">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(16.530)</w:t>
            </w:r>
          </w:p>
        </w:tc>
        <w:tc>
          <w:tcPr>
            <w:tcW w:w="211" w:type="dxa"/>
            <w:tcBorders>
              <w:top w:val="nil"/>
              <w:left w:val="nil"/>
              <w:bottom w:val="nil"/>
              <w:right w:val="nil"/>
            </w:tcBorders>
            <w:shd w:val="clear" w:color="auto" w:fill="auto"/>
            <w:noWrap/>
            <w:vAlign w:val="bottom"/>
            <w:hideMark/>
          </w:tcPr>
          <w:p w14:paraId="641E23F0" w14:textId="77777777" w:rsidR="00CB4B64" w:rsidRPr="0048506B" w:rsidRDefault="00CB4B64" w:rsidP="00CB4B64">
            <w:pPr>
              <w:spacing w:after="0" w:line="240" w:lineRule="auto"/>
              <w:jc w:val="right"/>
              <w:rPr>
                <w:rFonts w:ascii="Verdana" w:eastAsia="Times New Roman" w:hAnsi="Verdana" w:cs="Calibri"/>
                <w:color w:val="000000"/>
                <w:sz w:val="16"/>
                <w:szCs w:val="16"/>
                <w:lang w:eastAsia="pt-BR"/>
              </w:rPr>
            </w:pPr>
          </w:p>
        </w:tc>
        <w:tc>
          <w:tcPr>
            <w:tcW w:w="1363" w:type="dxa"/>
            <w:tcBorders>
              <w:top w:val="nil"/>
              <w:left w:val="nil"/>
              <w:bottom w:val="nil"/>
              <w:right w:val="nil"/>
            </w:tcBorders>
            <w:shd w:val="clear" w:color="000000" w:fill="FFFFFF"/>
            <w:vAlign w:val="center"/>
            <w:hideMark/>
          </w:tcPr>
          <w:p w14:paraId="735595A9" w14:textId="77777777" w:rsidR="00CB4B64" w:rsidRPr="0048506B" w:rsidRDefault="00CB4B64" w:rsidP="00CB4B64">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(16.530)</w:t>
            </w:r>
          </w:p>
        </w:tc>
      </w:tr>
      <w:tr w:rsidR="00CB4B64" w:rsidRPr="0048506B" w14:paraId="0FD2E11C" w14:textId="77777777" w:rsidTr="003420B0">
        <w:trPr>
          <w:trHeight w:val="20"/>
        </w:trPr>
        <w:tc>
          <w:tcPr>
            <w:tcW w:w="3544" w:type="dxa"/>
            <w:tcBorders>
              <w:top w:val="nil"/>
              <w:left w:val="nil"/>
              <w:bottom w:val="nil"/>
              <w:right w:val="nil"/>
            </w:tcBorders>
            <w:shd w:val="clear" w:color="000000" w:fill="FFFFFF"/>
            <w:noWrap/>
            <w:vAlign w:val="center"/>
            <w:hideMark/>
          </w:tcPr>
          <w:p w14:paraId="0FB1CD79" w14:textId="77777777" w:rsidR="00CB4B64" w:rsidRPr="0048506B" w:rsidRDefault="00CB4B64" w:rsidP="00CB4B64">
            <w:pPr>
              <w:spacing w:after="0" w:line="240" w:lineRule="auto"/>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Pessoal, Material e Serviços</w:t>
            </w:r>
          </w:p>
        </w:tc>
        <w:tc>
          <w:tcPr>
            <w:tcW w:w="612" w:type="dxa"/>
            <w:tcBorders>
              <w:top w:val="nil"/>
              <w:left w:val="nil"/>
              <w:bottom w:val="nil"/>
              <w:right w:val="nil"/>
            </w:tcBorders>
            <w:shd w:val="clear" w:color="auto" w:fill="auto"/>
            <w:vAlign w:val="center"/>
            <w:hideMark/>
          </w:tcPr>
          <w:p w14:paraId="332460A4" w14:textId="77777777" w:rsidR="00CB4B64" w:rsidRPr="0048506B" w:rsidRDefault="00CB4B64" w:rsidP="00CB4B64">
            <w:pPr>
              <w:spacing w:after="0" w:line="240" w:lineRule="auto"/>
              <w:rPr>
                <w:rFonts w:ascii="Verdana" w:eastAsia="Times New Roman" w:hAnsi="Verdana" w:cs="Calibri"/>
                <w:color w:val="000000"/>
                <w:sz w:val="16"/>
                <w:szCs w:val="16"/>
                <w:lang w:eastAsia="pt-BR"/>
              </w:rPr>
            </w:pPr>
          </w:p>
        </w:tc>
        <w:tc>
          <w:tcPr>
            <w:tcW w:w="1642" w:type="dxa"/>
            <w:tcBorders>
              <w:top w:val="nil"/>
              <w:left w:val="nil"/>
              <w:bottom w:val="nil"/>
              <w:right w:val="nil"/>
            </w:tcBorders>
            <w:shd w:val="clear" w:color="auto" w:fill="auto"/>
            <w:noWrap/>
            <w:vAlign w:val="center"/>
            <w:hideMark/>
          </w:tcPr>
          <w:p w14:paraId="159C4A93" w14:textId="4CC00662" w:rsidR="00CB4B64" w:rsidRPr="0048506B" w:rsidRDefault="00CB4B64" w:rsidP="00CB4B64">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 </w:t>
            </w:r>
          </w:p>
        </w:tc>
        <w:tc>
          <w:tcPr>
            <w:tcW w:w="211" w:type="dxa"/>
            <w:tcBorders>
              <w:top w:val="nil"/>
              <w:left w:val="nil"/>
              <w:bottom w:val="nil"/>
              <w:right w:val="nil"/>
            </w:tcBorders>
            <w:shd w:val="clear" w:color="auto" w:fill="auto"/>
            <w:noWrap/>
            <w:vAlign w:val="bottom"/>
            <w:hideMark/>
          </w:tcPr>
          <w:p w14:paraId="27E59876" w14:textId="77777777" w:rsidR="00CB4B64" w:rsidRPr="0048506B" w:rsidRDefault="00CB4B64" w:rsidP="00CB4B64">
            <w:pPr>
              <w:spacing w:after="0" w:line="240" w:lineRule="auto"/>
              <w:jc w:val="right"/>
              <w:rPr>
                <w:rFonts w:ascii="Verdana" w:eastAsia="Times New Roman" w:hAnsi="Verdana" w:cs="Calibri"/>
                <w:color w:val="000000"/>
                <w:sz w:val="16"/>
                <w:szCs w:val="16"/>
                <w:lang w:eastAsia="pt-BR"/>
              </w:rPr>
            </w:pPr>
          </w:p>
        </w:tc>
        <w:tc>
          <w:tcPr>
            <w:tcW w:w="1459" w:type="dxa"/>
            <w:tcBorders>
              <w:top w:val="nil"/>
              <w:left w:val="nil"/>
              <w:bottom w:val="nil"/>
              <w:right w:val="nil"/>
            </w:tcBorders>
            <w:shd w:val="clear" w:color="auto" w:fill="auto"/>
            <w:noWrap/>
            <w:vAlign w:val="center"/>
            <w:hideMark/>
          </w:tcPr>
          <w:p w14:paraId="2E169D0B" w14:textId="0D258A87" w:rsidR="00CB4B64" w:rsidRPr="0048506B" w:rsidRDefault="00CB4B64" w:rsidP="00CB4B64">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 </w:t>
            </w:r>
          </w:p>
        </w:tc>
        <w:tc>
          <w:tcPr>
            <w:tcW w:w="211" w:type="dxa"/>
            <w:tcBorders>
              <w:top w:val="nil"/>
              <w:left w:val="nil"/>
              <w:bottom w:val="nil"/>
              <w:right w:val="nil"/>
            </w:tcBorders>
            <w:shd w:val="clear" w:color="auto" w:fill="auto"/>
            <w:noWrap/>
            <w:vAlign w:val="bottom"/>
            <w:hideMark/>
          </w:tcPr>
          <w:p w14:paraId="34936EFC" w14:textId="77777777" w:rsidR="00CB4B64" w:rsidRPr="0048506B" w:rsidRDefault="00CB4B64" w:rsidP="00CB4B64">
            <w:pPr>
              <w:spacing w:after="0" w:line="240" w:lineRule="auto"/>
              <w:jc w:val="right"/>
              <w:rPr>
                <w:rFonts w:ascii="Verdana" w:eastAsia="Times New Roman" w:hAnsi="Verdana" w:cs="Calibri"/>
                <w:color w:val="000000"/>
                <w:sz w:val="16"/>
                <w:szCs w:val="16"/>
                <w:lang w:eastAsia="pt-BR"/>
              </w:rPr>
            </w:pPr>
          </w:p>
        </w:tc>
        <w:tc>
          <w:tcPr>
            <w:tcW w:w="1602" w:type="dxa"/>
            <w:tcBorders>
              <w:top w:val="nil"/>
              <w:left w:val="nil"/>
              <w:bottom w:val="nil"/>
              <w:right w:val="nil"/>
            </w:tcBorders>
            <w:shd w:val="clear" w:color="000000" w:fill="FFFFFF"/>
            <w:vAlign w:val="center"/>
            <w:hideMark/>
          </w:tcPr>
          <w:p w14:paraId="17159809" w14:textId="77777777" w:rsidR="00CB4B64" w:rsidRPr="0048506B" w:rsidRDefault="00CB4B64" w:rsidP="00CB4B64">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(114.038)</w:t>
            </w:r>
          </w:p>
        </w:tc>
        <w:tc>
          <w:tcPr>
            <w:tcW w:w="211" w:type="dxa"/>
            <w:tcBorders>
              <w:top w:val="nil"/>
              <w:left w:val="nil"/>
              <w:bottom w:val="nil"/>
              <w:right w:val="nil"/>
            </w:tcBorders>
            <w:shd w:val="clear" w:color="auto" w:fill="auto"/>
            <w:noWrap/>
            <w:vAlign w:val="bottom"/>
            <w:hideMark/>
          </w:tcPr>
          <w:p w14:paraId="3276469F" w14:textId="77777777" w:rsidR="00CB4B64" w:rsidRPr="0048506B" w:rsidRDefault="00CB4B64" w:rsidP="00CB4B64">
            <w:pPr>
              <w:spacing w:after="0" w:line="240" w:lineRule="auto"/>
              <w:jc w:val="right"/>
              <w:rPr>
                <w:rFonts w:ascii="Verdana" w:eastAsia="Times New Roman" w:hAnsi="Verdana" w:cs="Calibri"/>
                <w:color w:val="000000"/>
                <w:sz w:val="16"/>
                <w:szCs w:val="16"/>
                <w:lang w:eastAsia="pt-BR"/>
              </w:rPr>
            </w:pPr>
          </w:p>
        </w:tc>
        <w:tc>
          <w:tcPr>
            <w:tcW w:w="1363" w:type="dxa"/>
            <w:tcBorders>
              <w:top w:val="nil"/>
              <w:left w:val="nil"/>
              <w:bottom w:val="nil"/>
              <w:right w:val="nil"/>
            </w:tcBorders>
            <w:shd w:val="clear" w:color="000000" w:fill="FFFFFF"/>
            <w:vAlign w:val="center"/>
            <w:hideMark/>
          </w:tcPr>
          <w:p w14:paraId="7E8001D2" w14:textId="77777777" w:rsidR="00CB4B64" w:rsidRPr="0048506B" w:rsidRDefault="00CB4B64" w:rsidP="00CB4B64">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(114.038)</w:t>
            </w:r>
          </w:p>
        </w:tc>
      </w:tr>
      <w:tr w:rsidR="00CB4B64" w:rsidRPr="0048506B" w14:paraId="4E76B293" w14:textId="77777777" w:rsidTr="003420B0">
        <w:trPr>
          <w:trHeight w:val="20"/>
        </w:trPr>
        <w:tc>
          <w:tcPr>
            <w:tcW w:w="3544" w:type="dxa"/>
            <w:tcBorders>
              <w:top w:val="nil"/>
              <w:left w:val="nil"/>
              <w:bottom w:val="nil"/>
              <w:right w:val="nil"/>
            </w:tcBorders>
            <w:shd w:val="clear" w:color="000000" w:fill="FFFFFF"/>
            <w:noWrap/>
            <w:vAlign w:val="center"/>
            <w:hideMark/>
          </w:tcPr>
          <w:p w14:paraId="2812A08D" w14:textId="77777777" w:rsidR="00CB4B64" w:rsidRPr="0048506B" w:rsidRDefault="00CB4B64" w:rsidP="00CB4B64">
            <w:pPr>
              <w:spacing w:after="0" w:line="240" w:lineRule="auto"/>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Depreciação e Amortização</w:t>
            </w:r>
          </w:p>
        </w:tc>
        <w:tc>
          <w:tcPr>
            <w:tcW w:w="612" w:type="dxa"/>
            <w:tcBorders>
              <w:top w:val="nil"/>
              <w:left w:val="nil"/>
              <w:bottom w:val="nil"/>
              <w:right w:val="nil"/>
            </w:tcBorders>
            <w:shd w:val="clear" w:color="auto" w:fill="auto"/>
            <w:vAlign w:val="center"/>
            <w:hideMark/>
          </w:tcPr>
          <w:p w14:paraId="6DA60F98" w14:textId="77777777" w:rsidR="00CB4B64" w:rsidRPr="0048506B" w:rsidRDefault="00CB4B64" w:rsidP="00CB4B64">
            <w:pPr>
              <w:spacing w:after="0" w:line="240" w:lineRule="auto"/>
              <w:rPr>
                <w:rFonts w:ascii="Verdana" w:eastAsia="Times New Roman" w:hAnsi="Verdana" w:cs="Calibri"/>
                <w:color w:val="000000"/>
                <w:sz w:val="16"/>
                <w:szCs w:val="16"/>
                <w:lang w:eastAsia="pt-BR"/>
              </w:rPr>
            </w:pPr>
          </w:p>
        </w:tc>
        <w:tc>
          <w:tcPr>
            <w:tcW w:w="1642" w:type="dxa"/>
            <w:tcBorders>
              <w:top w:val="nil"/>
              <w:left w:val="nil"/>
              <w:bottom w:val="nil"/>
              <w:right w:val="nil"/>
            </w:tcBorders>
            <w:shd w:val="clear" w:color="auto" w:fill="auto"/>
            <w:noWrap/>
            <w:vAlign w:val="center"/>
            <w:hideMark/>
          </w:tcPr>
          <w:p w14:paraId="16B13A46" w14:textId="5711A3A5" w:rsidR="00CB4B64" w:rsidRPr="0048506B" w:rsidRDefault="00CB4B64" w:rsidP="00CB4B64">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 </w:t>
            </w:r>
          </w:p>
        </w:tc>
        <w:tc>
          <w:tcPr>
            <w:tcW w:w="211" w:type="dxa"/>
            <w:tcBorders>
              <w:top w:val="nil"/>
              <w:left w:val="nil"/>
              <w:bottom w:val="nil"/>
              <w:right w:val="nil"/>
            </w:tcBorders>
            <w:shd w:val="clear" w:color="auto" w:fill="auto"/>
            <w:noWrap/>
            <w:vAlign w:val="bottom"/>
            <w:hideMark/>
          </w:tcPr>
          <w:p w14:paraId="2815533E" w14:textId="77777777" w:rsidR="00CB4B64" w:rsidRPr="0048506B" w:rsidRDefault="00CB4B64" w:rsidP="00CB4B64">
            <w:pPr>
              <w:spacing w:after="0" w:line="240" w:lineRule="auto"/>
              <w:jc w:val="right"/>
              <w:rPr>
                <w:rFonts w:ascii="Verdana" w:eastAsia="Times New Roman" w:hAnsi="Verdana" w:cs="Calibri"/>
                <w:color w:val="000000"/>
                <w:sz w:val="16"/>
                <w:szCs w:val="16"/>
                <w:lang w:eastAsia="pt-BR"/>
              </w:rPr>
            </w:pPr>
          </w:p>
        </w:tc>
        <w:tc>
          <w:tcPr>
            <w:tcW w:w="1459" w:type="dxa"/>
            <w:tcBorders>
              <w:top w:val="nil"/>
              <w:left w:val="nil"/>
              <w:bottom w:val="nil"/>
              <w:right w:val="nil"/>
            </w:tcBorders>
            <w:shd w:val="clear" w:color="auto" w:fill="auto"/>
            <w:noWrap/>
            <w:vAlign w:val="center"/>
            <w:hideMark/>
          </w:tcPr>
          <w:p w14:paraId="552733C2" w14:textId="0CAA971F" w:rsidR="00CB4B64" w:rsidRPr="0048506B" w:rsidRDefault="00CB4B64" w:rsidP="00CB4B64">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 </w:t>
            </w:r>
          </w:p>
        </w:tc>
        <w:tc>
          <w:tcPr>
            <w:tcW w:w="211" w:type="dxa"/>
            <w:tcBorders>
              <w:top w:val="nil"/>
              <w:left w:val="nil"/>
              <w:bottom w:val="nil"/>
              <w:right w:val="nil"/>
            </w:tcBorders>
            <w:shd w:val="clear" w:color="auto" w:fill="auto"/>
            <w:noWrap/>
            <w:vAlign w:val="bottom"/>
            <w:hideMark/>
          </w:tcPr>
          <w:p w14:paraId="5BF98931" w14:textId="77777777" w:rsidR="00CB4B64" w:rsidRPr="0048506B" w:rsidRDefault="00CB4B64" w:rsidP="00CB4B64">
            <w:pPr>
              <w:spacing w:after="0" w:line="240" w:lineRule="auto"/>
              <w:jc w:val="right"/>
              <w:rPr>
                <w:rFonts w:ascii="Verdana" w:eastAsia="Times New Roman" w:hAnsi="Verdana" w:cs="Calibri"/>
                <w:color w:val="000000"/>
                <w:sz w:val="16"/>
                <w:szCs w:val="16"/>
                <w:lang w:eastAsia="pt-BR"/>
              </w:rPr>
            </w:pPr>
          </w:p>
        </w:tc>
        <w:tc>
          <w:tcPr>
            <w:tcW w:w="1602" w:type="dxa"/>
            <w:tcBorders>
              <w:top w:val="nil"/>
              <w:left w:val="nil"/>
              <w:bottom w:val="nil"/>
              <w:right w:val="nil"/>
            </w:tcBorders>
            <w:shd w:val="clear" w:color="000000" w:fill="FFFFFF"/>
            <w:vAlign w:val="center"/>
            <w:hideMark/>
          </w:tcPr>
          <w:p w14:paraId="0F111656" w14:textId="77777777" w:rsidR="00CB4B64" w:rsidRPr="0048506B" w:rsidRDefault="00CB4B64" w:rsidP="00CB4B64">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(47.011)</w:t>
            </w:r>
          </w:p>
        </w:tc>
        <w:tc>
          <w:tcPr>
            <w:tcW w:w="211" w:type="dxa"/>
            <w:tcBorders>
              <w:top w:val="nil"/>
              <w:left w:val="nil"/>
              <w:bottom w:val="nil"/>
              <w:right w:val="nil"/>
            </w:tcBorders>
            <w:shd w:val="clear" w:color="auto" w:fill="auto"/>
            <w:noWrap/>
            <w:vAlign w:val="bottom"/>
            <w:hideMark/>
          </w:tcPr>
          <w:p w14:paraId="1D92AC8C" w14:textId="77777777" w:rsidR="00CB4B64" w:rsidRPr="0048506B" w:rsidRDefault="00CB4B64" w:rsidP="00CB4B64">
            <w:pPr>
              <w:spacing w:after="0" w:line="240" w:lineRule="auto"/>
              <w:jc w:val="right"/>
              <w:rPr>
                <w:rFonts w:ascii="Verdana" w:eastAsia="Times New Roman" w:hAnsi="Verdana" w:cs="Calibri"/>
                <w:color w:val="000000"/>
                <w:sz w:val="16"/>
                <w:szCs w:val="16"/>
                <w:lang w:eastAsia="pt-BR"/>
              </w:rPr>
            </w:pPr>
          </w:p>
        </w:tc>
        <w:tc>
          <w:tcPr>
            <w:tcW w:w="1363" w:type="dxa"/>
            <w:tcBorders>
              <w:top w:val="nil"/>
              <w:left w:val="nil"/>
              <w:bottom w:val="nil"/>
              <w:right w:val="nil"/>
            </w:tcBorders>
            <w:shd w:val="clear" w:color="000000" w:fill="FFFFFF"/>
            <w:vAlign w:val="center"/>
            <w:hideMark/>
          </w:tcPr>
          <w:p w14:paraId="1EF23F64" w14:textId="77777777" w:rsidR="00CB4B64" w:rsidRPr="0048506B" w:rsidRDefault="00CB4B64" w:rsidP="00CB4B64">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(47.011)</w:t>
            </w:r>
          </w:p>
        </w:tc>
      </w:tr>
      <w:tr w:rsidR="00CB4B64" w:rsidRPr="0048506B" w14:paraId="5BC8F873" w14:textId="77777777" w:rsidTr="003420B0">
        <w:trPr>
          <w:trHeight w:val="20"/>
        </w:trPr>
        <w:tc>
          <w:tcPr>
            <w:tcW w:w="3544" w:type="dxa"/>
            <w:tcBorders>
              <w:top w:val="nil"/>
              <w:left w:val="nil"/>
              <w:bottom w:val="nil"/>
              <w:right w:val="nil"/>
            </w:tcBorders>
            <w:shd w:val="clear" w:color="000000" w:fill="FFFFFF"/>
            <w:noWrap/>
            <w:vAlign w:val="center"/>
            <w:hideMark/>
          </w:tcPr>
          <w:p w14:paraId="3AAD83AD" w14:textId="77777777" w:rsidR="00CB4B64" w:rsidRPr="0048506B" w:rsidRDefault="00CB4B64" w:rsidP="00CB4B64">
            <w:pPr>
              <w:spacing w:after="0" w:line="240" w:lineRule="auto"/>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Combustível </w:t>
            </w:r>
            <w:r>
              <w:rPr>
                <w:rFonts w:ascii="Verdana" w:eastAsia="Times New Roman" w:hAnsi="Verdana" w:cs="Calibri"/>
                <w:color w:val="000000"/>
                <w:sz w:val="16"/>
                <w:szCs w:val="16"/>
                <w:lang w:eastAsia="pt-BR"/>
              </w:rPr>
              <w:t>p/</w:t>
            </w:r>
            <w:proofErr w:type="spellStart"/>
            <w:r w:rsidRPr="0048506B">
              <w:rPr>
                <w:rFonts w:ascii="Verdana" w:eastAsia="Times New Roman" w:hAnsi="Verdana" w:cs="Calibri"/>
                <w:color w:val="000000"/>
                <w:sz w:val="16"/>
                <w:szCs w:val="16"/>
                <w:lang w:eastAsia="pt-BR"/>
              </w:rPr>
              <w:t>prod</w:t>
            </w:r>
            <w:r>
              <w:rPr>
                <w:rFonts w:ascii="Verdana" w:eastAsia="Times New Roman" w:hAnsi="Verdana" w:cs="Calibri"/>
                <w:color w:val="000000"/>
                <w:sz w:val="16"/>
                <w:szCs w:val="16"/>
                <w:lang w:eastAsia="pt-BR"/>
              </w:rPr>
              <w:t>.</w:t>
            </w:r>
            <w:r w:rsidRPr="0048506B">
              <w:rPr>
                <w:rFonts w:ascii="Verdana" w:eastAsia="Times New Roman" w:hAnsi="Verdana" w:cs="Calibri"/>
                <w:color w:val="000000"/>
                <w:sz w:val="16"/>
                <w:szCs w:val="16"/>
                <w:lang w:eastAsia="pt-BR"/>
              </w:rPr>
              <w:t>energia</w:t>
            </w:r>
            <w:proofErr w:type="spellEnd"/>
            <w:r w:rsidRPr="0048506B">
              <w:rPr>
                <w:rFonts w:ascii="Verdana" w:eastAsia="Times New Roman" w:hAnsi="Verdana" w:cs="Calibri"/>
                <w:color w:val="000000"/>
                <w:sz w:val="16"/>
                <w:szCs w:val="16"/>
                <w:lang w:eastAsia="pt-BR"/>
              </w:rPr>
              <w:t xml:space="preserve"> elétrica</w:t>
            </w:r>
          </w:p>
        </w:tc>
        <w:tc>
          <w:tcPr>
            <w:tcW w:w="612" w:type="dxa"/>
            <w:tcBorders>
              <w:top w:val="nil"/>
              <w:left w:val="nil"/>
              <w:bottom w:val="nil"/>
              <w:right w:val="nil"/>
            </w:tcBorders>
            <w:shd w:val="clear" w:color="auto" w:fill="auto"/>
            <w:vAlign w:val="center"/>
            <w:hideMark/>
          </w:tcPr>
          <w:p w14:paraId="2DA14842" w14:textId="77777777" w:rsidR="00CB4B64" w:rsidRPr="0048506B" w:rsidRDefault="00CB4B64" w:rsidP="00CB4B64">
            <w:pPr>
              <w:spacing w:after="0" w:line="240" w:lineRule="auto"/>
              <w:rPr>
                <w:rFonts w:ascii="Verdana" w:eastAsia="Times New Roman" w:hAnsi="Verdana" w:cs="Calibri"/>
                <w:color w:val="000000"/>
                <w:sz w:val="16"/>
                <w:szCs w:val="16"/>
                <w:lang w:eastAsia="pt-BR"/>
              </w:rPr>
            </w:pPr>
          </w:p>
        </w:tc>
        <w:tc>
          <w:tcPr>
            <w:tcW w:w="1642" w:type="dxa"/>
            <w:tcBorders>
              <w:top w:val="nil"/>
              <w:left w:val="nil"/>
              <w:bottom w:val="nil"/>
              <w:right w:val="nil"/>
            </w:tcBorders>
            <w:shd w:val="clear" w:color="auto" w:fill="auto"/>
            <w:noWrap/>
            <w:vAlign w:val="center"/>
            <w:hideMark/>
          </w:tcPr>
          <w:p w14:paraId="1F5DDF99" w14:textId="1213D2C3" w:rsidR="00CB4B64" w:rsidRPr="0048506B" w:rsidRDefault="00CB4B64" w:rsidP="00CB4B64">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 </w:t>
            </w:r>
          </w:p>
        </w:tc>
        <w:tc>
          <w:tcPr>
            <w:tcW w:w="211" w:type="dxa"/>
            <w:tcBorders>
              <w:top w:val="nil"/>
              <w:left w:val="nil"/>
              <w:bottom w:val="nil"/>
              <w:right w:val="nil"/>
            </w:tcBorders>
            <w:shd w:val="clear" w:color="auto" w:fill="auto"/>
            <w:noWrap/>
            <w:vAlign w:val="bottom"/>
            <w:hideMark/>
          </w:tcPr>
          <w:p w14:paraId="6F57BF54" w14:textId="77777777" w:rsidR="00CB4B64" w:rsidRPr="0048506B" w:rsidRDefault="00CB4B64" w:rsidP="00CB4B64">
            <w:pPr>
              <w:spacing w:after="0" w:line="240" w:lineRule="auto"/>
              <w:jc w:val="right"/>
              <w:rPr>
                <w:rFonts w:ascii="Verdana" w:eastAsia="Times New Roman" w:hAnsi="Verdana" w:cs="Calibri"/>
                <w:color w:val="000000"/>
                <w:sz w:val="16"/>
                <w:szCs w:val="16"/>
                <w:lang w:eastAsia="pt-BR"/>
              </w:rPr>
            </w:pPr>
          </w:p>
        </w:tc>
        <w:tc>
          <w:tcPr>
            <w:tcW w:w="1459" w:type="dxa"/>
            <w:tcBorders>
              <w:top w:val="nil"/>
              <w:left w:val="nil"/>
              <w:bottom w:val="nil"/>
              <w:right w:val="nil"/>
            </w:tcBorders>
            <w:shd w:val="clear" w:color="auto" w:fill="auto"/>
            <w:noWrap/>
            <w:vAlign w:val="center"/>
            <w:hideMark/>
          </w:tcPr>
          <w:p w14:paraId="1453F60D" w14:textId="37486CD1" w:rsidR="00CB4B64" w:rsidRPr="0048506B" w:rsidRDefault="00CB4B64" w:rsidP="00CB4B64">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 </w:t>
            </w:r>
          </w:p>
        </w:tc>
        <w:tc>
          <w:tcPr>
            <w:tcW w:w="211" w:type="dxa"/>
            <w:tcBorders>
              <w:top w:val="nil"/>
              <w:left w:val="nil"/>
              <w:bottom w:val="nil"/>
              <w:right w:val="nil"/>
            </w:tcBorders>
            <w:shd w:val="clear" w:color="auto" w:fill="auto"/>
            <w:noWrap/>
            <w:vAlign w:val="bottom"/>
            <w:hideMark/>
          </w:tcPr>
          <w:p w14:paraId="74130000" w14:textId="77777777" w:rsidR="00CB4B64" w:rsidRPr="0048506B" w:rsidRDefault="00CB4B64" w:rsidP="00CB4B64">
            <w:pPr>
              <w:spacing w:after="0" w:line="240" w:lineRule="auto"/>
              <w:jc w:val="right"/>
              <w:rPr>
                <w:rFonts w:ascii="Verdana" w:eastAsia="Times New Roman" w:hAnsi="Verdana" w:cs="Calibri"/>
                <w:color w:val="000000"/>
                <w:sz w:val="16"/>
                <w:szCs w:val="16"/>
                <w:lang w:eastAsia="pt-BR"/>
              </w:rPr>
            </w:pPr>
          </w:p>
        </w:tc>
        <w:tc>
          <w:tcPr>
            <w:tcW w:w="1602" w:type="dxa"/>
            <w:tcBorders>
              <w:top w:val="nil"/>
              <w:left w:val="nil"/>
              <w:bottom w:val="nil"/>
              <w:right w:val="nil"/>
            </w:tcBorders>
            <w:shd w:val="clear" w:color="000000" w:fill="FFFFFF"/>
            <w:vAlign w:val="center"/>
            <w:hideMark/>
          </w:tcPr>
          <w:p w14:paraId="17F3F172" w14:textId="77777777" w:rsidR="00CB4B64" w:rsidRPr="0048506B" w:rsidRDefault="00CB4B64" w:rsidP="00CB4B64">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(26.329)</w:t>
            </w:r>
          </w:p>
        </w:tc>
        <w:tc>
          <w:tcPr>
            <w:tcW w:w="211" w:type="dxa"/>
            <w:tcBorders>
              <w:top w:val="nil"/>
              <w:left w:val="nil"/>
              <w:bottom w:val="nil"/>
              <w:right w:val="nil"/>
            </w:tcBorders>
            <w:shd w:val="clear" w:color="auto" w:fill="auto"/>
            <w:noWrap/>
            <w:vAlign w:val="bottom"/>
            <w:hideMark/>
          </w:tcPr>
          <w:p w14:paraId="04825632" w14:textId="77777777" w:rsidR="00CB4B64" w:rsidRPr="0048506B" w:rsidRDefault="00CB4B64" w:rsidP="00CB4B64">
            <w:pPr>
              <w:spacing w:after="0" w:line="240" w:lineRule="auto"/>
              <w:jc w:val="right"/>
              <w:rPr>
                <w:rFonts w:ascii="Verdana" w:eastAsia="Times New Roman" w:hAnsi="Verdana" w:cs="Calibri"/>
                <w:color w:val="000000"/>
                <w:sz w:val="16"/>
                <w:szCs w:val="16"/>
                <w:lang w:eastAsia="pt-BR"/>
              </w:rPr>
            </w:pPr>
          </w:p>
        </w:tc>
        <w:tc>
          <w:tcPr>
            <w:tcW w:w="1363" w:type="dxa"/>
            <w:tcBorders>
              <w:top w:val="nil"/>
              <w:left w:val="nil"/>
              <w:bottom w:val="nil"/>
              <w:right w:val="nil"/>
            </w:tcBorders>
            <w:shd w:val="clear" w:color="000000" w:fill="FFFFFF"/>
            <w:vAlign w:val="center"/>
            <w:hideMark/>
          </w:tcPr>
          <w:p w14:paraId="17315CFC" w14:textId="77777777" w:rsidR="00CB4B64" w:rsidRPr="0048506B" w:rsidRDefault="00CB4B64" w:rsidP="00CB4B64">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(26.329)</w:t>
            </w:r>
          </w:p>
        </w:tc>
      </w:tr>
      <w:tr w:rsidR="00CB4B64" w:rsidRPr="0048506B" w14:paraId="12748A0F" w14:textId="77777777" w:rsidTr="003420B0">
        <w:trPr>
          <w:trHeight w:val="20"/>
        </w:trPr>
        <w:tc>
          <w:tcPr>
            <w:tcW w:w="3544" w:type="dxa"/>
            <w:tcBorders>
              <w:top w:val="nil"/>
              <w:left w:val="nil"/>
              <w:bottom w:val="nil"/>
              <w:right w:val="nil"/>
            </w:tcBorders>
            <w:shd w:val="clear" w:color="000000" w:fill="FFFFFF"/>
            <w:noWrap/>
            <w:vAlign w:val="center"/>
            <w:hideMark/>
          </w:tcPr>
          <w:p w14:paraId="47F049DD" w14:textId="77777777" w:rsidR="00CB4B64" w:rsidRPr="0048506B" w:rsidRDefault="00CB4B64" w:rsidP="00CB4B64">
            <w:pPr>
              <w:spacing w:after="0" w:line="240" w:lineRule="auto"/>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Outros Custos</w:t>
            </w:r>
          </w:p>
        </w:tc>
        <w:tc>
          <w:tcPr>
            <w:tcW w:w="612" w:type="dxa"/>
            <w:tcBorders>
              <w:top w:val="nil"/>
              <w:left w:val="nil"/>
              <w:bottom w:val="nil"/>
              <w:right w:val="nil"/>
            </w:tcBorders>
            <w:shd w:val="clear" w:color="auto" w:fill="auto"/>
            <w:vAlign w:val="center"/>
            <w:hideMark/>
          </w:tcPr>
          <w:p w14:paraId="684E8750" w14:textId="77777777" w:rsidR="00CB4B64" w:rsidRPr="0048506B" w:rsidRDefault="00CB4B64" w:rsidP="00CB4B64">
            <w:pPr>
              <w:spacing w:after="0" w:line="240" w:lineRule="auto"/>
              <w:rPr>
                <w:rFonts w:ascii="Verdana" w:eastAsia="Times New Roman" w:hAnsi="Verdana" w:cs="Calibri"/>
                <w:color w:val="000000"/>
                <w:sz w:val="16"/>
                <w:szCs w:val="16"/>
                <w:lang w:eastAsia="pt-BR"/>
              </w:rPr>
            </w:pPr>
          </w:p>
        </w:tc>
        <w:tc>
          <w:tcPr>
            <w:tcW w:w="1642" w:type="dxa"/>
            <w:tcBorders>
              <w:top w:val="nil"/>
              <w:left w:val="nil"/>
              <w:bottom w:val="single" w:sz="4" w:space="0" w:color="auto"/>
              <w:right w:val="nil"/>
            </w:tcBorders>
            <w:shd w:val="clear" w:color="auto" w:fill="auto"/>
            <w:noWrap/>
            <w:vAlign w:val="center"/>
            <w:hideMark/>
          </w:tcPr>
          <w:p w14:paraId="27A9F4B6" w14:textId="7D4A4F33" w:rsidR="00CB4B64" w:rsidRPr="0048506B" w:rsidRDefault="00CB4B64" w:rsidP="00CB4B64">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 </w:t>
            </w:r>
          </w:p>
        </w:tc>
        <w:tc>
          <w:tcPr>
            <w:tcW w:w="211" w:type="dxa"/>
            <w:tcBorders>
              <w:top w:val="nil"/>
              <w:left w:val="nil"/>
              <w:bottom w:val="nil"/>
              <w:right w:val="nil"/>
            </w:tcBorders>
            <w:shd w:val="clear" w:color="auto" w:fill="auto"/>
            <w:noWrap/>
            <w:vAlign w:val="bottom"/>
            <w:hideMark/>
          </w:tcPr>
          <w:p w14:paraId="3E1DAC21" w14:textId="77777777" w:rsidR="00CB4B64" w:rsidRPr="0048506B" w:rsidRDefault="00CB4B64" w:rsidP="00CB4B64">
            <w:pPr>
              <w:spacing w:after="0" w:line="240" w:lineRule="auto"/>
              <w:jc w:val="right"/>
              <w:rPr>
                <w:rFonts w:ascii="Verdana" w:eastAsia="Times New Roman" w:hAnsi="Verdana" w:cs="Calibri"/>
                <w:color w:val="000000"/>
                <w:sz w:val="16"/>
                <w:szCs w:val="16"/>
                <w:lang w:eastAsia="pt-BR"/>
              </w:rPr>
            </w:pPr>
          </w:p>
        </w:tc>
        <w:tc>
          <w:tcPr>
            <w:tcW w:w="1459" w:type="dxa"/>
            <w:tcBorders>
              <w:top w:val="nil"/>
              <w:left w:val="nil"/>
              <w:bottom w:val="single" w:sz="4" w:space="0" w:color="auto"/>
              <w:right w:val="nil"/>
            </w:tcBorders>
            <w:shd w:val="clear" w:color="auto" w:fill="auto"/>
            <w:noWrap/>
            <w:vAlign w:val="center"/>
            <w:hideMark/>
          </w:tcPr>
          <w:p w14:paraId="136148CE" w14:textId="2B921660" w:rsidR="00CB4B64" w:rsidRPr="0048506B" w:rsidRDefault="00CB4B64" w:rsidP="00CB4B64">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 </w:t>
            </w:r>
          </w:p>
        </w:tc>
        <w:tc>
          <w:tcPr>
            <w:tcW w:w="211" w:type="dxa"/>
            <w:tcBorders>
              <w:top w:val="nil"/>
              <w:left w:val="nil"/>
              <w:bottom w:val="nil"/>
              <w:right w:val="nil"/>
            </w:tcBorders>
            <w:shd w:val="clear" w:color="auto" w:fill="auto"/>
            <w:noWrap/>
            <w:vAlign w:val="bottom"/>
            <w:hideMark/>
          </w:tcPr>
          <w:p w14:paraId="1632C002" w14:textId="77777777" w:rsidR="00CB4B64" w:rsidRPr="0048506B" w:rsidRDefault="00CB4B64" w:rsidP="00CB4B64">
            <w:pPr>
              <w:spacing w:after="0" w:line="240" w:lineRule="auto"/>
              <w:jc w:val="right"/>
              <w:rPr>
                <w:rFonts w:ascii="Verdana" w:eastAsia="Times New Roman" w:hAnsi="Verdana" w:cs="Calibri"/>
                <w:color w:val="000000"/>
                <w:sz w:val="16"/>
                <w:szCs w:val="16"/>
                <w:lang w:eastAsia="pt-BR"/>
              </w:rPr>
            </w:pPr>
          </w:p>
        </w:tc>
        <w:tc>
          <w:tcPr>
            <w:tcW w:w="1602" w:type="dxa"/>
            <w:tcBorders>
              <w:top w:val="nil"/>
              <w:left w:val="nil"/>
              <w:bottom w:val="nil"/>
              <w:right w:val="nil"/>
            </w:tcBorders>
            <w:shd w:val="clear" w:color="000000" w:fill="FFFFFF"/>
            <w:vAlign w:val="center"/>
            <w:hideMark/>
          </w:tcPr>
          <w:p w14:paraId="33FCD6E8" w14:textId="77777777" w:rsidR="00CB4B64" w:rsidRPr="0048506B" w:rsidRDefault="00CB4B64" w:rsidP="00CB4B64">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(5.748)</w:t>
            </w:r>
          </w:p>
        </w:tc>
        <w:tc>
          <w:tcPr>
            <w:tcW w:w="211" w:type="dxa"/>
            <w:tcBorders>
              <w:top w:val="nil"/>
              <w:left w:val="nil"/>
              <w:bottom w:val="nil"/>
              <w:right w:val="nil"/>
            </w:tcBorders>
            <w:shd w:val="clear" w:color="auto" w:fill="auto"/>
            <w:noWrap/>
            <w:vAlign w:val="bottom"/>
            <w:hideMark/>
          </w:tcPr>
          <w:p w14:paraId="05CD5561" w14:textId="77777777" w:rsidR="00CB4B64" w:rsidRPr="0048506B" w:rsidRDefault="00CB4B64" w:rsidP="00CB4B64">
            <w:pPr>
              <w:spacing w:after="0" w:line="240" w:lineRule="auto"/>
              <w:jc w:val="right"/>
              <w:rPr>
                <w:rFonts w:ascii="Verdana" w:eastAsia="Times New Roman" w:hAnsi="Verdana" w:cs="Calibri"/>
                <w:color w:val="000000"/>
                <w:sz w:val="16"/>
                <w:szCs w:val="16"/>
                <w:lang w:eastAsia="pt-BR"/>
              </w:rPr>
            </w:pPr>
          </w:p>
        </w:tc>
        <w:tc>
          <w:tcPr>
            <w:tcW w:w="1363" w:type="dxa"/>
            <w:tcBorders>
              <w:top w:val="nil"/>
              <w:left w:val="nil"/>
              <w:bottom w:val="nil"/>
              <w:right w:val="nil"/>
            </w:tcBorders>
            <w:shd w:val="clear" w:color="000000" w:fill="FFFFFF"/>
            <w:vAlign w:val="center"/>
            <w:hideMark/>
          </w:tcPr>
          <w:p w14:paraId="31512E93" w14:textId="77777777" w:rsidR="00CB4B64" w:rsidRPr="0048506B" w:rsidRDefault="00CB4B64" w:rsidP="00CB4B64">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(5.748)</w:t>
            </w:r>
          </w:p>
        </w:tc>
      </w:tr>
      <w:tr w:rsidR="003420B0" w:rsidRPr="0048506B" w14:paraId="4587FC2F" w14:textId="77777777" w:rsidTr="003420B0">
        <w:trPr>
          <w:trHeight w:val="20"/>
        </w:trPr>
        <w:tc>
          <w:tcPr>
            <w:tcW w:w="3544" w:type="dxa"/>
            <w:tcBorders>
              <w:top w:val="nil"/>
              <w:left w:val="nil"/>
              <w:bottom w:val="nil"/>
              <w:right w:val="nil"/>
            </w:tcBorders>
            <w:shd w:val="clear" w:color="000000" w:fill="FFFFFF"/>
            <w:noWrap/>
            <w:vAlign w:val="center"/>
            <w:hideMark/>
          </w:tcPr>
          <w:p w14:paraId="1BE10DF6"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612" w:type="dxa"/>
            <w:tcBorders>
              <w:top w:val="nil"/>
              <w:left w:val="nil"/>
              <w:bottom w:val="nil"/>
              <w:right w:val="nil"/>
            </w:tcBorders>
            <w:shd w:val="clear" w:color="000000" w:fill="FFFFFF"/>
            <w:vAlign w:val="center"/>
            <w:hideMark/>
          </w:tcPr>
          <w:p w14:paraId="23E145CD" w14:textId="77777777" w:rsidR="003420B0" w:rsidRPr="0048506B" w:rsidRDefault="003420B0" w:rsidP="001D3745">
            <w:pPr>
              <w:spacing w:after="0" w:line="240" w:lineRule="auto"/>
              <w:jc w:val="center"/>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1642" w:type="dxa"/>
            <w:tcBorders>
              <w:top w:val="single" w:sz="8" w:space="0" w:color="auto"/>
              <w:left w:val="nil"/>
              <w:bottom w:val="nil"/>
              <w:right w:val="nil"/>
            </w:tcBorders>
            <w:shd w:val="clear" w:color="000000" w:fill="FFFFFF"/>
            <w:noWrap/>
            <w:vAlign w:val="center"/>
            <w:hideMark/>
          </w:tcPr>
          <w:p w14:paraId="143F7C21"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xml:space="preserve">                    -   </w:t>
            </w:r>
          </w:p>
        </w:tc>
        <w:tc>
          <w:tcPr>
            <w:tcW w:w="211" w:type="dxa"/>
            <w:tcBorders>
              <w:top w:val="nil"/>
              <w:left w:val="nil"/>
              <w:bottom w:val="nil"/>
              <w:right w:val="nil"/>
            </w:tcBorders>
            <w:shd w:val="clear" w:color="auto" w:fill="auto"/>
            <w:noWrap/>
            <w:vAlign w:val="bottom"/>
            <w:hideMark/>
          </w:tcPr>
          <w:p w14:paraId="6289A95F"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p>
        </w:tc>
        <w:tc>
          <w:tcPr>
            <w:tcW w:w="1459" w:type="dxa"/>
            <w:tcBorders>
              <w:top w:val="single" w:sz="8" w:space="0" w:color="auto"/>
              <w:left w:val="nil"/>
              <w:bottom w:val="nil"/>
              <w:right w:val="nil"/>
            </w:tcBorders>
            <w:shd w:val="clear" w:color="000000" w:fill="FFFFFF"/>
            <w:noWrap/>
            <w:vAlign w:val="center"/>
            <w:hideMark/>
          </w:tcPr>
          <w:p w14:paraId="563381DE"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xml:space="preserve">                   -   </w:t>
            </w:r>
          </w:p>
        </w:tc>
        <w:tc>
          <w:tcPr>
            <w:tcW w:w="211" w:type="dxa"/>
            <w:tcBorders>
              <w:top w:val="nil"/>
              <w:left w:val="nil"/>
              <w:bottom w:val="nil"/>
              <w:right w:val="nil"/>
            </w:tcBorders>
            <w:shd w:val="clear" w:color="auto" w:fill="auto"/>
            <w:noWrap/>
            <w:vAlign w:val="bottom"/>
            <w:hideMark/>
          </w:tcPr>
          <w:p w14:paraId="110A121E"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p>
        </w:tc>
        <w:tc>
          <w:tcPr>
            <w:tcW w:w="1602" w:type="dxa"/>
            <w:tcBorders>
              <w:top w:val="single" w:sz="8" w:space="0" w:color="auto"/>
              <w:left w:val="nil"/>
              <w:bottom w:val="nil"/>
              <w:right w:val="nil"/>
            </w:tcBorders>
            <w:shd w:val="clear" w:color="000000" w:fill="FFFFFF"/>
            <w:noWrap/>
            <w:vAlign w:val="center"/>
            <w:hideMark/>
          </w:tcPr>
          <w:p w14:paraId="4A65D506"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xml:space="preserve">      (209.656)</w:t>
            </w:r>
          </w:p>
        </w:tc>
        <w:tc>
          <w:tcPr>
            <w:tcW w:w="211" w:type="dxa"/>
            <w:tcBorders>
              <w:top w:val="nil"/>
              <w:left w:val="nil"/>
              <w:bottom w:val="nil"/>
              <w:right w:val="nil"/>
            </w:tcBorders>
            <w:shd w:val="clear" w:color="auto" w:fill="auto"/>
            <w:noWrap/>
            <w:vAlign w:val="bottom"/>
            <w:hideMark/>
          </w:tcPr>
          <w:p w14:paraId="3FAA3600"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p>
        </w:tc>
        <w:tc>
          <w:tcPr>
            <w:tcW w:w="1363" w:type="dxa"/>
            <w:tcBorders>
              <w:top w:val="single" w:sz="8" w:space="0" w:color="auto"/>
              <w:left w:val="nil"/>
              <w:bottom w:val="nil"/>
              <w:right w:val="nil"/>
            </w:tcBorders>
            <w:shd w:val="clear" w:color="000000" w:fill="FFFFFF"/>
            <w:noWrap/>
            <w:vAlign w:val="center"/>
            <w:hideMark/>
          </w:tcPr>
          <w:p w14:paraId="7FE66A46" w14:textId="0F72FCF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xml:space="preserve">    (209.656)</w:t>
            </w:r>
          </w:p>
        </w:tc>
      </w:tr>
      <w:tr w:rsidR="003420B0" w:rsidRPr="0048506B" w14:paraId="588AD3B8" w14:textId="77777777" w:rsidTr="003420B0">
        <w:trPr>
          <w:trHeight w:val="20"/>
        </w:trPr>
        <w:tc>
          <w:tcPr>
            <w:tcW w:w="3544" w:type="dxa"/>
            <w:tcBorders>
              <w:top w:val="nil"/>
              <w:left w:val="nil"/>
              <w:bottom w:val="nil"/>
              <w:right w:val="nil"/>
            </w:tcBorders>
            <w:shd w:val="clear" w:color="000000" w:fill="FFFFFF"/>
            <w:noWrap/>
            <w:vAlign w:val="center"/>
            <w:hideMark/>
          </w:tcPr>
          <w:p w14:paraId="0CE2818D" w14:textId="77777777" w:rsidR="003420B0" w:rsidRPr="0048506B" w:rsidRDefault="003420B0" w:rsidP="001D3745">
            <w:pPr>
              <w:spacing w:after="0" w:line="240" w:lineRule="auto"/>
              <w:rPr>
                <w:rFonts w:ascii="Verdana" w:eastAsia="Times New Roman" w:hAnsi="Verdana" w:cs="Calibri"/>
                <w:b/>
                <w:bCs/>
                <w:color w:val="000000"/>
                <w:sz w:val="10"/>
                <w:szCs w:val="10"/>
                <w:lang w:eastAsia="pt-BR"/>
              </w:rPr>
            </w:pPr>
            <w:r w:rsidRPr="0048506B">
              <w:rPr>
                <w:rFonts w:ascii="Verdana" w:eastAsia="Times New Roman" w:hAnsi="Verdana" w:cs="Calibri"/>
                <w:b/>
                <w:bCs/>
                <w:color w:val="000000"/>
                <w:sz w:val="10"/>
                <w:szCs w:val="10"/>
                <w:lang w:eastAsia="pt-BR"/>
              </w:rPr>
              <w:t> </w:t>
            </w:r>
          </w:p>
        </w:tc>
        <w:tc>
          <w:tcPr>
            <w:tcW w:w="612" w:type="dxa"/>
            <w:tcBorders>
              <w:top w:val="nil"/>
              <w:left w:val="nil"/>
              <w:bottom w:val="nil"/>
              <w:right w:val="nil"/>
            </w:tcBorders>
            <w:shd w:val="clear" w:color="auto" w:fill="auto"/>
            <w:vAlign w:val="center"/>
            <w:hideMark/>
          </w:tcPr>
          <w:p w14:paraId="6890B5F8" w14:textId="77777777" w:rsidR="003420B0" w:rsidRPr="0048506B" w:rsidRDefault="003420B0" w:rsidP="001D3745">
            <w:pPr>
              <w:spacing w:after="0" w:line="240" w:lineRule="auto"/>
              <w:rPr>
                <w:rFonts w:ascii="Verdana" w:eastAsia="Times New Roman" w:hAnsi="Verdana" w:cs="Calibri"/>
                <w:b/>
                <w:bCs/>
                <w:color w:val="000000"/>
                <w:sz w:val="10"/>
                <w:szCs w:val="10"/>
                <w:lang w:eastAsia="pt-BR"/>
              </w:rPr>
            </w:pPr>
          </w:p>
        </w:tc>
        <w:tc>
          <w:tcPr>
            <w:tcW w:w="1642" w:type="dxa"/>
            <w:tcBorders>
              <w:top w:val="nil"/>
              <w:left w:val="nil"/>
              <w:bottom w:val="nil"/>
              <w:right w:val="nil"/>
            </w:tcBorders>
            <w:shd w:val="clear" w:color="auto" w:fill="auto"/>
            <w:noWrap/>
            <w:vAlign w:val="bottom"/>
            <w:hideMark/>
          </w:tcPr>
          <w:p w14:paraId="12A1CA55" w14:textId="77777777" w:rsidR="003420B0" w:rsidRPr="0048506B" w:rsidRDefault="003420B0" w:rsidP="001D3745">
            <w:pPr>
              <w:spacing w:after="0" w:line="240" w:lineRule="auto"/>
              <w:jc w:val="center"/>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63DBCD2F"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459" w:type="dxa"/>
            <w:tcBorders>
              <w:top w:val="nil"/>
              <w:left w:val="nil"/>
              <w:bottom w:val="nil"/>
              <w:right w:val="nil"/>
            </w:tcBorders>
            <w:shd w:val="clear" w:color="auto" w:fill="auto"/>
            <w:noWrap/>
            <w:vAlign w:val="bottom"/>
            <w:hideMark/>
          </w:tcPr>
          <w:p w14:paraId="025B67A8"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07A45ADF"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602" w:type="dxa"/>
            <w:tcBorders>
              <w:top w:val="nil"/>
              <w:left w:val="nil"/>
              <w:bottom w:val="nil"/>
              <w:right w:val="nil"/>
            </w:tcBorders>
            <w:shd w:val="clear" w:color="000000" w:fill="FFFFFF"/>
            <w:noWrap/>
            <w:vAlign w:val="center"/>
            <w:hideMark/>
          </w:tcPr>
          <w:p w14:paraId="473ED164" w14:textId="77777777" w:rsidR="003420B0" w:rsidRPr="0048506B" w:rsidRDefault="003420B0" w:rsidP="001D3745">
            <w:pPr>
              <w:spacing w:after="0" w:line="240" w:lineRule="auto"/>
              <w:jc w:val="right"/>
              <w:rPr>
                <w:rFonts w:ascii="Verdana" w:eastAsia="Times New Roman" w:hAnsi="Verdana" w:cs="Calibri"/>
                <w:color w:val="000000"/>
                <w:sz w:val="10"/>
                <w:szCs w:val="10"/>
                <w:lang w:eastAsia="pt-BR"/>
              </w:rPr>
            </w:pPr>
            <w:r w:rsidRPr="0048506B">
              <w:rPr>
                <w:rFonts w:ascii="Verdana" w:eastAsia="Times New Roman" w:hAnsi="Verdana" w:cs="Calibri"/>
                <w:color w:val="000000"/>
                <w:sz w:val="10"/>
                <w:szCs w:val="10"/>
                <w:lang w:eastAsia="pt-BR"/>
              </w:rPr>
              <w:t> </w:t>
            </w:r>
          </w:p>
        </w:tc>
        <w:tc>
          <w:tcPr>
            <w:tcW w:w="211" w:type="dxa"/>
            <w:tcBorders>
              <w:top w:val="nil"/>
              <w:left w:val="nil"/>
              <w:bottom w:val="nil"/>
              <w:right w:val="nil"/>
            </w:tcBorders>
            <w:shd w:val="clear" w:color="auto" w:fill="auto"/>
            <w:noWrap/>
            <w:vAlign w:val="bottom"/>
            <w:hideMark/>
          </w:tcPr>
          <w:p w14:paraId="4FF3B286" w14:textId="77777777" w:rsidR="003420B0" w:rsidRPr="0048506B" w:rsidRDefault="003420B0" w:rsidP="001D3745">
            <w:pPr>
              <w:spacing w:after="0" w:line="240" w:lineRule="auto"/>
              <w:jc w:val="right"/>
              <w:rPr>
                <w:rFonts w:ascii="Verdana" w:eastAsia="Times New Roman" w:hAnsi="Verdana" w:cs="Calibri"/>
                <w:color w:val="000000"/>
                <w:sz w:val="10"/>
                <w:szCs w:val="10"/>
                <w:lang w:eastAsia="pt-BR"/>
              </w:rPr>
            </w:pPr>
          </w:p>
        </w:tc>
        <w:tc>
          <w:tcPr>
            <w:tcW w:w="1363" w:type="dxa"/>
            <w:tcBorders>
              <w:top w:val="nil"/>
              <w:left w:val="nil"/>
              <w:bottom w:val="nil"/>
              <w:right w:val="nil"/>
            </w:tcBorders>
            <w:shd w:val="clear" w:color="000000" w:fill="FFFFFF"/>
            <w:noWrap/>
            <w:vAlign w:val="center"/>
            <w:hideMark/>
          </w:tcPr>
          <w:p w14:paraId="53149AFE" w14:textId="77777777" w:rsidR="003420B0" w:rsidRPr="0048506B" w:rsidRDefault="003420B0" w:rsidP="001D3745">
            <w:pPr>
              <w:spacing w:after="0" w:line="240" w:lineRule="auto"/>
              <w:jc w:val="right"/>
              <w:rPr>
                <w:rFonts w:ascii="Verdana" w:eastAsia="Times New Roman" w:hAnsi="Verdana" w:cs="Calibri"/>
                <w:color w:val="000000"/>
                <w:sz w:val="10"/>
                <w:szCs w:val="10"/>
                <w:lang w:eastAsia="pt-BR"/>
              </w:rPr>
            </w:pPr>
            <w:r w:rsidRPr="0048506B">
              <w:rPr>
                <w:rFonts w:ascii="Verdana" w:eastAsia="Times New Roman" w:hAnsi="Verdana" w:cs="Calibri"/>
                <w:color w:val="000000"/>
                <w:sz w:val="10"/>
                <w:szCs w:val="10"/>
                <w:lang w:eastAsia="pt-BR"/>
              </w:rPr>
              <w:t> </w:t>
            </w:r>
          </w:p>
        </w:tc>
      </w:tr>
      <w:tr w:rsidR="003420B0" w:rsidRPr="0048506B" w14:paraId="4248290B" w14:textId="77777777" w:rsidTr="003420B0">
        <w:trPr>
          <w:trHeight w:val="20"/>
        </w:trPr>
        <w:tc>
          <w:tcPr>
            <w:tcW w:w="3544" w:type="dxa"/>
            <w:tcBorders>
              <w:top w:val="nil"/>
              <w:left w:val="nil"/>
              <w:bottom w:val="nil"/>
              <w:right w:val="nil"/>
            </w:tcBorders>
            <w:shd w:val="clear" w:color="000000" w:fill="FFFFFF"/>
            <w:noWrap/>
            <w:vAlign w:val="center"/>
            <w:hideMark/>
          </w:tcPr>
          <w:p w14:paraId="60E924B1" w14:textId="77777777" w:rsidR="003420B0" w:rsidRPr="0048506B" w:rsidRDefault="003420B0" w:rsidP="001D3745">
            <w:pPr>
              <w:spacing w:after="0" w:line="240" w:lineRule="auto"/>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RESULTADO BRUTO</w:t>
            </w:r>
          </w:p>
        </w:tc>
        <w:tc>
          <w:tcPr>
            <w:tcW w:w="612" w:type="dxa"/>
            <w:tcBorders>
              <w:top w:val="nil"/>
              <w:left w:val="nil"/>
              <w:bottom w:val="nil"/>
              <w:right w:val="nil"/>
            </w:tcBorders>
            <w:shd w:val="clear" w:color="000000" w:fill="FFFFFF"/>
            <w:vAlign w:val="center"/>
            <w:hideMark/>
          </w:tcPr>
          <w:p w14:paraId="6B3174E3" w14:textId="77777777" w:rsidR="003420B0" w:rsidRPr="0048506B" w:rsidRDefault="003420B0" w:rsidP="001D3745">
            <w:pPr>
              <w:spacing w:after="0" w:line="240" w:lineRule="auto"/>
              <w:jc w:val="center"/>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w:t>
            </w:r>
          </w:p>
        </w:tc>
        <w:tc>
          <w:tcPr>
            <w:tcW w:w="1642" w:type="dxa"/>
            <w:tcBorders>
              <w:top w:val="single" w:sz="4" w:space="0" w:color="auto"/>
              <w:left w:val="nil"/>
              <w:bottom w:val="single" w:sz="4" w:space="0" w:color="auto"/>
              <w:right w:val="nil"/>
            </w:tcBorders>
            <w:shd w:val="clear" w:color="000000" w:fill="FFFFFF"/>
            <w:noWrap/>
            <w:vAlign w:val="center"/>
            <w:hideMark/>
          </w:tcPr>
          <w:p w14:paraId="635E1974"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1.093</w:t>
            </w:r>
          </w:p>
        </w:tc>
        <w:tc>
          <w:tcPr>
            <w:tcW w:w="211" w:type="dxa"/>
            <w:tcBorders>
              <w:top w:val="nil"/>
              <w:left w:val="nil"/>
              <w:bottom w:val="nil"/>
              <w:right w:val="nil"/>
            </w:tcBorders>
            <w:shd w:val="clear" w:color="auto" w:fill="auto"/>
            <w:noWrap/>
            <w:vAlign w:val="bottom"/>
            <w:hideMark/>
          </w:tcPr>
          <w:p w14:paraId="2C03740C"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p>
        </w:tc>
        <w:tc>
          <w:tcPr>
            <w:tcW w:w="1459" w:type="dxa"/>
            <w:tcBorders>
              <w:top w:val="single" w:sz="4" w:space="0" w:color="auto"/>
              <w:left w:val="nil"/>
              <w:bottom w:val="single" w:sz="4" w:space="0" w:color="auto"/>
              <w:right w:val="nil"/>
            </w:tcBorders>
            <w:shd w:val="clear" w:color="000000" w:fill="FFFFFF"/>
            <w:noWrap/>
            <w:vAlign w:val="center"/>
            <w:hideMark/>
          </w:tcPr>
          <w:p w14:paraId="1B87C255"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1.093</w:t>
            </w:r>
          </w:p>
        </w:tc>
        <w:tc>
          <w:tcPr>
            <w:tcW w:w="211" w:type="dxa"/>
            <w:tcBorders>
              <w:top w:val="nil"/>
              <w:left w:val="nil"/>
              <w:bottom w:val="nil"/>
              <w:right w:val="nil"/>
            </w:tcBorders>
            <w:shd w:val="clear" w:color="auto" w:fill="auto"/>
            <w:noWrap/>
            <w:vAlign w:val="bottom"/>
            <w:hideMark/>
          </w:tcPr>
          <w:p w14:paraId="423705C7"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p>
        </w:tc>
        <w:tc>
          <w:tcPr>
            <w:tcW w:w="1602" w:type="dxa"/>
            <w:tcBorders>
              <w:top w:val="single" w:sz="4" w:space="0" w:color="auto"/>
              <w:left w:val="nil"/>
              <w:bottom w:val="single" w:sz="4" w:space="0" w:color="auto"/>
              <w:right w:val="nil"/>
            </w:tcBorders>
            <w:shd w:val="clear" w:color="000000" w:fill="FFFFFF"/>
            <w:noWrap/>
            <w:vAlign w:val="center"/>
            <w:hideMark/>
          </w:tcPr>
          <w:p w14:paraId="53E58765"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133.127</w:t>
            </w:r>
          </w:p>
        </w:tc>
        <w:tc>
          <w:tcPr>
            <w:tcW w:w="211" w:type="dxa"/>
            <w:tcBorders>
              <w:top w:val="nil"/>
              <w:left w:val="nil"/>
              <w:bottom w:val="nil"/>
              <w:right w:val="nil"/>
            </w:tcBorders>
            <w:shd w:val="clear" w:color="auto" w:fill="auto"/>
            <w:noWrap/>
            <w:vAlign w:val="bottom"/>
            <w:hideMark/>
          </w:tcPr>
          <w:p w14:paraId="2788214F"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p>
        </w:tc>
        <w:tc>
          <w:tcPr>
            <w:tcW w:w="1363" w:type="dxa"/>
            <w:tcBorders>
              <w:top w:val="single" w:sz="4" w:space="0" w:color="auto"/>
              <w:left w:val="nil"/>
              <w:bottom w:val="single" w:sz="4" w:space="0" w:color="auto"/>
              <w:right w:val="nil"/>
            </w:tcBorders>
            <w:shd w:val="clear" w:color="000000" w:fill="FFFFFF"/>
            <w:noWrap/>
            <w:vAlign w:val="center"/>
            <w:hideMark/>
          </w:tcPr>
          <w:p w14:paraId="2C729197"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133.127</w:t>
            </w:r>
          </w:p>
        </w:tc>
      </w:tr>
      <w:tr w:rsidR="003420B0" w:rsidRPr="0048506B" w14:paraId="14AB9B78" w14:textId="77777777" w:rsidTr="003420B0">
        <w:trPr>
          <w:trHeight w:val="20"/>
        </w:trPr>
        <w:tc>
          <w:tcPr>
            <w:tcW w:w="3544" w:type="dxa"/>
            <w:tcBorders>
              <w:top w:val="nil"/>
              <w:left w:val="nil"/>
              <w:bottom w:val="nil"/>
              <w:right w:val="nil"/>
            </w:tcBorders>
            <w:shd w:val="clear" w:color="000000" w:fill="FFFFFF"/>
            <w:noWrap/>
            <w:vAlign w:val="center"/>
            <w:hideMark/>
          </w:tcPr>
          <w:p w14:paraId="655B6702" w14:textId="77777777" w:rsidR="003420B0" w:rsidRPr="0048506B" w:rsidRDefault="003420B0" w:rsidP="001D3745">
            <w:pPr>
              <w:spacing w:after="0" w:line="240" w:lineRule="auto"/>
              <w:rPr>
                <w:rFonts w:ascii="Verdana" w:eastAsia="Times New Roman" w:hAnsi="Verdana" w:cs="Calibri"/>
                <w:b/>
                <w:bCs/>
                <w:color w:val="000000"/>
                <w:sz w:val="10"/>
                <w:szCs w:val="10"/>
                <w:lang w:eastAsia="pt-BR"/>
              </w:rPr>
            </w:pPr>
            <w:r w:rsidRPr="0048506B">
              <w:rPr>
                <w:rFonts w:ascii="Verdana" w:eastAsia="Times New Roman" w:hAnsi="Verdana" w:cs="Calibri"/>
                <w:b/>
                <w:bCs/>
                <w:color w:val="000000"/>
                <w:sz w:val="10"/>
                <w:szCs w:val="10"/>
                <w:lang w:eastAsia="pt-BR"/>
              </w:rPr>
              <w:t> </w:t>
            </w:r>
          </w:p>
        </w:tc>
        <w:tc>
          <w:tcPr>
            <w:tcW w:w="612" w:type="dxa"/>
            <w:tcBorders>
              <w:top w:val="nil"/>
              <w:left w:val="nil"/>
              <w:bottom w:val="nil"/>
              <w:right w:val="nil"/>
            </w:tcBorders>
            <w:shd w:val="clear" w:color="auto" w:fill="auto"/>
            <w:vAlign w:val="center"/>
            <w:hideMark/>
          </w:tcPr>
          <w:p w14:paraId="7E8B93A9" w14:textId="77777777" w:rsidR="003420B0" w:rsidRPr="0048506B" w:rsidRDefault="003420B0" w:rsidP="001D3745">
            <w:pPr>
              <w:spacing w:after="0" w:line="240" w:lineRule="auto"/>
              <w:rPr>
                <w:rFonts w:ascii="Verdana" w:eastAsia="Times New Roman" w:hAnsi="Verdana" w:cs="Calibri"/>
                <w:b/>
                <w:bCs/>
                <w:color w:val="000000"/>
                <w:sz w:val="10"/>
                <w:szCs w:val="10"/>
                <w:lang w:eastAsia="pt-BR"/>
              </w:rPr>
            </w:pPr>
          </w:p>
        </w:tc>
        <w:tc>
          <w:tcPr>
            <w:tcW w:w="1642" w:type="dxa"/>
            <w:tcBorders>
              <w:top w:val="nil"/>
              <w:left w:val="nil"/>
              <w:bottom w:val="nil"/>
              <w:right w:val="nil"/>
            </w:tcBorders>
            <w:shd w:val="clear" w:color="auto" w:fill="auto"/>
            <w:noWrap/>
            <w:vAlign w:val="bottom"/>
            <w:hideMark/>
          </w:tcPr>
          <w:p w14:paraId="4BACB5BA" w14:textId="77777777" w:rsidR="003420B0" w:rsidRPr="0048506B" w:rsidRDefault="003420B0" w:rsidP="001D3745">
            <w:pPr>
              <w:spacing w:after="0" w:line="240" w:lineRule="auto"/>
              <w:jc w:val="center"/>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3BC479CF"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459" w:type="dxa"/>
            <w:tcBorders>
              <w:top w:val="nil"/>
              <w:left w:val="nil"/>
              <w:bottom w:val="nil"/>
              <w:right w:val="nil"/>
            </w:tcBorders>
            <w:shd w:val="clear" w:color="auto" w:fill="auto"/>
            <w:noWrap/>
            <w:vAlign w:val="bottom"/>
            <w:hideMark/>
          </w:tcPr>
          <w:p w14:paraId="7B81E0D9"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409BDF31"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602" w:type="dxa"/>
            <w:tcBorders>
              <w:top w:val="nil"/>
              <w:left w:val="nil"/>
              <w:bottom w:val="nil"/>
              <w:right w:val="nil"/>
            </w:tcBorders>
            <w:shd w:val="clear" w:color="000000" w:fill="FFFFFF"/>
            <w:noWrap/>
            <w:vAlign w:val="center"/>
            <w:hideMark/>
          </w:tcPr>
          <w:p w14:paraId="36CE261B" w14:textId="77777777" w:rsidR="003420B0" w:rsidRPr="0048506B" w:rsidRDefault="003420B0" w:rsidP="001D3745">
            <w:pPr>
              <w:spacing w:after="0" w:line="240" w:lineRule="auto"/>
              <w:jc w:val="right"/>
              <w:rPr>
                <w:rFonts w:ascii="Verdana" w:eastAsia="Times New Roman" w:hAnsi="Verdana" w:cs="Calibri"/>
                <w:color w:val="000000"/>
                <w:sz w:val="10"/>
                <w:szCs w:val="10"/>
                <w:lang w:eastAsia="pt-BR"/>
              </w:rPr>
            </w:pPr>
            <w:r w:rsidRPr="0048506B">
              <w:rPr>
                <w:rFonts w:ascii="Verdana" w:eastAsia="Times New Roman" w:hAnsi="Verdana" w:cs="Calibri"/>
                <w:color w:val="000000"/>
                <w:sz w:val="10"/>
                <w:szCs w:val="10"/>
                <w:lang w:eastAsia="pt-BR"/>
              </w:rPr>
              <w:t> </w:t>
            </w:r>
          </w:p>
        </w:tc>
        <w:tc>
          <w:tcPr>
            <w:tcW w:w="211" w:type="dxa"/>
            <w:tcBorders>
              <w:top w:val="nil"/>
              <w:left w:val="nil"/>
              <w:bottom w:val="nil"/>
              <w:right w:val="nil"/>
            </w:tcBorders>
            <w:shd w:val="clear" w:color="auto" w:fill="auto"/>
            <w:noWrap/>
            <w:vAlign w:val="bottom"/>
            <w:hideMark/>
          </w:tcPr>
          <w:p w14:paraId="1D98A257" w14:textId="77777777" w:rsidR="003420B0" w:rsidRPr="0048506B" w:rsidRDefault="003420B0" w:rsidP="001D3745">
            <w:pPr>
              <w:spacing w:after="0" w:line="240" w:lineRule="auto"/>
              <w:jc w:val="right"/>
              <w:rPr>
                <w:rFonts w:ascii="Verdana" w:eastAsia="Times New Roman" w:hAnsi="Verdana" w:cs="Calibri"/>
                <w:color w:val="000000"/>
                <w:sz w:val="10"/>
                <w:szCs w:val="10"/>
                <w:lang w:eastAsia="pt-BR"/>
              </w:rPr>
            </w:pPr>
          </w:p>
        </w:tc>
        <w:tc>
          <w:tcPr>
            <w:tcW w:w="1363" w:type="dxa"/>
            <w:tcBorders>
              <w:top w:val="nil"/>
              <w:left w:val="nil"/>
              <w:bottom w:val="nil"/>
              <w:right w:val="nil"/>
            </w:tcBorders>
            <w:shd w:val="clear" w:color="000000" w:fill="FFFFFF"/>
            <w:noWrap/>
            <w:vAlign w:val="center"/>
            <w:hideMark/>
          </w:tcPr>
          <w:p w14:paraId="0398B6DB" w14:textId="77777777" w:rsidR="003420B0" w:rsidRPr="0048506B" w:rsidRDefault="003420B0" w:rsidP="001D3745">
            <w:pPr>
              <w:spacing w:after="0" w:line="240" w:lineRule="auto"/>
              <w:jc w:val="right"/>
              <w:rPr>
                <w:rFonts w:ascii="Verdana" w:eastAsia="Times New Roman" w:hAnsi="Verdana" w:cs="Calibri"/>
                <w:color w:val="000000"/>
                <w:sz w:val="10"/>
                <w:szCs w:val="10"/>
                <w:lang w:eastAsia="pt-BR"/>
              </w:rPr>
            </w:pPr>
            <w:r w:rsidRPr="0048506B">
              <w:rPr>
                <w:rFonts w:ascii="Verdana" w:eastAsia="Times New Roman" w:hAnsi="Verdana" w:cs="Calibri"/>
                <w:color w:val="000000"/>
                <w:sz w:val="10"/>
                <w:szCs w:val="10"/>
                <w:lang w:eastAsia="pt-BR"/>
              </w:rPr>
              <w:t> </w:t>
            </w:r>
          </w:p>
        </w:tc>
      </w:tr>
      <w:tr w:rsidR="003420B0" w:rsidRPr="0048506B" w14:paraId="762700CC" w14:textId="77777777" w:rsidTr="003420B0">
        <w:trPr>
          <w:trHeight w:val="20"/>
        </w:trPr>
        <w:tc>
          <w:tcPr>
            <w:tcW w:w="3544" w:type="dxa"/>
            <w:tcBorders>
              <w:top w:val="nil"/>
              <w:left w:val="nil"/>
              <w:bottom w:val="nil"/>
              <w:right w:val="nil"/>
            </w:tcBorders>
            <w:shd w:val="clear" w:color="000000" w:fill="FFFFFF"/>
            <w:noWrap/>
            <w:vAlign w:val="center"/>
            <w:hideMark/>
          </w:tcPr>
          <w:p w14:paraId="16780F02" w14:textId="77777777" w:rsidR="003420B0" w:rsidRPr="0048506B" w:rsidRDefault="003420B0" w:rsidP="001D3745">
            <w:pPr>
              <w:spacing w:after="0" w:line="240" w:lineRule="auto"/>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DESPESAS OPERACIONAIS</w:t>
            </w:r>
          </w:p>
        </w:tc>
        <w:tc>
          <w:tcPr>
            <w:tcW w:w="612" w:type="dxa"/>
            <w:tcBorders>
              <w:top w:val="nil"/>
              <w:left w:val="nil"/>
              <w:bottom w:val="nil"/>
              <w:right w:val="nil"/>
            </w:tcBorders>
            <w:shd w:val="clear" w:color="auto" w:fill="auto"/>
            <w:vAlign w:val="center"/>
            <w:hideMark/>
          </w:tcPr>
          <w:p w14:paraId="16E46CFC" w14:textId="77777777" w:rsidR="003420B0" w:rsidRPr="0048506B" w:rsidRDefault="003420B0" w:rsidP="001D3745">
            <w:pPr>
              <w:spacing w:after="0" w:line="240" w:lineRule="auto"/>
              <w:jc w:val="center"/>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25</w:t>
            </w:r>
          </w:p>
        </w:tc>
        <w:tc>
          <w:tcPr>
            <w:tcW w:w="1642" w:type="dxa"/>
            <w:tcBorders>
              <w:top w:val="nil"/>
              <w:left w:val="nil"/>
              <w:bottom w:val="nil"/>
              <w:right w:val="nil"/>
            </w:tcBorders>
            <w:shd w:val="clear" w:color="auto" w:fill="auto"/>
            <w:noWrap/>
            <w:vAlign w:val="bottom"/>
            <w:hideMark/>
          </w:tcPr>
          <w:p w14:paraId="5435CE4C" w14:textId="77777777" w:rsidR="003420B0" w:rsidRPr="0048506B" w:rsidRDefault="003420B0" w:rsidP="001D3745">
            <w:pPr>
              <w:spacing w:after="0" w:line="240" w:lineRule="auto"/>
              <w:jc w:val="center"/>
              <w:rPr>
                <w:rFonts w:ascii="Verdana" w:eastAsia="Times New Roman" w:hAnsi="Verdana" w:cs="Calibri"/>
                <w:b/>
                <w:bCs/>
                <w:color w:val="000000"/>
                <w:sz w:val="16"/>
                <w:szCs w:val="16"/>
                <w:lang w:eastAsia="pt-BR"/>
              </w:rPr>
            </w:pPr>
          </w:p>
        </w:tc>
        <w:tc>
          <w:tcPr>
            <w:tcW w:w="211" w:type="dxa"/>
            <w:tcBorders>
              <w:top w:val="nil"/>
              <w:left w:val="nil"/>
              <w:bottom w:val="nil"/>
              <w:right w:val="nil"/>
            </w:tcBorders>
            <w:shd w:val="clear" w:color="auto" w:fill="auto"/>
            <w:noWrap/>
            <w:vAlign w:val="bottom"/>
            <w:hideMark/>
          </w:tcPr>
          <w:p w14:paraId="2F380FC7"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459" w:type="dxa"/>
            <w:tcBorders>
              <w:top w:val="nil"/>
              <w:left w:val="nil"/>
              <w:bottom w:val="nil"/>
              <w:right w:val="nil"/>
            </w:tcBorders>
            <w:shd w:val="clear" w:color="auto" w:fill="auto"/>
            <w:noWrap/>
            <w:vAlign w:val="bottom"/>
            <w:hideMark/>
          </w:tcPr>
          <w:p w14:paraId="14C21ACA"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758A7485"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602" w:type="dxa"/>
            <w:tcBorders>
              <w:top w:val="nil"/>
              <w:left w:val="nil"/>
              <w:bottom w:val="nil"/>
              <w:right w:val="nil"/>
            </w:tcBorders>
            <w:shd w:val="clear" w:color="000000" w:fill="FFFFFF"/>
            <w:noWrap/>
            <w:vAlign w:val="center"/>
            <w:hideMark/>
          </w:tcPr>
          <w:p w14:paraId="5BA51AE9"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211" w:type="dxa"/>
            <w:tcBorders>
              <w:top w:val="nil"/>
              <w:left w:val="nil"/>
              <w:bottom w:val="nil"/>
              <w:right w:val="nil"/>
            </w:tcBorders>
            <w:shd w:val="clear" w:color="auto" w:fill="auto"/>
            <w:noWrap/>
            <w:vAlign w:val="bottom"/>
            <w:hideMark/>
          </w:tcPr>
          <w:p w14:paraId="68063B94"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363" w:type="dxa"/>
            <w:tcBorders>
              <w:top w:val="nil"/>
              <w:left w:val="nil"/>
              <w:bottom w:val="nil"/>
              <w:right w:val="nil"/>
            </w:tcBorders>
            <w:shd w:val="clear" w:color="000000" w:fill="FFFFFF"/>
            <w:noWrap/>
            <w:vAlign w:val="center"/>
            <w:hideMark/>
          </w:tcPr>
          <w:p w14:paraId="52287BEC"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r>
      <w:tr w:rsidR="003420B0" w:rsidRPr="0048506B" w14:paraId="5E462B5B" w14:textId="77777777" w:rsidTr="003420B0">
        <w:trPr>
          <w:trHeight w:val="20"/>
        </w:trPr>
        <w:tc>
          <w:tcPr>
            <w:tcW w:w="3544" w:type="dxa"/>
            <w:tcBorders>
              <w:top w:val="nil"/>
              <w:left w:val="nil"/>
              <w:bottom w:val="nil"/>
              <w:right w:val="nil"/>
            </w:tcBorders>
            <w:shd w:val="clear" w:color="000000" w:fill="FFFFFF"/>
            <w:noWrap/>
            <w:vAlign w:val="center"/>
            <w:hideMark/>
          </w:tcPr>
          <w:p w14:paraId="7424A6A3"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Pessoal, Material e Serviços</w:t>
            </w:r>
          </w:p>
        </w:tc>
        <w:tc>
          <w:tcPr>
            <w:tcW w:w="612" w:type="dxa"/>
            <w:tcBorders>
              <w:top w:val="nil"/>
              <w:left w:val="nil"/>
              <w:bottom w:val="nil"/>
              <w:right w:val="nil"/>
            </w:tcBorders>
            <w:shd w:val="clear" w:color="000000" w:fill="FFFFFF"/>
            <w:vAlign w:val="center"/>
            <w:hideMark/>
          </w:tcPr>
          <w:p w14:paraId="3D19C2B0" w14:textId="77777777" w:rsidR="003420B0" w:rsidRPr="0048506B" w:rsidRDefault="003420B0" w:rsidP="001D3745">
            <w:pPr>
              <w:spacing w:after="0" w:line="240" w:lineRule="auto"/>
              <w:jc w:val="center"/>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1642" w:type="dxa"/>
            <w:tcBorders>
              <w:top w:val="nil"/>
              <w:left w:val="nil"/>
              <w:bottom w:val="nil"/>
              <w:right w:val="nil"/>
            </w:tcBorders>
            <w:shd w:val="clear" w:color="000000" w:fill="FFFFFF"/>
            <w:vAlign w:val="center"/>
            <w:hideMark/>
          </w:tcPr>
          <w:p w14:paraId="204E9D00"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(4.423)</w:t>
            </w:r>
          </w:p>
        </w:tc>
        <w:tc>
          <w:tcPr>
            <w:tcW w:w="211" w:type="dxa"/>
            <w:tcBorders>
              <w:top w:val="nil"/>
              <w:left w:val="nil"/>
              <w:bottom w:val="nil"/>
              <w:right w:val="nil"/>
            </w:tcBorders>
            <w:shd w:val="clear" w:color="000000" w:fill="FFFFFF"/>
            <w:vAlign w:val="center"/>
            <w:hideMark/>
          </w:tcPr>
          <w:p w14:paraId="02E9D249"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1459" w:type="dxa"/>
            <w:tcBorders>
              <w:top w:val="nil"/>
              <w:left w:val="nil"/>
              <w:bottom w:val="nil"/>
              <w:right w:val="nil"/>
            </w:tcBorders>
            <w:shd w:val="clear" w:color="000000" w:fill="FFFFFF"/>
            <w:vAlign w:val="center"/>
            <w:hideMark/>
          </w:tcPr>
          <w:p w14:paraId="5F34E05B"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(2.820)</w:t>
            </w:r>
          </w:p>
        </w:tc>
        <w:tc>
          <w:tcPr>
            <w:tcW w:w="211" w:type="dxa"/>
            <w:tcBorders>
              <w:top w:val="nil"/>
              <w:left w:val="nil"/>
              <w:bottom w:val="nil"/>
              <w:right w:val="nil"/>
            </w:tcBorders>
            <w:shd w:val="clear" w:color="000000" w:fill="FFFFFF"/>
            <w:vAlign w:val="center"/>
            <w:hideMark/>
          </w:tcPr>
          <w:p w14:paraId="0A8FF8DA"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1602" w:type="dxa"/>
            <w:tcBorders>
              <w:top w:val="nil"/>
              <w:left w:val="nil"/>
              <w:bottom w:val="nil"/>
              <w:right w:val="nil"/>
            </w:tcBorders>
            <w:shd w:val="clear" w:color="000000" w:fill="FFFFFF"/>
            <w:vAlign w:val="center"/>
            <w:hideMark/>
          </w:tcPr>
          <w:p w14:paraId="504A7BFE"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(54.740)</w:t>
            </w:r>
          </w:p>
        </w:tc>
        <w:tc>
          <w:tcPr>
            <w:tcW w:w="211" w:type="dxa"/>
            <w:tcBorders>
              <w:top w:val="nil"/>
              <w:left w:val="nil"/>
              <w:bottom w:val="nil"/>
              <w:right w:val="nil"/>
            </w:tcBorders>
            <w:shd w:val="clear" w:color="000000" w:fill="FFFFFF"/>
            <w:vAlign w:val="center"/>
            <w:hideMark/>
          </w:tcPr>
          <w:p w14:paraId="54838CF9"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1363" w:type="dxa"/>
            <w:tcBorders>
              <w:top w:val="nil"/>
              <w:left w:val="nil"/>
              <w:bottom w:val="nil"/>
              <w:right w:val="nil"/>
            </w:tcBorders>
            <w:shd w:val="clear" w:color="000000" w:fill="FFFFFF"/>
            <w:vAlign w:val="center"/>
            <w:hideMark/>
          </w:tcPr>
          <w:p w14:paraId="55C41428"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(53.136)</w:t>
            </w:r>
          </w:p>
        </w:tc>
      </w:tr>
      <w:tr w:rsidR="003420B0" w:rsidRPr="0048506B" w14:paraId="75D8A407" w14:textId="77777777" w:rsidTr="003420B0">
        <w:trPr>
          <w:trHeight w:val="20"/>
        </w:trPr>
        <w:tc>
          <w:tcPr>
            <w:tcW w:w="3544" w:type="dxa"/>
            <w:tcBorders>
              <w:top w:val="nil"/>
              <w:left w:val="nil"/>
              <w:bottom w:val="nil"/>
              <w:right w:val="nil"/>
            </w:tcBorders>
            <w:shd w:val="clear" w:color="000000" w:fill="FFFFFF"/>
            <w:noWrap/>
            <w:vAlign w:val="center"/>
            <w:hideMark/>
          </w:tcPr>
          <w:p w14:paraId="44FA2052"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Depreciação e Amortização</w:t>
            </w:r>
          </w:p>
        </w:tc>
        <w:tc>
          <w:tcPr>
            <w:tcW w:w="612" w:type="dxa"/>
            <w:tcBorders>
              <w:top w:val="nil"/>
              <w:left w:val="nil"/>
              <w:bottom w:val="nil"/>
              <w:right w:val="nil"/>
            </w:tcBorders>
            <w:shd w:val="clear" w:color="auto" w:fill="auto"/>
            <w:vAlign w:val="center"/>
            <w:hideMark/>
          </w:tcPr>
          <w:p w14:paraId="4AB6B099"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p>
        </w:tc>
        <w:tc>
          <w:tcPr>
            <w:tcW w:w="1642" w:type="dxa"/>
            <w:tcBorders>
              <w:top w:val="nil"/>
              <w:left w:val="nil"/>
              <w:bottom w:val="nil"/>
              <w:right w:val="nil"/>
            </w:tcBorders>
            <w:shd w:val="clear" w:color="000000" w:fill="FFFFFF"/>
            <w:vAlign w:val="center"/>
            <w:hideMark/>
          </w:tcPr>
          <w:p w14:paraId="5DA1AA02"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 </w:t>
            </w:r>
          </w:p>
        </w:tc>
        <w:tc>
          <w:tcPr>
            <w:tcW w:w="211" w:type="dxa"/>
            <w:tcBorders>
              <w:top w:val="nil"/>
              <w:left w:val="nil"/>
              <w:bottom w:val="nil"/>
              <w:right w:val="nil"/>
            </w:tcBorders>
            <w:shd w:val="clear" w:color="000000" w:fill="FFFFFF"/>
            <w:vAlign w:val="center"/>
            <w:hideMark/>
          </w:tcPr>
          <w:p w14:paraId="1E03F30F"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1459" w:type="dxa"/>
            <w:tcBorders>
              <w:top w:val="nil"/>
              <w:left w:val="nil"/>
              <w:bottom w:val="nil"/>
              <w:right w:val="nil"/>
            </w:tcBorders>
            <w:shd w:val="clear" w:color="000000" w:fill="FFFFFF"/>
            <w:vAlign w:val="center"/>
            <w:hideMark/>
          </w:tcPr>
          <w:p w14:paraId="1890423F"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 </w:t>
            </w:r>
          </w:p>
        </w:tc>
        <w:tc>
          <w:tcPr>
            <w:tcW w:w="211" w:type="dxa"/>
            <w:tcBorders>
              <w:top w:val="nil"/>
              <w:left w:val="nil"/>
              <w:bottom w:val="nil"/>
              <w:right w:val="nil"/>
            </w:tcBorders>
            <w:shd w:val="clear" w:color="000000" w:fill="FFFFFF"/>
            <w:vAlign w:val="center"/>
            <w:hideMark/>
          </w:tcPr>
          <w:p w14:paraId="714A1C69"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1602" w:type="dxa"/>
            <w:tcBorders>
              <w:top w:val="nil"/>
              <w:left w:val="nil"/>
              <w:bottom w:val="nil"/>
              <w:right w:val="nil"/>
            </w:tcBorders>
            <w:shd w:val="clear" w:color="000000" w:fill="FFFFFF"/>
            <w:vAlign w:val="center"/>
            <w:hideMark/>
          </w:tcPr>
          <w:p w14:paraId="4330EAD2"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(934)</w:t>
            </w:r>
          </w:p>
        </w:tc>
        <w:tc>
          <w:tcPr>
            <w:tcW w:w="211" w:type="dxa"/>
            <w:tcBorders>
              <w:top w:val="nil"/>
              <w:left w:val="nil"/>
              <w:bottom w:val="nil"/>
              <w:right w:val="nil"/>
            </w:tcBorders>
            <w:shd w:val="clear" w:color="000000" w:fill="FFFFFF"/>
            <w:vAlign w:val="center"/>
            <w:hideMark/>
          </w:tcPr>
          <w:p w14:paraId="46AD4BBC"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1363" w:type="dxa"/>
            <w:tcBorders>
              <w:top w:val="nil"/>
              <w:left w:val="nil"/>
              <w:bottom w:val="nil"/>
              <w:right w:val="nil"/>
            </w:tcBorders>
            <w:shd w:val="clear" w:color="000000" w:fill="FFFFFF"/>
            <w:vAlign w:val="center"/>
            <w:hideMark/>
          </w:tcPr>
          <w:p w14:paraId="013F5626"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(934)</w:t>
            </w:r>
          </w:p>
        </w:tc>
      </w:tr>
      <w:tr w:rsidR="003420B0" w:rsidRPr="0048506B" w14:paraId="38859534" w14:textId="77777777" w:rsidTr="003420B0">
        <w:trPr>
          <w:trHeight w:val="20"/>
        </w:trPr>
        <w:tc>
          <w:tcPr>
            <w:tcW w:w="3544" w:type="dxa"/>
            <w:tcBorders>
              <w:top w:val="nil"/>
              <w:left w:val="nil"/>
              <w:bottom w:val="nil"/>
              <w:right w:val="nil"/>
            </w:tcBorders>
            <w:shd w:val="clear" w:color="000000" w:fill="FFFFFF"/>
            <w:noWrap/>
            <w:vAlign w:val="center"/>
            <w:hideMark/>
          </w:tcPr>
          <w:p w14:paraId="1319918A"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Provisões/Reversões operacionais</w:t>
            </w:r>
          </w:p>
        </w:tc>
        <w:tc>
          <w:tcPr>
            <w:tcW w:w="612" w:type="dxa"/>
            <w:tcBorders>
              <w:top w:val="nil"/>
              <w:left w:val="nil"/>
              <w:bottom w:val="nil"/>
              <w:right w:val="nil"/>
            </w:tcBorders>
            <w:shd w:val="clear" w:color="auto" w:fill="auto"/>
            <w:vAlign w:val="center"/>
            <w:hideMark/>
          </w:tcPr>
          <w:p w14:paraId="56F116D9"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p>
        </w:tc>
        <w:tc>
          <w:tcPr>
            <w:tcW w:w="1642" w:type="dxa"/>
            <w:tcBorders>
              <w:top w:val="nil"/>
              <w:left w:val="nil"/>
              <w:bottom w:val="nil"/>
              <w:right w:val="nil"/>
            </w:tcBorders>
            <w:shd w:val="clear" w:color="000000" w:fill="FFFFFF"/>
            <w:vAlign w:val="center"/>
            <w:hideMark/>
          </w:tcPr>
          <w:p w14:paraId="7A067A1D"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 </w:t>
            </w:r>
          </w:p>
        </w:tc>
        <w:tc>
          <w:tcPr>
            <w:tcW w:w="211" w:type="dxa"/>
            <w:tcBorders>
              <w:top w:val="nil"/>
              <w:left w:val="nil"/>
              <w:bottom w:val="nil"/>
              <w:right w:val="nil"/>
            </w:tcBorders>
            <w:shd w:val="clear" w:color="000000" w:fill="FFFFFF"/>
            <w:vAlign w:val="center"/>
            <w:hideMark/>
          </w:tcPr>
          <w:p w14:paraId="6587B154"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1459" w:type="dxa"/>
            <w:tcBorders>
              <w:top w:val="nil"/>
              <w:left w:val="nil"/>
              <w:bottom w:val="nil"/>
              <w:right w:val="nil"/>
            </w:tcBorders>
            <w:shd w:val="clear" w:color="000000" w:fill="FFFFFF"/>
            <w:vAlign w:val="center"/>
            <w:hideMark/>
          </w:tcPr>
          <w:p w14:paraId="21AADB07"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 </w:t>
            </w:r>
          </w:p>
        </w:tc>
        <w:tc>
          <w:tcPr>
            <w:tcW w:w="211" w:type="dxa"/>
            <w:tcBorders>
              <w:top w:val="nil"/>
              <w:left w:val="nil"/>
              <w:bottom w:val="nil"/>
              <w:right w:val="nil"/>
            </w:tcBorders>
            <w:shd w:val="clear" w:color="000000" w:fill="FFFFFF"/>
            <w:vAlign w:val="center"/>
            <w:hideMark/>
          </w:tcPr>
          <w:p w14:paraId="32A16A85"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1602" w:type="dxa"/>
            <w:tcBorders>
              <w:top w:val="nil"/>
              <w:left w:val="nil"/>
              <w:bottom w:val="nil"/>
              <w:right w:val="nil"/>
            </w:tcBorders>
            <w:shd w:val="clear" w:color="000000" w:fill="FFFFFF"/>
            <w:vAlign w:val="center"/>
            <w:hideMark/>
          </w:tcPr>
          <w:p w14:paraId="75803506"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(28.707)</w:t>
            </w:r>
          </w:p>
        </w:tc>
        <w:tc>
          <w:tcPr>
            <w:tcW w:w="211" w:type="dxa"/>
            <w:tcBorders>
              <w:top w:val="nil"/>
              <w:left w:val="nil"/>
              <w:bottom w:val="nil"/>
              <w:right w:val="nil"/>
            </w:tcBorders>
            <w:shd w:val="clear" w:color="000000" w:fill="FFFFFF"/>
            <w:vAlign w:val="center"/>
            <w:hideMark/>
          </w:tcPr>
          <w:p w14:paraId="527F16AC"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1363" w:type="dxa"/>
            <w:tcBorders>
              <w:top w:val="nil"/>
              <w:left w:val="nil"/>
              <w:bottom w:val="nil"/>
              <w:right w:val="nil"/>
            </w:tcBorders>
            <w:shd w:val="clear" w:color="000000" w:fill="FFFFFF"/>
            <w:vAlign w:val="center"/>
            <w:hideMark/>
          </w:tcPr>
          <w:p w14:paraId="7095A91C"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(28.707)</w:t>
            </w:r>
          </w:p>
        </w:tc>
      </w:tr>
      <w:tr w:rsidR="003420B0" w:rsidRPr="0048506B" w14:paraId="48245ED5" w14:textId="77777777" w:rsidTr="003420B0">
        <w:trPr>
          <w:trHeight w:val="20"/>
        </w:trPr>
        <w:tc>
          <w:tcPr>
            <w:tcW w:w="3544" w:type="dxa"/>
            <w:tcBorders>
              <w:top w:val="nil"/>
              <w:left w:val="nil"/>
              <w:bottom w:val="nil"/>
              <w:right w:val="nil"/>
            </w:tcBorders>
            <w:shd w:val="clear" w:color="000000" w:fill="FFFFFF"/>
            <w:noWrap/>
            <w:vAlign w:val="center"/>
            <w:hideMark/>
          </w:tcPr>
          <w:p w14:paraId="77B9B372"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Equivalência patrimonial</w:t>
            </w:r>
          </w:p>
        </w:tc>
        <w:tc>
          <w:tcPr>
            <w:tcW w:w="612" w:type="dxa"/>
            <w:tcBorders>
              <w:top w:val="nil"/>
              <w:left w:val="nil"/>
              <w:bottom w:val="nil"/>
              <w:right w:val="nil"/>
            </w:tcBorders>
            <w:shd w:val="clear" w:color="000000" w:fill="FFFFFF"/>
            <w:vAlign w:val="center"/>
            <w:hideMark/>
          </w:tcPr>
          <w:p w14:paraId="2A26082A" w14:textId="77777777" w:rsidR="003420B0" w:rsidRPr="0048506B" w:rsidRDefault="003420B0" w:rsidP="001D3745">
            <w:pPr>
              <w:spacing w:after="0" w:line="240" w:lineRule="auto"/>
              <w:jc w:val="center"/>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1642" w:type="dxa"/>
            <w:tcBorders>
              <w:top w:val="nil"/>
              <w:left w:val="nil"/>
              <w:bottom w:val="nil"/>
              <w:right w:val="nil"/>
            </w:tcBorders>
            <w:shd w:val="clear" w:color="000000" w:fill="FFFFFF"/>
            <w:vAlign w:val="center"/>
            <w:hideMark/>
          </w:tcPr>
          <w:p w14:paraId="1013EE88"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(7.757)</w:t>
            </w:r>
          </w:p>
        </w:tc>
        <w:tc>
          <w:tcPr>
            <w:tcW w:w="211" w:type="dxa"/>
            <w:tcBorders>
              <w:top w:val="nil"/>
              <w:left w:val="nil"/>
              <w:bottom w:val="nil"/>
              <w:right w:val="nil"/>
            </w:tcBorders>
            <w:shd w:val="clear" w:color="000000" w:fill="FFFFFF"/>
            <w:vAlign w:val="center"/>
            <w:hideMark/>
          </w:tcPr>
          <w:p w14:paraId="67B27E84"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1459" w:type="dxa"/>
            <w:tcBorders>
              <w:top w:val="nil"/>
              <w:left w:val="nil"/>
              <w:bottom w:val="nil"/>
              <w:right w:val="nil"/>
            </w:tcBorders>
            <w:shd w:val="clear" w:color="000000" w:fill="FFFFFF"/>
            <w:vAlign w:val="center"/>
            <w:hideMark/>
          </w:tcPr>
          <w:p w14:paraId="45AC871D"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(7.757)</w:t>
            </w:r>
          </w:p>
        </w:tc>
        <w:tc>
          <w:tcPr>
            <w:tcW w:w="211" w:type="dxa"/>
            <w:tcBorders>
              <w:top w:val="nil"/>
              <w:left w:val="nil"/>
              <w:bottom w:val="nil"/>
              <w:right w:val="nil"/>
            </w:tcBorders>
            <w:shd w:val="clear" w:color="000000" w:fill="FFFFFF"/>
            <w:vAlign w:val="center"/>
            <w:hideMark/>
          </w:tcPr>
          <w:p w14:paraId="06C8325D"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1602" w:type="dxa"/>
            <w:tcBorders>
              <w:top w:val="nil"/>
              <w:left w:val="nil"/>
              <w:bottom w:val="nil"/>
              <w:right w:val="nil"/>
            </w:tcBorders>
            <w:shd w:val="clear" w:color="000000" w:fill="FFFFFF"/>
            <w:vAlign w:val="center"/>
            <w:hideMark/>
          </w:tcPr>
          <w:p w14:paraId="4940D08F"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 </w:t>
            </w:r>
          </w:p>
        </w:tc>
        <w:tc>
          <w:tcPr>
            <w:tcW w:w="211" w:type="dxa"/>
            <w:tcBorders>
              <w:top w:val="nil"/>
              <w:left w:val="nil"/>
              <w:bottom w:val="nil"/>
              <w:right w:val="nil"/>
            </w:tcBorders>
            <w:shd w:val="clear" w:color="000000" w:fill="FFFFFF"/>
            <w:vAlign w:val="center"/>
            <w:hideMark/>
          </w:tcPr>
          <w:p w14:paraId="568DCF52"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1363" w:type="dxa"/>
            <w:tcBorders>
              <w:top w:val="nil"/>
              <w:left w:val="nil"/>
              <w:bottom w:val="nil"/>
              <w:right w:val="nil"/>
            </w:tcBorders>
            <w:shd w:val="clear" w:color="000000" w:fill="FFFFFF"/>
            <w:vAlign w:val="center"/>
            <w:hideMark/>
          </w:tcPr>
          <w:p w14:paraId="195760AC"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 </w:t>
            </w:r>
          </w:p>
        </w:tc>
      </w:tr>
      <w:tr w:rsidR="003420B0" w:rsidRPr="0048506B" w14:paraId="2D0A4C23" w14:textId="77777777" w:rsidTr="003420B0">
        <w:trPr>
          <w:trHeight w:val="20"/>
        </w:trPr>
        <w:tc>
          <w:tcPr>
            <w:tcW w:w="3544" w:type="dxa"/>
            <w:tcBorders>
              <w:top w:val="nil"/>
              <w:left w:val="nil"/>
              <w:bottom w:val="nil"/>
              <w:right w:val="nil"/>
            </w:tcBorders>
            <w:shd w:val="clear" w:color="000000" w:fill="FFFFFF"/>
            <w:noWrap/>
            <w:vAlign w:val="center"/>
            <w:hideMark/>
          </w:tcPr>
          <w:p w14:paraId="3656DBA2"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Outras receitas e (despesas) líquidas</w:t>
            </w:r>
          </w:p>
        </w:tc>
        <w:tc>
          <w:tcPr>
            <w:tcW w:w="612" w:type="dxa"/>
            <w:tcBorders>
              <w:top w:val="nil"/>
              <w:left w:val="nil"/>
              <w:bottom w:val="nil"/>
              <w:right w:val="nil"/>
            </w:tcBorders>
            <w:shd w:val="clear" w:color="000000" w:fill="FFFFFF"/>
            <w:vAlign w:val="center"/>
            <w:hideMark/>
          </w:tcPr>
          <w:p w14:paraId="3D34AFEA" w14:textId="77777777" w:rsidR="003420B0" w:rsidRPr="0048506B" w:rsidRDefault="003420B0" w:rsidP="001D3745">
            <w:pPr>
              <w:spacing w:after="0" w:line="240" w:lineRule="auto"/>
              <w:jc w:val="center"/>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1642" w:type="dxa"/>
            <w:tcBorders>
              <w:top w:val="nil"/>
              <w:left w:val="nil"/>
              <w:bottom w:val="nil"/>
              <w:right w:val="nil"/>
            </w:tcBorders>
            <w:shd w:val="clear" w:color="000000" w:fill="FFFFFF"/>
            <w:vAlign w:val="center"/>
            <w:hideMark/>
          </w:tcPr>
          <w:p w14:paraId="294D8A96"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1.168 </w:t>
            </w:r>
          </w:p>
        </w:tc>
        <w:tc>
          <w:tcPr>
            <w:tcW w:w="211" w:type="dxa"/>
            <w:tcBorders>
              <w:top w:val="nil"/>
              <w:left w:val="nil"/>
              <w:bottom w:val="nil"/>
              <w:right w:val="nil"/>
            </w:tcBorders>
            <w:shd w:val="clear" w:color="000000" w:fill="FFFFFF"/>
            <w:vAlign w:val="center"/>
            <w:hideMark/>
          </w:tcPr>
          <w:p w14:paraId="1ECA6985"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1459" w:type="dxa"/>
            <w:tcBorders>
              <w:top w:val="nil"/>
              <w:left w:val="nil"/>
              <w:bottom w:val="nil"/>
              <w:right w:val="nil"/>
            </w:tcBorders>
            <w:shd w:val="clear" w:color="000000" w:fill="FFFFFF"/>
            <w:vAlign w:val="center"/>
            <w:hideMark/>
          </w:tcPr>
          <w:p w14:paraId="563EE2AA"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1.168 </w:t>
            </w:r>
          </w:p>
        </w:tc>
        <w:tc>
          <w:tcPr>
            <w:tcW w:w="211" w:type="dxa"/>
            <w:tcBorders>
              <w:top w:val="nil"/>
              <w:left w:val="nil"/>
              <w:bottom w:val="nil"/>
              <w:right w:val="nil"/>
            </w:tcBorders>
            <w:shd w:val="clear" w:color="000000" w:fill="FFFFFF"/>
            <w:vAlign w:val="center"/>
            <w:hideMark/>
          </w:tcPr>
          <w:p w14:paraId="458A7B4F"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1602" w:type="dxa"/>
            <w:tcBorders>
              <w:top w:val="nil"/>
              <w:left w:val="nil"/>
              <w:bottom w:val="nil"/>
              <w:right w:val="nil"/>
            </w:tcBorders>
            <w:shd w:val="clear" w:color="000000" w:fill="FFFFFF"/>
            <w:vAlign w:val="center"/>
            <w:hideMark/>
          </w:tcPr>
          <w:p w14:paraId="6CA96096"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(8.873)</w:t>
            </w:r>
          </w:p>
        </w:tc>
        <w:tc>
          <w:tcPr>
            <w:tcW w:w="211" w:type="dxa"/>
            <w:tcBorders>
              <w:top w:val="nil"/>
              <w:left w:val="nil"/>
              <w:bottom w:val="nil"/>
              <w:right w:val="nil"/>
            </w:tcBorders>
            <w:shd w:val="clear" w:color="000000" w:fill="FFFFFF"/>
            <w:vAlign w:val="center"/>
            <w:hideMark/>
          </w:tcPr>
          <w:p w14:paraId="38EB40FF"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1363" w:type="dxa"/>
            <w:tcBorders>
              <w:top w:val="nil"/>
              <w:left w:val="nil"/>
              <w:bottom w:val="nil"/>
              <w:right w:val="nil"/>
            </w:tcBorders>
            <w:shd w:val="clear" w:color="000000" w:fill="FFFFFF"/>
            <w:vAlign w:val="center"/>
            <w:hideMark/>
          </w:tcPr>
          <w:p w14:paraId="34293CB2"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(8.873)</w:t>
            </w:r>
          </w:p>
        </w:tc>
      </w:tr>
      <w:tr w:rsidR="003420B0" w:rsidRPr="0048506B" w14:paraId="498B85AD" w14:textId="77777777" w:rsidTr="003420B0">
        <w:trPr>
          <w:trHeight w:val="20"/>
        </w:trPr>
        <w:tc>
          <w:tcPr>
            <w:tcW w:w="3544" w:type="dxa"/>
            <w:tcBorders>
              <w:top w:val="nil"/>
              <w:left w:val="nil"/>
              <w:bottom w:val="nil"/>
              <w:right w:val="nil"/>
            </w:tcBorders>
            <w:shd w:val="clear" w:color="000000" w:fill="FFFFFF"/>
            <w:noWrap/>
            <w:vAlign w:val="center"/>
            <w:hideMark/>
          </w:tcPr>
          <w:p w14:paraId="7F179B86"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612" w:type="dxa"/>
            <w:tcBorders>
              <w:top w:val="nil"/>
              <w:left w:val="nil"/>
              <w:bottom w:val="nil"/>
              <w:right w:val="nil"/>
            </w:tcBorders>
            <w:shd w:val="clear" w:color="000000" w:fill="FFFFFF"/>
            <w:vAlign w:val="center"/>
            <w:hideMark/>
          </w:tcPr>
          <w:p w14:paraId="47B66874" w14:textId="77777777" w:rsidR="003420B0" w:rsidRPr="0048506B" w:rsidRDefault="003420B0" w:rsidP="001D3745">
            <w:pPr>
              <w:spacing w:after="0" w:line="240" w:lineRule="auto"/>
              <w:jc w:val="center"/>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w:t>
            </w:r>
          </w:p>
        </w:tc>
        <w:tc>
          <w:tcPr>
            <w:tcW w:w="1642" w:type="dxa"/>
            <w:tcBorders>
              <w:top w:val="single" w:sz="8" w:space="0" w:color="auto"/>
              <w:left w:val="nil"/>
              <w:bottom w:val="nil"/>
              <w:right w:val="nil"/>
            </w:tcBorders>
            <w:shd w:val="clear" w:color="000000" w:fill="FFFFFF"/>
            <w:noWrap/>
            <w:vAlign w:val="center"/>
            <w:hideMark/>
          </w:tcPr>
          <w:p w14:paraId="3BD1FEE3"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xml:space="preserve">         (11.012)</w:t>
            </w:r>
          </w:p>
        </w:tc>
        <w:tc>
          <w:tcPr>
            <w:tcW w:w="211" w:type="dxa"/>
            <w:tcBorders>
              <w:top w:val="nil"/>
              <w:left w:val="nil"/>
              <w:bottom w:val="nil"/>
              <w:right w:val="nil"/>
            </w:tcBorders>
            <w:shd w:val="clear" w:color="auto" w:fill="auto"/>
            <w:noWrap/>
            <w:vAlign w:val="bottom"/>
            <w:hideMark/>
          </w:tcPr>
          <w:p w14:paraId="022C0EA7"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p>
        </w:tc>
        <w:tc>
          <w:tcPr>
            <w:tcW w:w="1459" w:type="dxa"/>
            <w:tcBorders>
              <w:top w:val="single" w:sz="8" w:space="0" w:color="auto"/>
              <w:left w:val="nil"/>
              <w:bottom w:val="nil"/>
              <w:right w:val="nil"/>
            </w:tcBorders>
            <w:shd w:val="clear" w:color="000000" w:fill="FFFFFF"/>
            <w:noWrap/>
            <w:vAlign w:val="center"/>
            <w:hideMark/>
          </w:tcPr>
          <w:p w14:paraId="6F3ADB61"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xml:space="preserve">          (9.409)</w:t>
            </w:r>
          </w:p>
        </w:tc>
        <w:tc>
          <w:tcPr>
            <w:tcW w:w="211" w:type="dxa"/>
            <w:tcBorders>
              <w:top w:val="nil"/>
              <w:left w:val="nil"/>
              <w:bottom w:val="nil"/>
              <w:right w:val="nil"/>
            </w:tcBorders>
            <w:shd w:val="clear" w:color="auto" w:fill="auto"/>
            <w:noWrap/>
            <w:vAlign w:val="bottom"/>
            <w:hideMark/>
          </w:tcPr>
          <w:p w14:paraId="3FFF19B8"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p>
        </w:tc>
        <w:tc>
          <w:tcPr>
            <w:tcW w:w="1602" w:type="dxa"/>
            <w:tcBorders>
              <w:top w:val="single" w:sz="8" w:space="0" w:color="auto"/>
              <w:left w:val="nil"/>
              <w:bottom w:val="nil"/>
              <w:right w:val="nil"/>
            </w:tcBorders>
            <w:shd w:val="clear" w:color="000000" w:fill="FFFFFF"/>
            <w:noWrap/>
            <w:vAlign w:val="center"/>
            <w:hideMark/>
          </w:tcPr>
          <w:p w14:paraId="388A6D9A"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xml:space="preserve">        (93.254)</w:t>
            </w:r>
          </w:p>
        </w:tc>
        <w:tc>
          <w:tcPr>
            <w:tcW w:w="211" w:type="dxa"/>
            <w:tcBorders>
              <w:top w:val="nil"/>
              <w:left w:val="nil"/>
              <w:bottom w:val="nil"/>
              <w:right w:val="nil"/>
            </w:tcBorders>
            <w:shd w:val="clear" w:color="auto" w:fill="auto"/>
            <w:noWrap/>
            <w:vAlign w:val="bottom"/>
            <w:hideMark/>
          </w:tcPr>
          <w:p w14:paraId="319B8AE8"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p>
        </w:tc>
        <w:tc>
          <w:tcPr>
            <w:tcW w:w="1363" w:type="dxa"/>
            <w:tcBorders>
              <w:top w:val="single" w:sz="8" w:space="0" w:color="auto"/>
              <w:left w:val="nil"/>
              <w:bottom w:val="nil"/>
              <w:right w:val="nil"/>
            </w:tcBorders>
            <w:shd w:val="clear" w:color="000000" w:fill="FFFFFF"/>
            <w:noWrap/>
            <w:vAlign w:val="center"/>
            <w:hideMark/>
          </w:tcPr>
          <w:p w14:paraId="372CB794" w14:textId="76D8EC2F"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xml:space="preserve">      (91.650)</w:t>
            </w:r>
          </w:p>
        </w:tc>
      </w:tr>
      <w:tr w:rsidR="003420B0" w:rsidRPr="0048506B" w14:paraId="14163EBE" w14:textId="77777777" w:rsidTr="003420B0">
        <w:trPr>
          <w:trHeight w:val="20"/>
        </w:trPr>
        <w:tc>
          <w:tcPr>
            <w:tcW w:w="3544" w:type="dxa"/>
            <w:tcBorders>
              <w:top w:val="nil"/>
              <w:left w:val="nil"/>
              <w:bottom w:val="nil"/>
              <w:right w:val="nil"/>
            </w:tcBorders>
            <w:shd w:val="clear" w:color="000000" w:fill="FFFFFF"/>
            <w:noWrap/>
            <w:vAlign w:val="center"/>
            <w:hideMark/>
          </w:tcPr>
          <w:p w14:paraId="089420AF" w14:textId="77777777" w:rsidR="003420B0" w:rsidRPr="0048506B" w:rsidRDefault="003420B0" w:rsidP="001D3745">
            <w:pPr>
              <w:spacing w:after="0" w:line="240" w:lineRule="auto"/>
              <w:rPr>
                <w:rFonts w:ascii="Verdana" w:eastAsia="Times New Roman" w:hAnsi="Verdana" w:cs="Calibri"/>
                <w:color w:val="000000"/>
                <w:sz w:val="10"/>
                <w:szCs w:val="10"/>
                <w:lang w:eastAsia="pt-BR"/>
              </w:rPr>
            </w:pPr>
            <w:r w:rsidRPr="0048506B">
              <w:rPr>
                <w:rFonts w:ascii="Verdana" w:eastAsia="Times New Roman" w:hAnsi="Verdana" w:cs="Calibri"/>
                <w:color w:val="000000"/>
                <w:sz w:val="10"/>
                <w:szCs w:val="10"/>
                <w:lang w:eastAsia="pt-BR"/>
              </w:rPr>
              <w:t> </w:t>
            </w:r>
          </w:p>
        </w:tc>
        <w:tc>
          <w:tcPr>
            <w:tcW w:w="612" w:type="dxa"/>
            <w:tcBorders>
              <w:top w:val="nil"/>
              <w:left w:val="nil"/>
              <w:bottom w:val="nil"/>
              <w:right w:val="nil"/>
            </w:tcBorders>
            <w:shd w:val="clear" w:color="auto" w:fill="auto"/>
            <w:vAlign w:val="center"/>
            <w:hideMark/>
          </w:tcPr>
          <w:p w14:paraId="35B67D17" w14:textId="77777777" w:rsidR="003420B0" w:rsidRPr="0048506B" w:rsidRDefault="003420B0" w:rsidP="001D3745">
            <w:pPr>
              <w:spacing w:after="0" w:line="240" w:lineRule="auto"/>
              <w:rPr>
                <w:rFonts w:ascii="Verdana" w:eastAsia="Times New Roman" w:hAnsi="Verdana" w:cs="Calibri"/>
                <w:color w:val="000000"/>
                <w:sz w:val="10"/>
                <w:szCs w:val="10"/>
                <w:lang w:eastAsia="pt-BR"/>
              </w:rPr>
            </w:pPr>
          </w:p>
        </w:tc>
        <w:tc>
          <w:tcPr>
            <w:tcW w:w="1642" w:type="dxa"/>
            <w:tcBorders>
              <w:top w:val="nil"/>
              <w:left w:val="nil"/>
              <w:bottom w:val="nil"/>
              <w:right w:val="nil"/>
            </w:tcBorders>
            <w:shd w:val="clear" w:color="auto" w:fill="auto"/>
            <w:noWrap/>
            <w:vAlign w:val="bottom"/>
            <w:hideMark/>
          </w:tcPr>
          <w:p w14:paraId="34E9B8F1" w14:textId="77777777" w:rsidR="003420B0" w:rsidRPr="0048506B" w:rsidRDefault="003420B0" w:rsidP="001D3745">
            <w:pPr>
              <w:spacing w:after="0" w:line="240" w:lineRule="auto"/>
              <w:jc w:val="center"/>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0568CA60"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459" w:type="dxa"/>
            <w:tcBorders>
              <w:top w:val="nil"/>
              <w:left w:val="nil"/>
              <w:bottom w:val="nil"/>
              <w:right w:val="nil"/>
            </w:tcBorders>
            <w:shd w:val="clear" w:color="auto" w:fill="auto"/>
            <w:noWrap/>
            <w:vAlign w:val="bottom"/>
            <w:hideMark/>
          </w:tcPr>
          <w:p w14:paraId="202869AB"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496A7FB7"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602" w:type="dxa"/>
            <w:tcBorders>
              <w:top w:val="nil"/>
              <w:left w:val="nil"/>
              <w:bottom w:val="nil"/>
              <w:right w:val="nil"/>
            </w:tcBorders>
            <w:shd w:val="clear" w:color="000000" w:fill="FFFFFF"/>
            <w:noWrap/>
            <w:vAlign w:val="center"/>
            <w:hideMark/>
          </w:tcPr>
          <w:p w14:paraId="15B26AF9" w14:textId="77777777" w:rsidR="003420B0" w:rsidRPr="0048506B" w:rsidRDefault="003420B0" w:rsidP="001D3745">
            <w:pPr>
              <w:spacing w:after="0" w:line="240" w:lineRule="auto"/>
              <w:jc w:val="right"/>
              <w:rPr>
                <w:rFonts w:ascii="Verdana" w:eastAsia="Times New Roman" w:hAnsi="Verdana" w:cs="Calibri"/>
                <w:color w:val="000000"/>
                <w:sz w:val="10"/>
                <w:szCs w:val="10"/>
                <w:lang w:eastAsia="pt-BR"/>
              </w:rPr>
            </w:pPr>
            <w:r w:rsidRPr="0048506B">
              <w:rPr>
                <w:rFonts w:ascii="Verdana" w:eastAsia="Times New Roman" w:hAnsi="Verdana" w:cs="Calibri"/>
                <w:color w:val="000000"/>
                <w:sz w:val="10"/>
                <w:szCs w:val="10"/>
                <w:lang w:eastAsia="pt-BR"/>
              </w:rPr>
              <w:t> </w:t>
            </w:r>
          </w:p>
        </w:tc>
        <w:tc>
          <w:tcPr>
            <w:tcW w:w="211" w:type="dxa"/>
            <w:tcBorders>
              <w:top w:val="nil"/>
              <w:left w:val="nil"/>
              <w:bottom w:val="nil"/>
              <w:right w:val="nil"/>
            </w:tcBorders>
            <w:shd w:val="clear" w:color="auto" w:fill="auto"/>
            <w:noWrap/>
            <w:vAlign w:val="bottom"/>
            <w:hideMark/>
          </w:tcPr>
          <w:p w14:paraId="78BE7D9D" w14:textId="77777777" w:rsidR="003420B0" w:rsidRPr="0048506B" w:rsidRDefault="003420B0" w:rsidP="001D3745">
            <w:pPr>
              <w:spacing w:after="0" w:line="240" w:lineRule="auto"/>
              <w:jc w:val="right"/>
              <w:rPr>
                <w:rFonts w:ascii="Verdana" w:eastAsia="Times New Roman" w:hAnsi="Verdana" w:cs="Calibri"/>
                <w:color w:val="000000"/>
                <w:sz w:val="10"/>
                <w:szCs w:val="10"/>
                <w:lang w:eastAsia="pt-BR"/>
              </w:rPr>
            </w:pPr>
          </w:p>
        </w:tc>
        <w:tc>
          <w:tcPr>
            <w:tcW w:w="1363" w:type="dxa"/>
            <w:tcBorders>
              <w:top w:val="nil"/>
              <w:left w:val="nil"/>
              <w:bottom w:val="nil"/>
              <w:right w:val="nil"/>
            </w:tcBorders>
            <w:shd w:val="clear" w:color="000000" w:fill="FFFFFF"/>
            <w:noWrap/>
            <w:vAlign w:val="center"/>
            <w:hideMark/>
          </w:tcPr>
          <w:p w14:paraId="3EE5E1DA" w14:textId="77777777" w:rsidR="003420B0" w:rsidRPr="0048506B" w:rsidRDefault="003420B0" w:rsidP="001D3745">
            <w:pPr>
              <w:spacing w:after="0" w:line="240" w:lineRule="auto"/>
              <w:jc w:val="right"/>
              <w:rPr>
                <w:rFonts w:ascii="Verdana" w:eastAsia="Times New Roman" w:hAnsi="Verdana" w:cs="Calibri"/>
                <w:color w:val="000000"/>
                <w:sz w:val="10"/>
                <w:szCs w:val="10"/>
                <w:lang w:eastAsia="pt-BR"/>
              </w:rPr>
            </w:pPr>
            <w:r w:rsidRPr="0048506B">
              <w:rPr>
                <w:rFonts w:ascii="Verdana" w:eastAsia="Times New Roman" w:hAnsi="Verdana" w:cs="Calibri"/>
                <w:color w:val="000000"/>
                <w:sz w:val="10"/>
                <w:szCs w:val="10"/>
                <w:lang w:eastAsia="pt-BR"/>
              </w:rPr>
              <w:t> </w:t>
            </w:r>
          </w:p>
        </w:tc>
      </w:tr>
      <w:tr w:rsidR="003420B0" w:rsidRPr="0048506B" w14:paraId="2F3C2DDE" w14:textId="77777777" w:rsidTr="003420B0">
        <w:trPr>
          <w:trHeight w:val="20"/>
        </w:trPr>
        <w:tc>
          <w:tcPr>
            <w:tcW w:w="3544" w:type="dxa"/>
            <w:tcBorders>
              <w:top w:val="nil"/>
              <w:left w:val="nil"/>
              <w:bottom w:val="nil"/>
              <w:right w:val="nil"/>
            </w:tcBorders>
            <w:shd w:val="clear" w:color="000000" w:fill="FFFFFF"/>
            <w:vAlign w:val="center"/>
            <w:hideMark/>
          </w:tcPr>
          <w:p w14:paraId="3471AAA2" w14:textId="77777777" w:rsidR="003420B0" w:rsidRPr="0048506B" w:rsidRDefault="003420B0" w:rsidP="001D3745">
            <w:pPr>
              <w:spacing w:after="0" w:line="240" w:lineRule="auto"/>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RESULTADO OPERACIONAL ANTES DO RESULTADO FINANCEIRO</w:t>
            </w:r>
          </w:p>
        </w:tc>
        <w:tc>
          <w:tcPr>
            <w:tcW w:w="612" w:type="dxa"/>
            <w:tcBorders>
              <w:top w:val="nil"/>
              <w:left w:val="nil"/>
              <w:bottom w:val="nil"/>
              <w:right w:val="nil"/>
            </w:tcBorders>
            <w:shd w:val="clear" w:color="000000" w:fill="FFFFFF"/>
            <w:vAlign w:val="center"/>
            <w:hideMark/>
          </w:tcPr>
          <w:p w14:paraId="07ABD7C1" w14:textId="77777777" w:rsidR="003420B0" w:rsidRPr="0048506B" w:rsidRDefault="003420B0" w:rsidP="001D3745">
            <w:pPr>
              <w:spacing w:after="0" w:line="240" w:lineRule="auto"/>
              <w:jc w:val="center"/>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w:t>
            </w:r>
          </w:p>
        </w:tc>
        <w:tc>
          <w:tcPr>
            <w:tcW w:w="1642" w:type="dxa"/>
            <w:tcBorders>
              <w:top w:val="single" w:sz="4" w:space="0" w:color="auto"/>
              <w:left w:val="nil"/>
              <w:bottom w:val="single" w:sz="4" w:space="0" w:color="auto"/>
              <w:right w:val="nil"/>
            </w:tcBorders>
            <w:shd w:val="clear" w:color="000000" w:fill="FFFFFF"/>
            <w:noWrap/>
            <w:vAlign w:val="center"/>
            <w:hideMark/>
          </w:tcPr>
          <w:p w14:paraId="6680C4DA"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xml:space="preserve">           (9.919)</w:t>
            </w:r>
          </w:p>
        </w:tc>
        <w:tc>
          <w:tcPr>
            <w:tcW w:w="211" w:type="dxa"/>
            <w:tcBorders>
              <w:top w:val="nil"/>
              <w:left w:val="nil"/>
              <w:bottom w:val="nil"/>
              <w:right w:val="nil"/>
            </w:tcBorders>
            <w:shd w:val="clear" w:color="auto" w:fill="auto"/>
            <w:noWrap/>
            <w:vAlign w:val="bottom"/>
            <w:hideMark/>
          </w:tcPr>
          <w:p w14:paraId="750CD2CF"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p>
        </w:tc>
        <w:tc>
          <w:tcPr>
            <w:tcW w:w="1459" w:type="dxa"/>
            <w:tcBorders>
              <w:top w:val="single" w:sz="4" w:space="0" w:color="auto"/>
              <w:left w:val="nil"/>
              <w:bottom w:val="single" w:sz="4" w:space="0" w:color="auto"/>
              <w:right w:val="nil"/>
            </w:tcBorders>
            <w:shd w:val="clear" w:color="000000" w:fill="FFFFFF"/>
            <w:noWrap/>
            <w:vAlign w:val="center"/>
            <w:hideMark/>
          </w:tcPr>
          <w:p w14:paraId="08003375"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xml:space="preserve">          (8.316)</w:t>
            </w:r>
          </w:p>
        </w:tc>
        <w:tc>
          <w:tcPr>
            <w:tcW w:w="211" w:type="dxa"/>
            <w:tcBorders>
              <w:top w:val="nil"/>
              <w:left w:val="nil"/>
              <w:bottom w:val="nil"/>
              <w:right w:val="nil"/>
            </w:tcBorders>
            <w:shd w:val="clear" w:color="auto" w:fill="auto"/>
            <w:noWrap/>
            <w:vAlign w:val="bottom"/>
            <w:hideMark/>
          </w:tcPr>
          <w:p w14:paraId="0AC2C47B"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p>
        </w:tc>
        <w:tc>
          <w:tcPr>
            <w:tcW w:w="1602" w:type="dxa"/>
            <w:tcBorders>
              <w:top w:val="single" w:sz="4" w:space="0" w:color="auto"/>
              <w:left w:val="nil"/>
              <w:bottom w:val="single" w:sz="4" w:space="0" w:color="auto"/>
              <w:right w:val="nil"/>
            </w:tcBorders>
            <w:shd w:val="clear" w:color="000000" w:fill="FFFFFF"/>
            <w:noWrap/>
            <w:vAlign w:val="center"/>
            <w:hideMark/>
          </w:tcPr>
          <w:p w14:paraId="6CF86644"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xml:space="preserve">          39.873 </w:t>
            </w:r>
          </w:p>
        </w:tc>
        <w:tc>
          <w:tcPr>
            <w:tcW w:w="211" w:type="dxa"/>
            <w:tcBorders>
              <w:top w:val="nil"/>
              <w:left w:val="nil"/>
              <w:bottom w:val="nil"/>
              <w:right w:val="nil"/>
            </w:tcBorders>
            <w:shd w:val="clear" w:color="auto" w:fill="auto"/>
            <w:noWrap/>
            <w:vAlign w:val="bottom"/>
            <w:hideMark/>
          </w:tcPr>
          <w:p w14:paraId="107838C4"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p>
        </w:tc>
        <w:tc>
          <w:tcPr>
            <w:tcW w:w="1363" w:type="dxa"/>
            <w:tcBorders>
              <w:top w:val="single" w:sz="4" w:space="0" w:color="auto"/>
              <w:left w:val="nil"/>
              <w:bottom w:val="single" w:sz="4" w:space="0" w:color="auto"/>
              <w:right w:val="nil"/>
            </w:tcBorders>
            <w:shd w:val="clear" w:color="000000" w:fill="FFFFFF"/>
            <w:noWrap/>
            <w:vAlign w:val="center"/>
            <w:hideMark/>
          </w:tcPr>
          <w:p w14:paraId="6F2666A1"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xml:space="preserve">          41.476 </w:t>
            </w:r>
          </w:p>
        </w:tc>
      </w:tr>
      <w:tr w:rsidR="003420B0" w:rsidRPr="0048506B" w14:paraId="6D87A15D" w14:textId="77777777" w:rsidTr="003420B0">
        <w:trPr>
          <w:trHeight w:val="20"/>
        </w:trPr>
        <w:tc>
          <w:tcPr>
            <w:tcW w:w="3544" w:type="dxa"/>
            <w:tcBorders>
              <w:top w:val="nil"/>
              <w:left w:val="nil"/>
              <w:bottom w:val="nil"/>
              <w:right w:val="nil"/>
            </w:tcBorders>
            <w:shd w:val="clear" w:color="000000" w:fill="FFFFFF"/>
            <w:noWrap/>
            <w:vAlign w:val="center"/>
            <w:hideMark/>
          </w:tcPr>
          <w:p w14:paraId="32B86F65" w14:textId="77777777" w:rsidR="003420B0" w:rsidRPr="0048506B" w:rsidRDefault="003420B0" w:rsidP="001D3745">
            <w:pPr>
              <w:spacing w:after="0" w:line="240" w:lineRule="auto"/>
              <w:rPr>
                <w:rFonts w:ascii="Verdana" w:eastAsia="Times New Roman" w:hAnsi="Verdana" w:cs="Calibri"/>
                <w:color w:val="000000"/>
                <w:sz w:val="10"/>
                <w:szCs w:val="10"/>
                <w:lang w:eastAsia="pt-BR"/>
              </w:rPr>
            </w:pPr>
            <w:r w:rsidRPr="0048506B">
              <w:rPr>
                <w:rFonts w:ascii="Verdana" w:eastAsia="Times New Roman" w:hAnsi="Verdana" w:cs="Calibri"/>
                <w:color w:val="000000"/>
                <w:sz w:val="10"/>
                <w:szCs w:val="10"/>
                <w:lang w:eastAsia="pt-BR"/>
              </w:rPr>
              <w:t> </w:t>
            </w:r>
          </w:p>
        </w:tc>
        <w:tc>
          <w:tcPr>
            <w:tcW w:w="612" w:type="dxa"/>
            <w:tcBorders>
              <w:top w:val="nil"/>
              <w:left w:val="nil"/>
              <w:bottom w:val="nil"/>
              <w:right w:val="nil"/>
            </w:tcBorders>
            <w:shd w:val="clear" w:color="auto" w:fill="auto"/>
            <w:vAlign w:val="center"/>
            <w:hideMark/>
          </w:tcPr>
          <w:p w14:paraId="6896560C" w14:textId="77777777" w:rsidR="003420B0" w:rsidRPr="0048506B" w:rsidRDefault="003420B0" w:rsidP="001D3745">
            <w:pPr>
              <w:spacing w:after="0" w:line="240" w:lineRule="auto"/>
              <w:rPr>
                <w:rFonts w:ascii="Verdana" w:eastAsia="Times New Roman" w:hAnsi="Verdana" w:cs="Calibri"/>
                <w:color w:val="000000"/>
                <w:sz w:val="10"/>
                <w:szCs w:val="10"/>
                <w:lang w:eastAsia="pt-BR"/>
              </w:rPr>
            </w:pPr>
          </w:p>
        </w:tc>
        <w:tc>
          <w:tcPr>
            <w:tcW w:w="1642" w:type="dxa"/>
            <w:tcBorders>
              <w:top w:val="nil"/>
              <w:left w:val="nil"/>
              <w:bottom w:val="nil"/>
              <w:right w:val="nil"/>
            </w:tcBorders>
            <w:shd w:val="clear" w:color="auto" w:fill="auto"/>
            <w:noWrap/>
            <w:vAlign w:val="bottom"/>
            <w:hideMark/>
          </w:tcPr>
          <w:p w14:paraId="6A6FFAD3" w14:textId="77777777" w:rsidR="003420B0" w:rsidRPr="0048506B" w:rsidRDefault="003420B0" w:rsidP="001D3745">
            <w:pPr>
              <w:spacing w:after="0" w:line="240" w:lineRule="auto"/>
              <w:jc w:val="center"/>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64F66324"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459" w:type="dxa"/>
            <w:tcBorders>
              <w:top w:val="nil"/>
              <w:left w:val="nil"/>
              <w:bottom w:val="nil"/>
              <w:right w:val="nil"/>
            </w:tcBorders>
            <w:shd w:val="clear" w:color="auto" w:fill="auto"/>
            <w:noWrap/>
            <w:vAlign w:val="bottom"/>
            <w:hideMark/>
          </w:tcPr>
          <w:p w14:paraId="5B464AE5"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32B425D5"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602" w:type="dxa"/>
            <w:tcBorders>
              <w:top w:val="nil"/>
              <w:left w:val="nil"/>
              <w:bottom w:val="nil"/>
              <w:right w:val="nil"/>
            </w:tcBorders>
            <w:shd w:val="clear" w:color="000000" w:fill="FFFFFF"/>
            <w:noWrap/>
            <w:vAlign w:val="center"/>
            <w:hideMark/>
          </w:tcPr>
          <w:p w14:paraId="441C32C5" w14:textId="77777777" w:rsidR="003420B0" w:rsidRPr="0048506B" w:rsidRDefault="003420B0" w:rsidP="001D3745">
            <w:pPr>
              <w:spacing w:after="0" w:line="240" w:lineRule="auto"/>
              <w:jc w:val="right"/>
              <w:rPr>
                <w:rFonts w:ascii="Verdana" w:eastAsia="Times New Roman" w:hAnsi="Verdana" w:cs="Calibri"/>
                <w:color w:val="000000"/>
                <w:sz w:val="10"/>
                <w:szCs w:val="10"/>
                <w:lang w:eastAsia="pt-BR"/>
              </w:rPr>
            </w:pPr>
            <w:r w:rsidRPr="0048506B">
              <w:rPr>
                <w:rFonts w:ascii="Verdana" w:eastAsia="Times New Roman" w:hAnsi="Verdana" w:cs="Calibri"/>
                <w:color w:val="000000"/>
                <w:sz w:val="10"/>
                <w:szCs w:val="10"/>
                <w:lang w:eastAsia="pt-BR"/>
              </w:rPr>
              <w:t> </w:t>
            </w:r>
          </w:p>
        </w:tc>
        <w:tc>
          <w:tcPr>
            <w:tcW w:w="211" w:type="dxa"/>
            <w:tcBorders>
              <w:top w:val="nil"/>
              <w:left w:val="nil"/>
              <w:bottom w:val="nil"/>
              <w:right w:val="nil"/>
            </w:tcBorders>
            <w:shd w:val="clear" w:color="auto" w:fill="auto"/>
            <w:noWrap/>
            <w:vAlign w:val="bottom"/>
            <w:hideMark/>
          </w:tcPr>
          <w:p w14:paraId="08D499F8" w14:textId="77777777" w:rsidR="003420B0" w:rsidRPr="0048506B" w:rsidRDefault="003420B0" w:rsidP="001D3745">
            <w:pPr>
              <w:spacing w:after="0" w:line="240" w:lineRule="auto"/>
              <w:jc w:val="right"/>
              <w:rPr>
                <w:rFonts w:ascii="Verdana" w:eastAsia="Times New Roman" w:hAnsi="Verdana" w:cs="Calibri"/>
                <w:color w:val="000000"/>
                <w:sz w:val="10"/>
                <w:szCs w:val="10"/>
                <w:lang w:eastAsia="pt-BR"/>
              </w:rPr>
            </w:pPr>
          </w:p>
        </w:tc>
        <w:tc>
          <w:tcPr>
            <w:tcW w:w="1363" w:type="dxa"/>
            <w:tcBorders>
              <w:top w:val="nil"/>
              <w:left w:val="nil"/>
              <w:bottom w:val="nil"/>
              <w:right w:val="nil"/>
            </w:tcBorders>
            <w:shd w:val="clear" w:color="000000" w:fill="FFFFFF"/>
            <w:noWrap/>
            <w:vAlign w:val="center"/>
            <w:hideMark/>
          </w:tcPr>
          <w:p w14:paraId="5F236FDF" w14:textId="77777777" w:rsidR="003420B0" w:rsidRPr="0048506B" w:rsidRDefault="003420B0" w:rsidP="001D3745">
            <w:pPr>
              <w:spacing w:after="0" w:line="240" w:lineRule="auto"/>
              <w:jc w:val="right"/>
              <w:rPr>
                <w:rFonts w:ascii="Verdana" w:eastAsia="Times New Roman" w:hAnsi="Verdana" w:cs="Calibri"/>
                <w:color w:val="000000"/>
                <w:sz w:val="10"/>
                <w:szCs w:val="10"/>
                <w:lang w:eastAsia="pt-BR"/>
              </w:rPr>
            </w:pPr>
            <w:r w:rsidRPr="0048506B">
              <w:rPr>
                <w:rFonts w:ascii="Verdana" w:eastAsia="Times New Roman" w:hAnsi="Verdana" w:cs="Calibri"/>
                <w:color w:val="000000"/>
                <w:sz w:val="10"/>
                <w:szCs w:val="10"/>
                <w:lang w:eastAsia="pt-BR"/>
              </w:rPr>
              <w:t> </w:t>
            </w:r>
          </w:p>
        </w:tc>
      </w:tr>
      <w:tr w:rsidR="003420B0" w:rsidRPr="0048506B" w14:paraId="5110D1CF" w14:textId="77777777" w:rsidTr="003420B0">
        <w:trPr>
          <w:trHeight w:val="20"/>
        </w:trPr>
        <w:tc>
          <w:tcPr>
            <w:tcW w:w="3544" w:type="dxa"/>
            <w:tcBorders>
              <w:top w:val="nil"/>
              <w:left w:val="nil"/>
              <w:bottom w:val="nil"/>
              <w:right w:val="nil"/>
            </w:tcBorders>
            <w:shd w:val="clear" w:color="000000" w:fill="FFFFFF"/>
            <w:noWrap/>
            <w:vAlign w:val="center"/>
            <w:hideMark/>
          </w:tcPr>
          <w:p w14:paraId="07466772" w14:textId="77777777" w:rsidR="003420B0" w:rsidRPr="0048506B" w:rsidRDefault="003420B0" w:rsidP="001D3745">
            <w:pPr>
              <w:spacing w:after="0" w:line="240" w:lineRule="auto"/>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RESULTADO FINANCEIRO</w:t>
            </w:r>
          </w:p>
        </w:tc>
        <w:tc>
          <w:tcPr>
            <w:tcW w:w="612" w:type="dxa"/>
            <w:tcBorders>
              <w:top w:val="nil"/>
              <w:left w:val="nil"/>
              <w:bottom w:val="nil"/>
              <w:right w:val="nil"/>
            </w:tcBorders>
            <w:shd w:val="clear" w:color="auto" w:fill="auto"/>
            <w:vAlign w:val="center"/>
            <w:hideMark/>
          </w:tcPr>
          <w:p w14:paraId="32FB413A" w14:textId="77777777" w:rsidR="003420B0" w:rsidRPr="0048506B" w:rsidRDefault="003420B0" w:rsidP="001D3745">
            <w:pPr>
              <w:spacing w:after="0" w:line="240" w:lineRule="auto"/>
              <w:jc w:val="center"/>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26</w:t>
            </w:r>
          </w:p>
        </w:tc>
        <w:tc>
          <w:tcPr>
            <w:tcW w:w="1642" w:type="dxa"/>
            <w:tcBorders>
              <w:top w:val="nil"/>
              <w:left w:val="nil"/>
              <w:bottom w:val="nil"/>
              <w:right w:val="nil"/>
            </w:tcBorders>
            <w:shd w:val="clear" w:color="auto" w:fill="auto"/>
            <w:noWrap/>
            <w:vAlign w:val="bottom"/>
            <w:hideMark/>
          </w:tcPr>
          <w:p w14:paraId="6C022C7A" w14:textId="77777777" w:rsidR="003420B0" w:rsidRPr="0048506B" w:rsidRDefault="003420B0" w:rsidP="001D3745">
            <w:pPr>
              <w:spacing w:after="0" w:line="240" w:lineRule="auto"/>
              <w:jc w:val="center"/>
              <w:rPr>
                <w:rFonts w:ascii="Verdana" w:eastAsia="Times New Roman" w:hAnsi="Verdana" w:cs="Calibri"/>
                <w:b/>
                <w:bCs/>
                <w:color w:val="000000"/>
                <w:sz w:val="16"/>
                <w:szCs w:val="16"/>
                <w:lang w:eastAsia="pt-BR"/>
              </w:rPr>
            </w:pPr>
          </w:p>
        </w:tc>
        <w:tc>
          <w:tcPr>
            <w:tcW w:w="211" w:type="dxa"/>
            <w:tcBorders>
              <w:top w:val="nil"/>
              <w:left w:val="nil"/>
              <w:bottom w:val="nil"/>
              <w:right w:val="nil"/>
            </w:tcBorders>
            <w:shd w:val="clear" w:color="auto" w:fill="auto"/>
            <w:noWrap/>
            <w:vAlign w:val="bottom"/>
            <w:hideMark/>
          </w:tcPr>
          <w:p w14:paraId="2A713F6E"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459" w:type="dxa"/>
            <w:tcBorders>
              <w:top w:val="nil"/>
              <w:left w:val="nil"/>
              <w:bottom w:val="nil"/>
              <w:right w:val="nil"/>
            </w:tcBorders>
            <w:shd w:val="clear" w:color="auto" w:fill="auto"/>
            <w:noWrap/>
            <w:vAlign w:val="bottom"/>
            <w:hideMark/>
          </w:tcPr>
          <w:p w14:paraId="559B2338"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3BA30764"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602" w:type="dxa"/>
            <w:tcBorders>
              <w:top w:val="nil"/>
              <w:left w:val="nil"/>
              <w:bottom w:val="nil"/>
              <w:right w:val="nil"/>
            </w:tcBorders>
            <w:shd w:val="clear" w:color="000000" w:fill="FFFFFF"/>
            <w:noWrap/>
            <w:vAlign w:val="center"/>
            <w:hideMark/>
          </w:tcPr>
          <w:p w14:paraId="785F5E51"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211" w:type="dxa"/>
            <w:tcBorders>
              <w:top w:val="nil"/>
              <w:left w:val="nil"/>
              <w:bottom w:val="nil"/>
              <w:right w:val="nil"/>
            </w:tcBorders>
            <w:shd w:val="clear" w:color="auto" w:fill="auto"/>
            <w:noWrap/>
            <w:vAlign w:val="bottom"/>
            <w:hideMark/>
          </w:tcPr>
          <w:p w14:paraId="7DB24534"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363" w:type="dxa"/>
            <w:tcBorders>
              <w:top w:val="nil"/>
              <w:left w:val="nil"/>
              <w:bottom w:val="nil"/>
              <w:right w:val="nil"/>
            </w:tcBorders>
            <w:shd w:val="clear" w:color="000000" w:fill="FFFFFF"/>
            <w:noWrap/>
            <w:vAlign w:val="center"/>
            <w:hideMark/>
          </w:tcPr>
          <w:p w14:paraId="3B15DECA"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r>
      <w:tr w:rsidR="003420B0" w:rsidRPr="0048506B" w14:paraId="1A43B340" w14:textId="77777777" w:rsidTr="003420B0">
        <w:trPr>
          <w:trHeight w:val="20"/>
        </w:trPr>
        <w:tc>
          <w:tcPr>
            <w:tcW w:w="3544" w:type="dxa"/>
            <w:tcBorders>
              <w:top w:val="nil"/>
              <w:left w:val="nil"/>
              <w:bottom w:val="nil"/>
              <w:right w:val="nil"/>
            </w:tcBorders>
            <w:shd w:val="clear" w:color="000000" w:fill="FFFFFF"/>
            <w:noWrap/>
            <w:vAlign w:val="center"/>
            <w:hideMark/>
          </w:tcPr>
          <w:p w14:paraId="0D4DD7A8" w14:textId="77777777" w:rsidR="003420B0" w:rsidRPr="0048506B" w:rsidRDefault="003420B0" w:rsidP="001D3745">
            <w:pPr>
              <w:spacing w:after="0" w:line="240" w:lineRule="auto"/>
              <w:rPr>
                <w:rFonts w:ascii="Verdana" w:eastAsia="Times New Roman" w:hAnsi="Verdana" w:cs="Calibri"/>
                <w:color w:val="000000"/>
                <w:sz w:val="10"/>
                <w:szCs w:val="10"/>
                <w:lang w:eastAsia="pt-BR"/>
              </w:rPr>
            </w:pPr>
            <w:r w:rsidRPr="0048506B">
              <w:rPr>
                <w:rFonts w:ascii="Verdana" w:eastAsia="Times New Roman" w:hAnsi="Verdana" w:cs="Calibri"/>
                <w:color w:val="000000"/>
                <w:sz w:val="10"/>
                <w:szCs w:val="10"/>
                <w:lang w:eastAsia="pt-BR"/>
              </w:rPr>
              <w:t> </w:t>
            </w:r>
          </w:p>
        </w:tc>
        <w:tc>
          <w:tcPr>
            <w:tcW w:w="612" w:type="dxa"/>
            <w:tcBorders>
              <w:top w:val="nil"/>
              <w:left w:val="nil"/>
              <w:bottom w:val="nil"/>
              <w:right w:val="nil"/>
            </w:tcBorders>
            <w:shd w:val="clear" w:color="auto" w:fill="auto"/>
            <w:vAlign w:val="center"/>
            <w:hideMark/>
          </w:tcPr>
          <w:p w14:paraId="7E56F941" w14:textId="77777777" w:rsidR="003420B0" w:rsidRPr="0048506B" w:rsidRDefault="003420B0" w:rsidP="001D3745">
            <w:pPr>
              <w:spacing w:after="0" w:line="240" w:lineRule="auto"/>
              <w:rPr>
                <w:rFonts w:ascii="Verdana" w:eastAsia="Times New Roman" w:hAnsi="Verdana" w:cs="Calibri"/>
                <w:color w:val="000000"/>
                <w:sz w:val="10"/>
                <w:szCs w:val="10"/>
                <w:lang w:eastAsia="pt-BR"/>
              </w:rPr>
            </w:pPr>
          </w:p>
        </w:tc>
        <w:tc>
          <w:tcPr>
            <w:tcW w:w="1642" w:type="dxa"/>
            <w:tcBorders>
              <w:top w:val="nil"/>
              <w:left w:val="nil"/>
              <w:bottom w:val="nil"/>
              <w:right w:val="nil"/>
            </w:tcBorders>
            <w:shd w:val="clear" w:color="auto" w:fill="auto"/>
            <w:noWrap/>
            <w:vAlign w:val="bottom"/>
            <w:hideMark/>
          </w:tcPr>
          <w:p w14:paraId="69A53FC7" w14:textId="77777777" w:rsidR="003420B0" w:rsidRPr="0048506B" w:rsidRDefault="003420B0" w:rsidP="001D3745">
            <w:pPr>
              <w:spacing w:after="0" w:line="240" w:lineRule="auto"/>
              <w:jc w:val="center"/>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038C973A"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459" w:type="dxa"/>
            <w:tcBorders>
              <w:top w:val="nil"/>
              <w:left w:val="nil"/>
              <w:bottom w:val="nil"/>
              <w:right w:val="nil"/>
            </w:tcBorders>
            <w:shd w:val="clear" w:color="auto" w:fill="auto"/>
            <w:noWrap/>
            <w:vAlign w:val="bottom"/>
            <w:hideMark/>
          </w:tcPr>
          <w:p w14:paraId="43924F0E"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5EEFB4C2"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602" w:type="dxa"/>
            <w:tcBorders>
              <w:top w:val="nil"/>
              <w:left w:val="nil"/>
              <w:bottom w:val="nil"/>
              <w:right w:val="nil"/>
            </w:tcBorders>
            <w:shd w:val="clear" w:color="000000" w:fill="FFFFFF"/>
            <w:noWrap/>
            <w:vAlign w:val="center"/>
            <w:hideMark/>
          </w:tcPr>
          <w:p w14:paraId="2CF66D2A" w14:textId="77777777" w:rsidR="003420B0" w:rsidRPr="0048506B" w:rsidRDefault="003420B0" w:rsidP="001D3745">
            <w:pPr>
              <w:spacing w:after="0" w:line="240" w:lineRule="auto"/>
              <w:jc w:val="right"/>
              <w:rPr>
                <w:rFonts w:ascii="Verdana" w:eastAsia="Times New Roman" w:hAnsi="Verdana" w:cs="Calibri"/>
                <w:color w:val="000000"/>
                <w:sz w:val="10"/>
                <w:szCs w:val="10"/>
                <w:lang w:eastAsia="pt-BR"/>
              </w:rPr>
            </w:pPr>
            <w:r w:rsidRPr="0048506B">
              <w:rPr>
                <w:rFonts w:ascii="Verdana" w:eastAsia="Times New Roman" w:hAnsi="Verdana" w:cs="Calibri"/>
                <w:color w:val="000000"/>
                <w:sz w:val="10"/>
                <w:szCs w:val="10"/>
                <w:lang w:eastAsia="pt-BR"/>
              </w:rPr>
              <w:t> </w:t>
            </w:r>
          </w:p>
        </w:tc>
        <w:tc>
          <w:tcPr>
            <w:tcW w:w="211" w:type="dxa"/>
            <w:tcBorders>
              <w:top w:val="nil"/>
              <w:left w:val="nil"/>
              <w:bottom w:val="nil"/>
              <w:right w:val="nil"/>
            </w:tcBorders>
            <w:shd w:val="clear" w:color="auto" w:fill="auto"/>
            <w:noWrap/>
            <w:vAlign w:val="bottom"/>
            <w:hideMark/>
          </w:tcPr>
          <w:p w14:paraId="04C6B350" w14:textId="77777777" w:rsidR="003420B0" w:rsidRPr="0048506B" w:rsidRDefault="003420B0" w:rsidP="001D3745">
            <w:pPr>
              <w:spacing w:after="0" w:line="240" w:lineRule="auto"/>
              <w:jc w:val="right"/>
              <w:rPr>
                <w:rFonts w:ascii="Verdana" w:eastAsia="Times New Roman" w:hAnsi="Verdana" w:cs="Calibri"/>
                <w:color w:val="000000"/>
                <w:sz w:val="10"/>
                <w:szCs w:val="10"/>
                <w:lang w:eastAsia="pt-BR"/>
              </w:rPr>
            </w:pPr>
          </w:p>
        </w:tc>
        <w:tc>
          <w:tcPr>
            <w:tcW w:w="1363" w:type="dxa"/>
            <w:tcBorders>
              <w:top w:val="nil"/>
              <w:left w:val="nil"/>
              <w:bottom w:val="nil"/>
              <w:right w:val="nil"/>
            </w:tcBorders>
            <w:shd w:val="clear" w:color="000000" w:fill="FFFFFF"/>
            <w:noWrap/>
            <w:vAlign w:val="center"/>
            <w:hideMark/>
          </w:tcPr>
          <w:p w14:paraId="55D9A960" w14:textId="77777777" w:rsidR="003420B0" w:rsidRPr="0048506B" w:rsidRDefault="003420B0" w:rsidP="001D3745">
            <w:pPr>
              <w:spacing w:after="0" w:line="240" w:lineRule="auto"/>
              <w:jc w:val="right"/>
              <w:rPr>
                <w:rFonts w:ascii="Verdana" w:eastAsia="Times New Roman" w:hAnsi="Verdana" w:cs="Calibri"/>
                <w:color w:val="000000"/>
                <w:sz w:val="10"/>
                <w:szCs w:val="10"/>
                <w:lang w:eastAsia="pt-BR"/>
              </w:rPr>
            </w:pPr>
            <w:r w:rsidRPr="0048506B">
              <w:rPr>
                <w:rFonts w:ascii="Verdana" w:eastAsia="Times New Roman" w:hAnsi="Verdana" w:cs="Calibri"/>
                <w:color w:val="000000"/>
                <w:sz w:val="10"/>
                <w:szCs w:val="10"/>
                <w:lang w:eastAsia="pt-BR"/>
              </w:rPr>
              <w:t> </w:t>
            </w:r>
          </w:p>
        </w:tc>
      </w:tr>
      <w:tr w:rsidR="003420B0" w:rsidRPr="0048506B" w14:paraId="7F78AF54" w14:textId="77777777" w:rsidTr="003420B0">
        <w:trPr>
          <w:trHeight w:val="20"/>
        </w:trPr>
        <w:tc>
          <w:tcPr>
            <w:tcW w:w="3544" w:type="dxa"/>
            <w:tcBorders>
              <w:top w:val="nil"/>
              <w:left w:val="nil"/>
              <w:bottom w:val="nil"/>
              <w:right w:val="nil"/>
            </w:tcBorders>
            <w:shd w:val="clear" w:color="000000" w:fill="FFFFFF"/>
            <w:noWrap/>
            <w:vAlign w:val="center"/>
            <w:hideMark/>
          </w:tcPr>
          <w:p w14:paraId="32405CE4" w14:textId="77777777" w:rsidR="003420B0" w:rsidRPr="0048506B" w:rsidRDefault="003420B0" w:rsidP="001D3745">
            <w:pPr>
              <w:spacing w:after="0" w:line="240" w:lineRule="auto"/>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xml:space="preserve">   Receitas Financeiras</w:t>
            </w:r>
          </w:p>
        </w:tc>
        <w:tc>
          <w:tcPr>
            <w:tcW w:w="612" w:type="dxa"/>
            <w:tcBorders>
              <w:top w:val="nil"/>
              <w:left w:val="nil"/>
              <w:bottom w:val="nil"/>
              <w:right w:val="nil"/>
            </w:tcBorders>
            <w:shd w:val="clear" w:color="auto" w:fill="auto"/>
            <w:vAlign w:val="center"/>
            <w:hideMark/>
          </w:tcPr>
          <w:p w14:paraId="6A386AF8" w14:textId="77777777" w:rsidR="003420B0" w:rsidRPr="0048506B" w:rsidRDefault="003420B0" w:rsidP="001D3745">
            <w:pPr>
              <w:spacing w:after="0" w:line="240" w:lineRule="auto"/>
              <w:rPr>
                <w:rFonts w:ascii="Verdana" w:eastAsia="Times New Roman" w:hAnsi="Verdana" w:cs="Calibri"/>
                <w:b/>
                <w:bCs/>
                <w:color w:val="000000"/>
                <w:sz w:val="16"/>
                <w:szCs w:val="16"/>
                <w:lang w:eastAsia="pt-BR"/>
              </w:rPr>
            </w:pPr>
          </w:p>
        </w:tc>
        <w:tc>
          <w:tcPr>
            <w:tcW w:w="1642" w:type="dxa"/>
            <w:tcBorders>
              <w:top w:val="nil"/>
              <w:left w:val="nil"/>
              <w:bottom w:val="nil"/>
              <w:right w:val="nil"/>
            </w:tcBorders>
            <w:shd w:val="clear" w:color="auto" w:fill="auto"/>
            <w:noWrap/>
            <w:vAlign w:val="bottom"/>
            <w:hideMark/>
          </w:tcPr>
          <w:p w14:paraId="116CABA0" w14:textId="77777777" w:rsidR="003420B0" w:rsidRPr="0048506B" w:rsidRDefault="003420B0" w:rsidP="001D3745">
            <w:pPr>
              <w:spacing w:after="0" w:line="240" w:lineRule="auto"/>
              <w:jc w:val="center"/>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1100D273"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459" w:type="dxa"/>
            <w:tcBorders>
              <w:top w:val="nil"/>
              <w:left w:val="nil"/>
              <w:bottom w:val="nil"/>
              <w:right w:val="nil"/>
            </w:tcBorders>
            <w:shd w:val="clear" w:color="auto" w:fill="auto"/>
            <w:noWrap/>
            <w:vAlign w:val="bottom"/>
            <w:hideMark/>
          </w:tcPr>
          <w:p w14:paraId="67963787"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08DD2743"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602" w:type="dxa"/>
            <w:tcBorders>
              <w:top w:val="nil"/>
              <w:left w:val="nil"/>
              <w:bottom w:val="nil"/>
              <w:right w:val="nil"/>
            </w:tcBorders>
            <w:shd w:val="clear" w:color="000000" w:fill="FFFFFF"/>
            <w:noWrap/>
            <w:vAlign w:val="center"/>
            <w:hideMark/>
          </w:tcPr>
          <w:p w14:paraId="2737FA6D"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211" w:type="dxa"/>
            <w:tcBorders>
              <w:top w:val="nil"/>
              <w:left w:val="nil"/>
              <w:bottom w:val="nil"/>
              <w:right w:val="nil"/>
            </w:tcBorders>
            <w:shd w:val="clear" w:color="auto" w:fill="auto"/>
            <w:noWrap/>
            <w:vAlign w:val="bottom"/>
            <w:hideMark/>
          </w:tcPr>
          <w:p w14:paraId="298EED35"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363" w:type="dxa"/>
            <w:tcBorders>
              <w:top w:val="nil"/>
              <w:left w:val="nil"/>
              <w:bottom w:val="nil"/>
              <w:right w:val="nil"/>
            </w:tcBorders>
            <w:shd w:val="clear" w:color="000000" w:fill="FFFFFF"/>
            <w:noWrap/>
            <w:vAlign w:val="center"/>
            <w:hideMark/>
          </w:tcPr>
          <w:p w14:paraId="6B2EDA46"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r>
      <w:tr w:rsidR="003420B0" w:rsidRPr="0048506B" w14:paraId="657549B4" w14:textId="77777777" w:rsidTr="003420B0">
        <w:trPr>
          <w:trHeight w:val="20"/>
        </w:trPr>
        <w:tc>
          <w:tcPr>
            <w:tcW w:w="3544" w:type="dxa"/>
            <w:tcBorders>
              <w:top w:val="nil"/>
              <w:left w:val="nil"/>
              <w:bottom w:val="nil"/>
              <w:right w:val="nil"/>
            </w:tcBorders>
            <w:shd w:val="clear" w:color="000000" w:fill="FFFFFF"/>
            <w:noWrap/>
            <w:vAlign w:val="center"/>
            <w:hideMark/>
          </w:tcPr>
          <w:p w14:paraId="53EB2C1D" w14:textId="4096FE56" w:rsidR="003420B0" w:rsidRPr="0048506B" w:rsidRDefault="003420B0" w:rsidP="001D3745">
            <w:pPr>
              <w:spacing w:after="0" w:line="240" w:lineRule="auto"/>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Receita aplicações financeiras</w:t>
            </w:r>
          </w:p>
        </w:tc>
        <w:tc>
          <w:tcPr>
            <w:tcW w:w="612" w:type="dxa"/>
            <w:tcBorders>
              <w:top w:val="nil"/>
              <w:left w:val="nil"/>
              <w:bottom w:val="nil"/>
              <w:right w:val="nil"/>
            </w:tcBorders>
            <w:shd w:val="clear" w:color="auto" w:fill="auto"/>
            <w:vAlign w:val="center"/>
            <w:hideMark/>
          </w:tcPr>
          <w:p w14:paraId="00084575"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p>
        </w:tc>
        <w:tc>
          <w:tcPr>
            <w:tcW w:w="1642" w:type="dxa"/>
            <w:tcBorders>
              <w:top w:val="nil"/>
              <w:left w:val="nil"/>
              <w:bottom w:val="nil"/>
              <w:right w:val="nil"/>
            </w:tcBorders>
            <w:shd w:val="clear" w:color="auto" w:fill="auto"/>
            <w:noWrap/>
            <w:vAlign w:val="center"/>
            <w:hideMark/>
          </w:tcPr>
          <w:p w14:paraId="585D42B7"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157.219 </w:t>
            </w:r>
          </w:p>
        </w:tc>
        <w:tc>
          <w:tcPr>
            <w:tcW w:w="211" w:type="dxa"/>
            <w:tcBorders>
              <w:top w:val="nil"/>
              <w:left w:val="nil"/>
              <w:bottom w:val="nil"/>
              <w:right w:val="nil"/>
            </w:tcBorders>
            <w:shd w:val="clear" w:color="auto" w:fill="auto"/>
            <w:noWrap/>
            <w:vAlign w:val="bottom"/>
            <w:hideMark/>
          </w:tcPr>
          <w:p w14:paraId="0CD53C94"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459" w:type="dxa"/>
            <w:tcBorders>
              <w:top w:val="nil"/>
              <w:left w:val="nil"/>
              <w:bottom w:val="nil"/>
              <w:right w:val="nil"/>
            </w:tcBorders>
            <w:shd w:val="clear" w:color="auto" w:fill="auto"/>
            <w:noWrap/>
            <w:vAlign w:val="center"/>
            <w:hideMark/>
          </w:tcPr>
          <w:p w14:paraId="6B81AF90"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88.485 </w:t>
            </w:r>
          </w:p>
        </w:tc>
        <w:tc>
          <w:tcPr>
            <w:tcW w:w="211" w:type="dxa"/>
            <w:tcBorders>
              <w:top w:val="nil"/>
              <w:left w:val="nil"/>
              <w:bottom w:val="nil"/>
              <w:right w:val="nil"/>
            </w:tcBorders>
            <w:shd w:val="clear" w:color="auto" w:fill="auto"/>
            <w:noWrap/>
            <w:vAlign w:val="bottom"/>
            <w:hideMark/>
          </w:tcPr>
          <w:p w14:paraId="6939112F"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602" w:type="dxa"/>
            <w:tcBorders>
              <w:top w:val="nil"/>
              <w:left w:val="nil"/>
              <w:bottom w:val="nil"/>
              <w:right w:val="nil"/>
            </w:tcBorders>
            <w:shd w:val="clear" w:color="000000" w:fill="FFFFFF"/>
            <w:noWrap/>
            <w:vAlign w:val="center"/>
            <w:hideMark/>
          </w:tcPr>
          <w:p w14:paraId="4D552B3D"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212.374 </w:t>
            </w:r>
          </w:p>
        </w:tc>
        <w:tc>
          <w:tcPr>
            <w:tcW w:w="211" w:type="dxa"/>
            <w:tcBorders>
              <w:top w:val="nil"/>
              <w:left w:val="nil"/>
              <w:bottom w:val="nil"/>
              <w:right w:val="nil"/>
            </w:tcBorders>
            <w:shd w:val="clear" w:color="auto" w:fill="auto"/>
            <w:noWrap/>
            <w:vAlign w:val="bottom"/>
            <w:hideMark/>
          </w:tcPr>
          <w:p w14:paraId="5768A3F7"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363" w:type="dxa"/>
            <w:tcBorders>
              <w:top w:val="nil"/>
              <w:left w:val="nil"/>
              <w:bottom w:val="nil"/>
              <w:right w:val="nil"/>
            </w:tcBorders>
            <w:shd w:val="clear" w:color="000000" w:fill="FFFFFF"/>
            <w:noWrap/>
            <w:vAlign w:val="center"/>
            <w:hideMark/>
          </w:tcPr>
          <w:p w14:paraId="64672EA5"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143.647 </w:t>
            </w:r>
          </w:p>
        </w:tc>
      </w:tr>
      <w:tr w:rsidR="003420B0" w:rsidRPr="0048506B" w14:paraId="74F7C419" w14:textId="77777777" w:rsidTr="003420B0">
        <w:trPr>
          <w:trHeight w:val="20"/>
        </w:trPr>
        <w:tc>
          <w:tcPr>
            <w:tcW w:w="3544" w:type="dxa"/>
            <w:tcBorders>
              <w:top w:val="nil"/>
              <w:left w:val="nil"/>
              <w:bottom w:val="nil"/>
              <w:right w:val="nil"/>
            </w:tcBorders>
            <w:shd w:val="clear" w:color="000000" w:fill="FFFFFF"/>
            <w:noWrap/>
            <w:vAlign w:val="center"/>
            <w:hideMark/>
          </w:tcPr>
          <w:p w14:paraId="5F996F75"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Outras receitas financeiras</w:t>
            </w:r>
          </w:p>
        </w:tc>
        <w:tc>
          <w:tcPr>
            <w:tcW w:w="612" w:type="dxa"/>
            <w:tcBorders>
              <w:top w:val="nil"/>
              <w:left w:val="nil"/>
              <w:bottom w:val="nil"/>
              <w:right w:val="nil"/>
            </w:tcBorders>
            <w:shd w:val="clear" w:color="auto" w:fill="auto"/>
            <w:vAlign w:val="center"/>
            <w:hideMark/>
          </w:tcPr>
          <w:p w14:paraId="1C55B904"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p>
        </w:tc>
        <w:tc>
          <w:tcPr>
            <w:tcW w:w="1642" w:type="dxa"/>
            <w:tcBorders>
              <w:top w:val="nil"/>
              <w:left w:val="nil"/>
              <w:bottom w:val="nil"/>
              <w:right w:val="nil"/>
            </w:tcBorders>
            <w:shd w:val="clear" w:color="auto" w:fill="auto"/>
            <w:noWrap/>
            <w:vAlign w:val="center"/>
            <w:hideMark/>
          </w:tcPr>
          <w:p w14:paraId="1FA79C4E"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 </w:t>
            </w:r>
          </w:p>
        </w:tc>
        <w:tc>
          <w:tcPr>
            <w:tcW w:w="211" w:type="dxa"/>
            <w:tcBorders>
              <w:top w:val="nil"/>
              <w:left w:val="nil"/>
              <w:bottom w:val="nil"/>
              <w:right w:val="nil"/>
            </w:tcBorders>
            <w:shd w:val="clear" w:color="auto" w:fill="auto"/>
            <w:noWrap/>
            <w:vAlign w:val="bottom"/>
            <w:hideMark/>
          </w:tcPr>
          <w:p w14:paraId="7C242B9B"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459" w:type="dxa"/>
            <w:tcBorders>
              <w:top w:val="nil"/>
              <w:left w:val="nil"/>
              <w:bottom w:val="nil"/>
              <w:right w:val="nil"/>
            </w:tcBorders>
            <w:shd w:val="clear" w:color="auto" w:fill="auto"/>
            <w:noWrap/>
            <w:vAlign w:val="center"/>
            <w:hideMark/>
          </w:tcPr>
          <w:p w14:paraId="12A9E042"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 </w:t>
            </w:r>
          </w:p>
        </w:tc>
        <w:tc>
          <w:tcPr>
            <w:tcW w:w="211" w:type="dxa"/>
            <w:tcBorders>
              <w:top w:val="nil"/>
              <w:left w:val="nil"/>
              <w:bottom w:val="nil"/>
              <w:right w:val="nil"/>
            </w:tcBorders>
            <w:shd w:val="clear" w:color="auto" w:fill="auto"/>
            <w:noWrap/>
            <w:vAlign w:val="bottom"/>
            <w:hideMark/>
          </w:tcPr>
          <w:p w14:paraId="1A0CFCB3"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602" w:type="dxa"/>
            <w:tcBorders>
              <w:top w:val="nil"/>
              <w:left w:val="nil"/>
              <w:bottom w:val="nil"/>
              <w:right w:val="nil"/>
            </w:tcBorders>
            <w:shd w:val="clear" w:color="000000" w:fill="FFFFFF"/>
            <w:noWrap/>
            <w:vAlign w:val="center"/>
            <w:hideMark/>
          </w:tcPr>
          <w:p w14:paraId="7F4725C2"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346 </w:t>
            </w:r>
          </w:p>
        </w:tc>
        <w:tc>
          <w:tcPr>
            <w:tcW w:w="211" w:type="dxa"/>
            <w:tcBorders>
              <w:top w:val="nil"/>
              <w:left w:val="nil"/>
              <w:bottom w:val="nil"/>
              <w:right w:val="nil"/>
            </w:tcBorders>
            <w:shd w:val="clear" w:color="auto" w:fill="auto"/>
            <w:noWrap/>
            <w:vAlign w:val="bottom"/>
            <w:hideMark/>
          </w:tcPr>
          <w:p w14:paraId="67806F4C"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363" w:type="dxa"/>
            <w:tcBorders>
              <w:top w:val="nil"/>
              <w:left w:val="nil"/>
              <w:bottom w:val="nil"/>
              <w:right w:val="nil"/>
            </w:tcBorders>
            <w:shd w:val="clear" w:color="000000" w:fill="FFFFFF"/>
            <w:noWrap/>
            <w:vAlign w:val="center"/>
            <w:hideMark/>
          </w:tcPr>
          <w:p w14:paraId="453A9F22"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346 </w:t>
            </w:r>
          </w:p>
        </w:tc>
      </w:tr>
      <w:tr w:rsidR="003420B0" w:rsidRPr="0048506B" w14:paraId="27E58529" w14:textId="77777777" w:rsidTr="003420B0">
        <w:trPr>
          <w:trHeight w:val="20"/>
        </w:trPr>
        <w:tc>
          <w:tcPr>
            <w:tcW w:w="3544" w:type="dxa"/>
            <w:tcBorders>
              <w:top w:val="nil"/>
              <w:left w:val="nil"/>
              <w:bottom w:val="nil"/>
              <w:right w:val="nil"/>
            </w:tcBorders>
            <w:shd w:val="clear" w:color="000000" w:fill="FFFFFF"/>
            <w:noWrap/>
            <w:vAlign w:val="center"/>
            <w:hideMark/>
          </w:tcPr>
          <w:p w14:paraId="602AF0BC" w14:textId="77777777" w:rsidR="003420B0" w:rsidRPr="0048506B" w:rsidRDefault="003420B0" w:rsidP="001D3745">
            <w:pPr>
              <w:spacing w:after="0" w:line="240" w:lineRule="auto"/>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xml:space="preserve">   Despesas Financeiras</w:t>
            </w:r>
          </w:p>
        </w:tc>
        <w:tc>
          <w:tcPr>
            <w:tcW w:w="612" w:type="dxa"/>
            <w:tcBorders>
              <w:top w:val="nil"/>
              <w:left w:val="nil"/>
              <w:bottom w:val="nil"/>
              <w:right w:val="nil"/>
            </w:tcBorders>
            <w:shd w:val="clear" w:color="auto" w:fill="auto"/>
            <w:vAlign w:val="center"/>
            <w:hideMark/>
          </w:tcPr>
          <w:p w14:paraId="6A624DA9" w14:textId="77777777" w:rsidR="003420B0" w:rsidRPr="0048506B" w:rsidRDefault="003420B0" w:rsidP="001D3745">
            <w:pPr>
              <w:spacing w:after="0" w:line="240" w:lineRule="auto"/>
              <w:rPr>
                <w:rFonts w:ascii="Verdana" w:eastAsia="Times New Roman" w:hAnsi="Verdana" w:cs="Calibri"/>
                <w:b/>
                <w:bCs/>
                <w:color w:val="000000"/>
                <w:sz w:val="16"/>
                <w:szCs w:val="16"/>
                <w:lang w:eastAsia="pt-BR"/>
              </w:rPr>
            </w:pPr>
          </w:p>
        </w:tc>
        <w:tc>
          <w:tcPr>
            <w:tcW w:w="1642" w:type="dxa"/>
            <w:tcBorders>
              <w:top w:val="nil"/>
              <w:left w:val="nil"/>
              <w:bottom w:val="nil"/>
              <w:right w:val="nil"/>
            </w:tcBorders>
            <w:shd w:val="clear" w:color="auto" w:fill="auto"/>
            <w:noWrap/>
            <w:vAlign w:val="bottom"/>
            <w:hideMark/>
          </w:tcPr>
          <w:p w14:paraId="584A45C7" w14:textId="77777777" w:rsidR="003420B0" w:rsidRPr="0048506B" w:rsidRDefault="003420B0" w:rsidP="001D3745">
            <w:pPr>
              <w:spacing w:after="0" w:line="240" w:lineRule="auto"/>
              <w:jc w:val="center"/>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3463C706"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459" w:type="dxa"/>
            <w:tcBorders>
              <w:top w:val="nil"/>
              <w:left w:val="nil"/>
              <w:bottom w:val="nil"/>
              <w:right w:val="nil"/>
            </w:tcBorders>
            <w:shd w:val="clear" w:color="auto" w:fill="auto"/>
            <w:noWrap/>
            <w:vAlign w:val="bottom"/>
            <w:hideMark/>
          </w:tcPr>
          <w:p w14:paraId="72D701F3"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3D72C023"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602" w:type="dxa"/>
            <w:tcBorders>
              <w:top w:val="nil"/>
              <w:left w:val="nil"/>
              <w:bottom w:val="nil"/>
              <w:right w:val="nil"/>
            </w:tcBorders>
            <w:shd w:val="clear" w:color="000000" w:fill="FFFFFF"/>
            <w:noWrap/>
            <w:vAlign w:val="center"/>
            <w:hideMark/>
          </w:tcPr>
          <w:p w14:paraId="7641D81A"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211" w:type="dxa"/>
            <w:tcBorders>
              <w:top w:val="nil"/>
              <w:left w:val="nil"/>
              <w:bottom w:val="nil"/>
              <w:right w:val="nil"/>
            </w:tcBorders>
            <w:shd w:val="clear" w:color="auto" w:fill="auto"/>
            <w:noWrap/>
            <w:vAlign w:val="bottom"/>
            <w:hideMark/>
          </w:tcPr>
          <w:p w14:paraId="570C5208"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363" w:type="dxa"/>
            <w:tcBorders>
              <w:top w:val="nil"/>
              <w:left w:val="nil"/>
              <w:bottom w:val="nil"/>
              <w:right w:val="nil"/>
            </w:tcBorders>
            <w:shd w:val="clear" w:color="000000" w:fill="FFFFFF"/>
            <w:noWrap/>
            <w:vAlign w:val="center"/>
            <w:hideMark/>
          </w:tcPr>
          <w:p w14:paraId="0EB3EF06"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r>
      <w:tr w:rsidR="003420B0" w:rsidRPr="0048506B" w14:paraId="3F038A90" w14:textId="77777777" w:rsidTr="003420B0">
        <w:trPr>
          <w:trHeight w:val="20"/>
        </w:trPr>
        <w:tc>
          <w:tcPr>
            <w:tcW w:w="3544" w:type="dxa"/>
            <w:tcBorders>
              <w:top w:val="nil"/>
              <w:left w:val="nil"/>
              <w:bottom w:val="nil"/>
              <w:right w:val="nil"/>
            </w:tcBorders>
            <w:shd w:val="clear" w:color="000000" w:fill="FFFFFF"/>
            <w:noWrap/>
            <w:vAlign w:val="center"/>
            <w:hideMark/>
          </w:tcPr>
          <w:p w14:paraId="2B32306A"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Encargos de dívidas</w:t>
            </w:r>
          </w:p>
        </w:tc>
        <w:tc>
          <w:tcPr>
            <w:tcW w:w="612" w:type="dxa"/>
            <w:tcBorders>
              <w:top w:val="nil"/>
              <w:left w:val="nil"/>
              <w:bottom w:val="nil"/>
              <w:right w:val="nil"/>
            </w:tcBorders>
            <w:shd w:val="clear" w:color="000000" w:fill="FFFFFF"/>
            <w:vAlign w:val="center"/>
            <w:hideMark/>
          </w:tcPr>
          <w:p w14:paraId="3F782707" w14:textId="77777777" w:rsidR="003420B0" w:rsidRPr="0048506B" w:rsidRDefault="003420B0" w:rsidP="001D3745">
            <w:pPr>
              <w:spacing w:after="0" w:line="240" w:lineRule="auto"/>
              <w:jc w:val="center"/>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1642" w:type="dxa"/>
            <w:tcBorders>
              <w:top w:val="nil"/>
              <w:left w:val="nil"/>
              <w:bottom w:val="nil"/>
              <w:right w:val="nil"/>
            </w:tcBorders>
            <w:shd w:val="clear" w:color="000000" w:fill="FFFFFF"/>
            <w:noWrap/>
            <w:vAlign w:val="center"/>
            <w:hideMark/>
          </w:tcPr>
          <w:p w14:paraId="7F7E0D2F"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(2.161)</w:t>
            </w:r>
          </w:p>
        </w:tc>
        <w:tc>
          <w:tcPr>
            <w:tcW w:w="211" w:type="dxa"/>
            <w:tcBorders>
              <w:top w:val="nil"/>
              <w:left w:val="nil"/>
              <w:bottom w:val="nil"/>
              <w:right w:val="nil"/>
            </w:tcBorders>
            <w:shd w:val="clear" w:color="auto" w:fill="auto"/>
            <w:noWrap/>
            <w:vAlign w:val="bottom"/>
            <w:hideMark/>
          </w:tcPr>
          <w:p w14:paraId="21CCB585"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459" w:type="dxa"/>
            <w:tcBorders>
              <w:top w:val="nil"/>
              <w:left w:val="nil"/>
              <w:bottom w:val="nil"/>
              <w:right w:val="nil"/>
            </w:tcBorders>
            <w:shd w:val="clear" w:color="000000" w:fill="FFFFFF"/>
            <w:noWrap/>
            <w:vAlign w:val="center"/>
            <w:hideMark/>
          </w:tcPr>
          <w:p w14:paraId="455C6318"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(2.161)</w:t>
            </w:r>
          </w:p>
        </w:tc>
        <w:tc>
          <w:tcPr>
            <w:tcW w:w="211" w:type="dxa"/>
            <w:tcBorders>
              <w:top w:val="nil"/>
              <w:left w:val="nil"/>
              <w:bottom w:val="nil"/>
              <w:right w:val="nil"/>
            </w:tcBorders>
            <w:shd w:val="clear" w:color="auto" w:fill="auto"/>
            <w:noWrap/>
            <w:vAlign w:val="bottom"/>
            <w:hideMark/>
          </w:tcPr>
          <w:p w14:paraId="045256E8"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602" w:type="dxa"/>
            <w:tcBorders>
              <w:top w:val="nil"/>
              <w:left w:val="nil"/>
              <w:bottom w:val="nil"/>
              <w:right w:val="nil"/>
            </w:tcBorders>
            <w:shd w:val="clear" w:color="000000" w:fill="FFFFFF"/>
            <w:noWrap/>
            <w:vAlign w:val="center"/>
            <w:hideMark/>
          </w:tcPr>
          <w:p w14:paraId="65DCA4D2"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(43.171)</w:t>
            </w:r>
          </w:p>
        </w:tc>
        <w:tc>
          <w:tcPr>
            <w:tcW w:w="211" w:type="dxa"/>
            <w:tcBorders>
              <w:top w:val="nil"/>
              <w:left w:val="nil"/>
              <w:bottom w:val="nil"/>
              <w:right w:val="nil"/>
            </w:tcBorders>
            <w:shd w:val="clear" w:color="auto" w:fill="auto"/>
            <w:noWrap/>
            <w:vAlign w:val="bottom"/>
            <w:hideMark/>
          </w:tcPr>
          <w:p w14:paraId="5CAC0260"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363" w:type="dxa"/>
            <w:tcBorders>
              <w:top w:val="nil"/>
              <w:left w:val="nil"/>
              <w:bottom w:val="nil"/>
              <w:right w:val="nil"/>
            </w:tcBorders>
            <w:shd w:val="clear" w:color="000000" w:fill="FFFFFF"/>
            <w:noWrap/>
            <w:vAlign w:val="center"/>
            <w:hideMark/>
          </w:tcPr>
          <w:p w14:paraId="4DE400E7"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(43.171)</w:t>
            </w:r>
          </w:p>
        </w:tc>
      </w:tr>
      <w:tr w:rsidR="003420B0" w:rsidRPr="0048506B" w14:paraId="3180FAE2" w14:textId="77777777" w:rsidTr="003420B0">
        <w:trPr>
          <w:trHeight w:val="20"/>
        </w:trPr>
        <w:tc>
          <w:tcPr>
            <w:tcW w:w="3544" w:type="dxa"/>
            <w:tcBorders>
              <w:top w:val="nil"/>
              <w:left w:val="nil"/>
              <w:bottom w:val="nil"/>
              <w:right w:val="nil"/>
            </w:tcBorders>
            <w:shd w:val="clear" w:color="000000" w:fill="FFFFFF"/>
            <w:vAlign w:val="center"/>
            <w:hideMark/>
          </w:tcPr>
          <w:p w14:paraId="05E79EB1"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A</w:t>
            </w:r>
            <w:r>
              <w:rPr>
                <w:rFonts w:ascii="Verdana" w:eastAsia="Times New Roman" w:hAnsi="Verdana" w:cs="Calibri"/>
                <w:color w:val="000000"/>
                <w:sz w:val="16"/>
                <w:szCs w:val="16"/>
                <w:lang w:eastAsia="pt-BR"/>
              </w:rPr>
              <w:t xml:space="preserve">VP </w:t>
            </w:r>
            <w:r w:rsidRPr="0048506B">
              <w:rPr>
                <w:rFonts w:ascii="Verdana" w:eastAsia="Times New Roman" w:hAnsi="Verdana" w:cs="Calibri"/>
                <w:color w:val="000000"/>
                <w:sz w:val="16"/>
                <w:szCs w:val="16"/>
                <w:lang w:eastAsia="pt-BR"/>
              </w:rPr>
              <w:t>obrigação p/</w:t>
            </w:r>
            <w:proofErr w:type="spellStart"/>
            <w:r w:rsidRPr="0048506B">
              <w:rPr>
                <w:rFonts w:ascii="Verdana" w:eastAsia="Times New Roman" w:hAnsi="Verdana" w:cs="Calibri"/>
                <w:color w:val="000000"/>
                <w:sz w:val="16"/>
                <w:szCs w:val="16"/>
                <w:lang w:eastAsia="pt-BR"/>
              </w:rPr>
              <w:t>desmob</w:t>
            </w:r>
            <w:proofErr w:type="spellEnd"/>
            <w:r w:rsidRPr="0048506B">
              <w:rPr>
                <w:rFonts w:ascii="Verdana" w:eastAsia="Times New Roman" w:hAnsi="Verdana" w:cs="Calibri"/>
                <w:color w:val="000000"/>
                <w:sz w:val="16"/>
                <w:szCs w:val="16"/>
                <w:lang w:eastAsia="pt-BR"/>
              </w:rPr>
              <w:t>. ativos</w:t>
            </w:r>
          </w:p>
        </w:tc>
        <w:tc>
          <w:tcPr>
            <w:tcW w:w="612" w:type="dxa"/>
            <w:tcBorders>
              <w:top w:val="nil"/>
              <w:left w:val="nil"/>
              <w:bottom w:val="nil"/>
              <w:right w:val="nil"/>
            </w:tcBorders>
            <w:shd w:val="clear" w:color="000000" w:fill="FFFFFF"/>
            <w:vAlign w:val="center"/>
            <w:hideMark/>
          </w:tcPr>
          <w:p w14:paraId="21BFA0C1" w14:textId="77777777" w:rsidR="003420B0" w:rsidRPr="0048506B" w:rsidRDefault="003420B0" w:rsidP="001D3745">
            <w:pPr>
              <w:spacing w:after="0" w:line="240" w:lineRule="auto"/>
              <w:jc w:val="center"/>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1642" w:type="dxa"/>
            <w:tcBorders>
              <w:top w:val="nil"/>
              <w:left w:val="nil"/>
              <w:bottom w:val="nil"/>
              <w:right w:val="nil"/>
            </w:tcBorders>
            <w:shd w:val="clear" w:color="000000" w:fill="FFFFFF"/>
            <w:noWrap/>
            <w:vAlign w:val="center"/>
            <w:hideMark/>
          </w:tcPr>
          <w:p w14:paraId="4F86C548"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 </w:t>
            </w:r>
          </w:p>
        </w:tc>
        <w:tc>
          <w:tcPr>
            <w:tcW w:w="211" w:type="dxa"/>
            <w:tcBorders>
              <w:top w:val="nil"/>
              <w:left w:val="nil"/>
              <w:bottom w:val="nil"/>
              <w:right w:val="nil"/>
            </w:tcBorders>
            <w:shd w:val="clear" w:color="auto" w:fill="auto"/>
            <w:noWrap/>
            <w:vAlign w:val="bottom"/>
            <w:hideMark/>
          </w:tcPr>
          <w:p w14:paraId="004B4BB4"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459" w:type="dxa"/>
            <w:tcBorders>
              <w:top w:val="nil"/>
              <w:left w:val="nil"/>
              <w:bottom w:val="nil"/>
              <w:right w:val="nil"/>
            </w:tcBorders>
            <w:shd w:val="clear" w:color="000000" w:fill="FFFFFF"/>
            <w:noWrap/>
            <w:vAlign w:val="center"/>
            <w:hideMark/>
          </w:tcPr>
          <w:p w14:paraId="63A3E51F"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 </w:t>
            </w:r>
          </w:p>
        </w:tc>
        <w:tc>
          <w:tcPr>
            <w:tcW w:w="211" w:type="dxa"/>
            <w:tcBorders>
              <w:top w:val="nil"/>
              <w:left w:val="nil"/>
              <w:bottom w:val="nil"/>
              <w:right w:val="nil"/>
            </w:tcBorders>
            <w:shd w:val="clear" w:color="auto" w:fill="auto"/>
            <w:noWrap/>
            <w:vAlign w:val="bottom"/>
            <w:hideMark/>
          </w:tcPr>
          <w:p w14:paraId="2199C0F7"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602" w:type="dxa"/>
            <w:tcBorders>
              <w:top w:val="nil"/>
              <w:left w:val="nil"/>
              <w:bottom w:val="nil"/>
              <w:right w:val="nil"/>
            </w:tcBorders>
            <w:shd w:val="clear" w:color="000000" w:fill="FFFFFF"/>
            <w:noWrap/>
            <w:vAlign w:val="center"/>
            <w:hideMark/>
          </w:tcPr>
          <w:p w14:paraId="228C7868"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(20.393)</w:t>
            </w:r>
          </w:p>
        </w:tc>
        <w:tc>
          <w:tcPr>
            <w:tcW w:w="211" w:type="dxa"/>
            <w:tcBorders>
              <w:top w:val="nil"/>
              <w:left w:val="nil"/>
              <w:bottom w:val="nil"/>
              <w:right w:val="nil"/>
            </w:tcBorders>
            <w:shd w:val="clear" w:color="auto" w:fill="auto"/>
            <w:noWrap/>
            <w:vAlign w:val="bottom"/>
            <w:hideMark/>
          </w:tcPr>
          <w:p w14:paraId="01F3FBDC"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363" w:type="dxa"/>
            <w:tcBorders>
              <w:top w:val="nil"/>
              <w:left w:val="nil"/>
              <w:bottom w:val="nil"/>
              <w:right w:val="nil"/>
            </w:tcBorders>
            <w:shd w:val="clear" w:color="000000" w:fill="FFFFFF"/>
            <w:noWrap/>
            <w:vAlign w:val="center"/>
            <w:hideMark/>
          </w:tcPr>
          <w:p w14:paraId="0811E4BE"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(20.393)</w:t>
            </w:r>
          </w:p>
        </w:tc>
      </w:tr>
      <w:tr w:rsidR="003420B0" w:rsidRPr="0048506B" w14:paraId="2C1D9CC8" w14:textId="77777777" w:rsidTr="003420B0">
        <w:trPr>
          <w:trHeight w:val="20"/>
        </w:trPr>
        <w:tc>
          <w:tcPr>
            <w:tcW w:w="3544" w:type="dxa"/>
            <w:tcBorders>
              <w:top w:val="nil"/>
              <w:left w:val="nil"/>
              <w:bottom w:val="nil"/>
              <w:right w:val="nil"/>
            </w:tcBorders>
            <w:shd w:val="clear" w:color="000000" w:fill="FFFFFF"/>
            <w:noWrap/>
            <w:vAlign w:val="center"/>
            <w:hideMark/>
          </w:tcPr>
          <w:p w14:paraId="3C2580DE"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Atualizações monetárias passivas</w:t>
            </w:r>
          </w:p>
        </w:tc>
        <w:tc>
          <w:tcPr>
            <w:tcW w:w="612" w:type="dxa"/>
            <w:tcBorders>
              <w:top w:val="nil"/>
              <w:left w:val="nil"/>
              <w:bottom w:val="nil"/>
              <w:right w:val="nil"/>
            </w:tcBorders>
            <w:shd w:val="clear" w:color="000000" w:fill="FFFFFF"/>
            <w:vAlign w:val="center"/>
            <w:hideMark/>
          </w:tcPr>
          <w:p w14:paraId="05CD87E7" w14:textId="77777777" w:rsidR="003420B0" w:rsidRPr="0048506B" w:rsidRDefault="003420B0" w:rsidP="001D3745">
            <w:pPr>
              <w:spacing w:after="0" w:line="240" w:lineRule="auto"/>
              <w:jc w:val="center"/>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1642" w:type="dxa"/>
            <w:tcBorders>
              <w:top w:val="nil"/>
              <w:left w:val="nil"/>
              <w:bottom w:val="nil"/>
              <w:right w:val="nil"/>
            </w:tcBorders>
            <w:shd w:val="clear" w:color="000000" w:fill="FFFFFF"/>
            <w:noWrap/>
            <w:vAlign w:val="center"/>
            <w:hideMark/>
          </w:tcPr>
          <w:p w14:paraId="38E34A09"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(7)</w:t>
            </w:r>
          </w:p>
        </w:tc>
        <w:tc>
          <w:tcPr>
            <w:tcW w:w="211" w:type="dxa"/>
            <w:tcBorders>
              <w:top w:val="nil"/>
              <w:left w:val="nil"/>
              <w:bottom w:val="nil"/>
              <w:right w:val="nil"/>
            </w:tcBorders>
            <w:shd w:val="clear" w:color="auto" w:fill="auto"/>
            <w:noWrap/>
            <w:vAlign w:val="bottom"/>
            <w:hideMark/>
          </w:tcPr>
          <w:p w14:paraId="029C200D"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459" w:type="dxa"/>
            <w:tcBorders>
              <w:top w:val="nil"/>
              <w:left w:val="nil"/>
              <w:bottom w:val="nil"/>
              <w:right w:val="nil"/>
            </w:tcBorders>
            <w:shd w:val="clear" w:color="000000" w:fill="FFFFFF"/>
            <w:noWrap/>
            <w:vAlign w:val="center"/>
            <w:hideMark/>
          </w:tcPr>
          <w:p w14:paraId="3A8651F6"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   </w:t>
            </w:r>
          </w:p>
        </w:tc>
        <w:tc>
          <w:tcPr>
            <w:tcW w:w="211" w:type="dxa"/>
            <w:tcBorders>
              <w:top w:val="nil"/>
              <w:left w:val="nil"/>
              <w:bottom w:val="nil"/>
              <w:right w:val="nil"/>
            </w:tcBorders>
            <w:shd w:val="clear" w:color="auto" w:fill="auto"/>
            <w:noWrap/>
            <w:vAlign w:val="bottom"/>
            <w:hideMark/>
          </w:tcPr>
          <w:p w14:paraId="4E032FE6"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602" w:type="dxa"/>
            <w:tcBorders>
              <w:top w:val="nil"/>
              <w:left w:val="nil"/>
              <w:bottom w:val="nil"/>
              <w:right w:val="nil"/>
            </w:tcBorders>
            <w:shd w:val="clear" w:color="000000" w:fill="FFFFFF"/>
            <w:noWrap/>
            <w:vAlign w:val="center"/>
            <w:hideMark/>
          </w:tcPr>
          <w:p w14:paraId="6B5159C0"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(15.955)</w:t>
            </w:r>
          </w:p>
        </w:tc>
        <w:tc>
          <w:tcPr>
            <w:tcW w:w="211" w:type="dxa"/>
            <w:tcBorders>
              <w:top w:val="nil"/>
              <w:left w:val="nil"/>
              <w:bottom w:val="nil"/>
              <w:right w:val="nil"/>
            </w:tcBorders>
            <w:shd w:val="clear" w:color="auto" w:fill="auto"/>
            <w:noWrap/>
            <w:vAlign w:val="bottom"/>
            <w:hideMark/>
          </w:tcPr>
          <w:p w14:paraId="2AED1ABB"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363" w:type="dxa"/>
            <w:tcBorders>
              <w:top w:val="nil"/>
              <w:left w:val="nil"/>
              <w:bottom w:val="nil"/>
              <w:right w:val="nil"/>
            </w:tcBorders>
            <w:shd w:val="clear" w:color="000000" w:fill="FFFFFF"/>
            <w:noWrap/>
            <w:vAlign w:val="center"/>
            <w:hideMark/>
          </w:tcPr>
          <w:p w14:paraId="652734B3"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(15.955)</w:t>
            </w:r>
          </w:p>
        </w:tc>
      </w:tr>
      <w:tr w:rsidR="003420B0" w:rsidRPr="0048506B" w14:paraId="087EE620" w14:textId="77777777" w:rsidTr="003420B0">
        <w:trPr>
          <w:trHeight w:val="20"/>
        </w:trPr>
        <w:tc>
          <w:tcPr>
            <w:tcW w:w="3544" w:type="dxa"/>
            <w:tcBorders>
              <w:top w:val="nil"/>
              <w:left w:val="nil"/>
              <w:bottom w:val="nil"/>
              <w:right w:val="nil"/>
            </w:tcBorders>
            <w:shd w:val="clear" w:color="000000" w:fill="FFFFFF"/>
            <w:noWrap/>
            <w:vAlign w:val="center"/>
            <w:hideMark/>
          </w:tcPr>
          <w:p w14:paraId="071471C3"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Outras despesas financeiras</w:t>
            </w:r>
          </w:p>
        </w:tc>
        <w:tc>
          <w:tcPr>
            <w:tcW w:w="612" w:type="dxa"/>
            <w:tcBorders>
              <w:top w:val="nil"/>
              <w:left w:val="nil"/>
              <w:bottom w:val="nil"/>
              <w:right w:val="nil"/>
            </w:tcBorders>
            <w:shd w:val="clear" w:color="000000" w:fill="FFFFFF"/>
            <w:vAlign w:val="center"/>
            <w:hideMark/>
          </w:tcPr>
          <w:p w14:paraId="365CF5CB" w14:textId="77777777" w:rsidR="003420B0" w:rsidRPr="0048506B" w:rsidRDefault="003420B0" w:rsidP="001D3745">
            <w:pPr>
              <w:spacing w:after="0" w:line="240" w:lineRule="auto"/>
              <w:jc w:val="center"/>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1642" w:type="dxa"/>
            <w:tcBorders>
              <w:top w:val="nil"/>
              <w:left w:val="nil"/>
              <w:bottom w:val="nil"/>
              <w:right w:val="nil"/>
            </w:tcBorders>
            <w:shd w:val="clear" w:color="000000" w:fill="FFFFFF"/>
            <w:noWrap/>
            <w:vAlign w:val="center"/>
            <w:hideMark/>
          </w:tcPr>
          <w:p w14:paraId="274E502E"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(1)</w:t>
            </w:r>
          </w:p>
        </w:tc>
        <w:tc>
          <w:tcPr>
            <w:tcW w:w="211" w:type="dxa"/>
            <w:tcBorders>
              <w:top w:val="nil"/>
              <w:left w:val="nil"/>
              <w:bottom w:val="nil"/>
              <w:right w:val="nil"/>
            </w:tcBorders>
            <w:shd w:val="clear" w:color="auto" w:fill="auto"/>
            <w:noWrap/>
            <w:vAlign w:val="bottom"/>
            <w:hideMark/>
          </w:tcPr>
          <w:p w14:paraId="0266A99D"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459" w:type="dxa"/>
            <w:tcBorders>
              <w:top w:val="nil"/>
              <w:left w:val="nil"/>
              <w:bottom w:val="nil"/>
              <w:right w:val="nil"/>
            </w:tcBorders>
            <w:shd w:val="clear" w:color="000000" w:fill="FFFFFF"/>
            <w:noWrap/>
            <w:vAlign w:val="center"/>
            <w:hideMark/>
          </w:tcPr>
          <w:p w14:paraId="3785A8A7"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   </w:t>
            </w:r>
          </w:p>
        </w:tc>
        <w:tc>
          <w:tcPr>
            <w:tcW w:w="211" w:type="dxa"/>
            <w:tcBorders>
              <w:top w:val="nil"/>
              <w:left w:val="nil"/>
              <w:bottom w:val="nil"/>
              <w:right w:val="nil"/>
            </w:tcBorders>
            <w:shd w:val="clear" w:color="auto" w:fill="auto"/>
            <w:noWrap/>
            <w:vAlign w:val="bottom"/>
            <w:hideMark/>
          </w:tcPr>
          <w:p w14:paraId="1DA3E67D"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602" w:type="dxa"/>
            <w:tcBorders>
              <w:top w:val="nil"/>
              <w:left w:val="nil"/>
              <w:bottom w:val="nil"/>
              <w:right w:val="nil"/>
            </w:tcBorders>
            <w:shd w:val="clear" w:color="000000" w:fill="FFFFFF"/>
            <w:noWrap/>
            <w:vAlign w:val="center"/>
            <w:hideMark/>
          </w:tcPr>
          <w:p w14:paraId="33CE0F65"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(633)</w:t>
            </w:r>
          </w:p>
        </w:tc>
        <w:tc>
          <w:tcPr>
            <w:tcW w:w="211" w:type="dxa"/>
            <w:tcBorders>
              <w:top w:val="nil"/>
              <w:left w:val="nil"/>
              <w:bottom w:val="nil"/>
              <w:right w:val="nil"/>
            </w:tcBorders>
            <w:shd w:val="clear" w:color="auto" w:fill="auto"/>
            <w:noWrap/>
            <w:vAlign w:val="bottom"/>
            <w:hideMark/>
          </w:tcPr>
          <w:p w14:paraId="03316232"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363" w:type="dxa"/>
            <w:tcBorders>
              <w:top w:val="nil"/>
              <w:left w:val="nil"/>
              <w:bottom w:val="nil"/>
              <w:right w:val="nil"/>
            </w:tcBorders>
            <w:shd w:val="clear" w:color="000000" w:fill="FFFFFF"/>
            <w:noWrap/>
            <w:vAlign w:val="center"/>
            <w:hideMark/>
          </w:tcPr>
          <w:p w14:paraId="1890DD1A"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(633)</w:t>
            </w:r>
          </w:p>
        </w:tc>
      </w:tr>
      <w:tr w:rsidR="003420B0" w:rsidRPr="0048506B" w14:paraId="302A46F4" w14:textId="77777777" w:rsidTr="003420B0">
        <w:trPr>
          <w:trHeight w:val="20"/>
        </w:trPr>
        <w:tc>
          <w:tcPr>
            <w:tcW w:w="3544" w:type="dxa"/>
            <w:tcBorders>
              <w:top w:val="nil"/>
              <w:left w:val="nil"/>
              <w:bottom w:val="nil"/>
              <w:right w:val="nil"/>
            </w:tcBorders>
            <w:shd w:val="clear" w:color="000000" w:fill="FFFFFF"/>
            <w:noWrap/>
            <w:vAlign w:val="center"/>
            <w:hideMark/>
          </w:tcPr>
          <w:p w14:paraId="074EFC2C" w14:textId="77777777" w:rsidR="003420B0" w:rsidRPr="0048506B" w:rsidRDefault="003420B0" w:rsidP="001D3745">
            <w:pPr>
              <w:spacing w:after="0" w:line="240" w:lineRule="auto"/>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xml:space="preserve">   Itens financeiros líquidos</w:t>
            </w:r>
          </w:p>
        </w:tc>
        <w:tc>
          <w:tcPr>
            <w:tcW w:w="612" w:type="dxa"/>
            <w:tcBorders>
              <w:top w:val="nil"/>
              <w:left w:val="nil"/>
              <w:bottom w:val="nil"/>
              <w:right w:val="nil"/>
            </w:tcBorders>
            <w:shd w:val="clear" w:color="000000" w:fill="FFFFFF"/>
            <w:vAlign w:val="center"/>
            <w:hideMark/>
          </w:tcPr>
          <w:p w14:paraId="7C2CCD57" w14:textId="77777777" w:rsidR="003420B0" w:rsidRPr="0048506B" w:rsidRDefault="003420B0" w:rsidP="001D3745">
            <w:pPr>
              <w:spacing w:after="0" w:line="240" w:lineRule="auto"/>
              <w:jc w:val="center"/>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1642" w:type="dxa"/>
            <w:tcBorders>
              <w:top w:val="nil"/>
              <w:left w:val="nil"/>
              <w:bottom w:val="nil"/>
              <w:right w:val="nil"/>
            </w:tcBorders>
            <w:shd w:val="clear" w:color="000000" w:fill="FFFFFF"/>
            <w:noWrap/>
            <w:vAlign w:val="center"/>
            <w:hideMark/>
          </w:tcPr>
          <w:p w14:paraId="5DCE8CFF"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211" w:type="dxa"/>
            <w:tcBorders>
              <w:top w:val="nil"/>
              <w:left w:val="nil"/>
              <w:bottom w:val="nil"/>
              <w:right w:val="nil"/>
            </w:tcBorders>
            <w:shd w:val="clear" w:color="auto" w:fill="auto"/>
            <w:noWrap/>
            <w:vAlign w:val="bottom"/>
            <w:hideMark/>
          </w:tcPr>
          <w:p w14:paraId="5803FF5B"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459" w:type="dxa"/>
            <w:tcBorders>
              <w:top w:val="nil"/>
              <w:left w:val="nil"/>
              <w:bottom w:val="nil"/>
              <w:right w:val="nil"/>
            </w:tcBorders>
            <w:shd w:val="clear" w:color="000000" w:fill="FFFFFF"/>
            <w:noWrap/>
            <w:vAlign w:val="center"/>
            <w:hideMark/>
          </w:tcPr>
          <w:p w14:paraId="2C683567"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211" w:type="dxa"/>
            <w:tcBorders>
              <w:top w:val="nil"/>
              <w:left w:val="nil"/>
              <w:bottom w:val="nil"/>
              <w:right w:val="nil"/>
            </w:tcBorders>
            <w:shd w:val="clear" w:color="auto" w:fill="auto"/>
            <w:noWrap/>
            <w:vAlign w:val="bottom"/>
            <w:hideMark/>
          </w:tcPr>
          <w:p w14:paraId="34D5871C"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602" w:type="dxa"/>
            <w:tcBorders>
              <w:top w:val="nil"/>
              <w:left w:val="nil"/>
              <w:bottom w:val="nil"/>
              <w:right w:val="nil"/>
            </w:tcBorders>
            <w:shd w:val="clear" w:color="000000" w:fill="FFFFFF"/>
            <w:noWrap/>
            <w:vAlign w:val="center"/>
            <w:hideMark/>
          </w:tcPr>
          <w:p w14:paraId="7EAD1D14"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211" w:type="dxa"/>
            <w:tcBorders>
              <w:top w:val="nil"/>
              <w:left w:val="nil"/>
              <w:bottom w:val="nil"/>
              <w:right w:val="nil"/>
            </w:tcBorders>
            <w:shd w:val="clear" w:color="auto" w:fill="auto"/>
            <w:noWrap/>
            <w:vAlign w:val="bottom"/>
            <w:hideMark/>
          </w:tcPr>
          <w:p w14:paraId="52417549"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363" w:type="dxa"/>
            <w:tcBorders>
              <w:top w:val="nil"/>
              <w:left w:val="nil"/>
              <w:bottom w:val="nil"/>
              <w:right w:val="nil"/>
            </w:tcBorders>
            <w:shd w:val="clear" w:color="000000" w:fill="FFFFFF"/>
            <w:noWrap/>
            <w:vAlign w:val="center"/>
            <w:hideMark/>
          </w:tcPr>
          <w:p w14:paraId="343D5673"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r>
      <w:tr w:rsidR="003420B0" w:rsidRPr="0048506B" w14:paraId="1315546B" w14:textId="77777777" w:rsidTr="003420B0">
        <w:trPr>
          <w:trHeight w:val="20"/>
        </w:trPr>
        <w:tc>
          <w:tcPr>
            <w:tcW w:w="3544" w:type="dxa"/>
            <w:tcBorders>
              <w:top w:val="nil"/>
              <w:left w:val="nil"/>
              <w:bottom w:val="nil"/>
              <w:right w:val="nil"/>
            </w:tcBorders>
            <w:shd w:val="clear" w:color="000000" w:fill="FFFFFF"/>
            <w:noWrap/>
            <w:vAlign w:val="center"/>
            <w:hideMark/>
          </w:tcPr>
          <w:p w14:paraId="60F0DBED"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Variações cambiais</w:t>
            </w:r>
          </w:p>
        </w:tc>
        <w:tc>
          <w:tcPr>
            <w:tcW w:w="612" w:type="dxa"/>
            <w:tcBorders>
              <w:top w:val="nil"/>
              <w:left w:val="nil"/>
              <w:bottom w:val="nil"/>
              <w:right w:val="nil"/>
            </w:tcBorders>
            <w:shd w:val="clear" w:color="000000" w:fill="FFFFFF"/>
            <w:vAlign w:val="center"/>
            <w:hideMark/>
          </w:tcPr>
          <w:p w14:paraId="1331F269" w14:textId="77777777" w:rsidR="003420B0" w:rsidRPr="0048506B" w:rsidRDefault="003420B0" w:rsidP="001D3745">
            <w:pPr>
              <w:spacing w:after="0" w:line="240" w:lineRule="auto"/>
              <w:jc w:val="center"/>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1642" w:type="dxa"/>
            <w:tcBorders>
              <w:top w:val="nil"/>
              <w:left w:val="nil"/>
              <w:bottom w:val="nil"/>
              <w:right w:val="nil"/>
            </w:tcBorders>
            <w:shd w:val="clear" w:color="000000" w:fill="FFFFFF"/>
            <w:noWrap/>
            <w:vAlign w:val="center"/>
            <w:hideMark/>
          </w:tcPr>
          <w:p w14:paraId="7E2D5B6A"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(31.667)</w:t>
            </w:r>
          </w:p>
        </w:tc>
        <w:tc>
          <w:tcPr>
            <w:tcW w:w="211" w:type="dxa"/>
            <w:tcBorders>
              <w:top w:val="nil"/>
              <w:left w:val="nil"/>
              <w:bottom w:val="nil"/>
              <w:right w:val="nil"/>
            </w:tcBorders>
            <w:shd w:val="clear" w:color="auto" w:fill="auto"/>
            <w:noWrap/>
            <w:vAlign w:val="bottom"/>
            <w:hideMark/>
          </w:tcPr>
          <w:p w14:paraId="2D18F755"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459" w:type="dxa"/>
            <w:tcBorders>
              <w:top w:val="nil"/>
              <w:left w:val="nil"/>
              <w:bottom w:val="nil"/>
              <w:right w:val="nil"/>
            </w:tcBorders>
            <w:shd w:val="clear" w:color="000000" w:fill="FFFFFF"/>
            <w:noWrap/>
            <w:vAlign w:val="center"/>
            <w:hideMark/>
          </w:tcPr>
          <w:p w14:paraId="31D53B3E"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(31.667)</w:t>
            </w:r>
          </w:p>
        </w:tc>
        <w:tc>
          <w:tcPr>
            <w:tcW w:w="211" w:type="dxa"/>
            <w:tcBorders>
              <w:top w:val="nil"/>
              <w:left w:val="nil"/>
              <w:bottom w:val="nil"/>
              <w:right w:val="nil"/>
            </w:tcBorders>
            <w:shd w:val="clear" w:color="auto" w:fill="auto"/>
            <w:noWrap/>
            <w:vAlign w:val="bottom"/>
            <w:hideMark/>
          </w:tcPr>
          <w:p w14:paraId="5C4E7850"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602" w:type="dxa"/>
            <w:tcBorders>
              <w:top w:val="nil"/>
              <w:left w:val="nil"/>
              <w:bottom w:val="nil"/>
              <w:right w:val="nil"/>
            </w:tcBorders>
            <w:shd w:val="clear" w:color="000000" w:fill="FFFFFF"/>
            <w:noWrap/>
            <w:vAlign w:val="center"/>
            <w:hideMark/>
          </w:tcPr>
          <w:p w14:paraId="496A7725"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(57.842)</w:t>
            </w:r>
          </w:p>
        </w:tc>
        <w:tc>
          <w:tcPr>
            <w:tcW w:w="211" w:type="dxa"/>
            <w:tcBorders>
              <w:top w:val="nil"/>
              <w:left w:val="nil"/>
              <w:bottom w:val="nil"/>
              <w:right w:val="nil"/>
            </w:tcBorders>
            <w:shd w:val="clear" w:color="auto" w:fill="auto"/>
            <w:noWrap/>
            <w:vAlign w:val="bottom"/>
            <w:hideMark/>
          </w:tcPr>
          <w:p w14:paraId="1469975E"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363" w:type="dxa"/>
            <w:tcBorders>
              <w:top w:val="nil"/>
              <w:left w:val="nil"/>
              <w:bottom w:val="nil"/>
              <w:right w:val="nil"/>
            </w:tcBorders>
            <w:shd w:val="clear" w:color="000000" w:fill="FFFFFF"/>
            <w:noWrap/>
            <w:vAlign w:val="center"/>
            <w:hideMark/>
          </w:tcPr>
          <w:p w14:paraId="31E0AB38"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(57.842)</w:t>
            </w:r>
          </w:p>
        </w:tc>
      </w:tr>
      <w:tr w:rsidR="003420B0" w:rsidRPr="0048506B" w14:paraId="02A315FB" w14:textId="77777777" w:rsidTr="003420B0">
        <w:trPr>
          <w:trHeight w:val="20"/>
        </w:trPr>
        <w:tc>
          <w:tcPr>
            <w:tcW w:w="3544" w:type="dxa"/>
            <w:tcBorders>
              <w:top w:val="nil"/>
              <w:left w:val="nil"/>
              <w:bottom w:val="nil"/>
              <w:right w:val="nil"/>
            </w:tcBorders>
            <w:shd w:val="clear" w:color="000000" w:fill="FFFFFF"/>
            <w:noWrap/>
            <w:vAlign w:val="center"/>
            <w:hideMark/>
          </w:tcPr>
          <w:p w14:paraId="345454E1"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612" w:type="dxa"/>
            <w:tcBorders>
              <w:top w:val="nil"/>
              <w:left w:val="nil"/>
              <w:bottom w:val="nil"/>
              <w:right w:val="nil"/>
            </w:tcBorders>
            <w:shd w:val="clear" w:color="auto" w:fill="auto"/>
            <w:vAlign w:val="center"/>
            <w:hideMark/>
          </w:tcPr>
          <w:p w14:paraId="22490492"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p>
        </w:tc>
        <w:tc>
          <w:tcPr>
            <w:tcW w:w="1642" w:type="dxa"/>
            <w:tcBorders>
              <w:top w:val="nil"/>
              <w:left w:val="nil"/>
              <w:bottom w:val="single" w:sz="4" w:space="0" w:color="auto"/>
              <w:right w:val="nil"/>
            </w:tcBorders>
            <w:shd w:val="clear" w:color="auto" w:fill="auto"/>
            <w:noWrap/>
            <w:vAlign w:val="bottom"/>
            <w:hideMark/>
          </w:tcPr>
          <w:p w14:paraId="66411DCB" w14:textId="77777777" w:rsidR="003420B0" w:rsidRPr="0048506B" w:rsidRDefault="003420B0" w:rsidP="001D3745">
            <w:pPr>
              <w:spacing w:after="0" w:line="240" w:lineRule="auto"/>
              <w:rPr>
                <w:rFonts w:ascii="Verdana" w:eastAsia="Times New Roman" w:hAnsi="Verdana" w:cs="Calibri"/>
                <w:color w:val="000000"/>
                <w:lang w:eastAsia="pt-BR"/>
              </w:rPr>
            </w:pPr>
            <w:r w:rsidRPr="0048506B">
              <w:rPr>
                <w:rFonts w:ascii="Verdana" w:eastAsia="Times New Roman" w:hAnsi="Verdana" w:cs="Calibri"/>
                <w:color w:val="000000"/>
                <w:lang w:eastAsia="pt-BR"/>
              </w:rPr>
              <w:t> </w:t>
            </w:r>
          </w:p>
        </w:tc>
        <w:tc>
          <w:tcPr>
            <w:tcW w:w="211" w:type="dxa"/>
            <w:tcBorders>
              <w:top w:val="nil"/>
              <w:left w:val="nil"/>
              <w:bottom w:val="nil"/>
              <w:right w:val="nil"/>
            </w:tcBorders>
            <w:shd w:val="clear" w:color="auto" w:fill="auto"/>
            <w:noWrap/>
            <w:vAlign w:val="bottom"/>
            <w:hideMark/>
          </w:tcPr>
          <w:p w14:paraId="6B20DCE5" w14:textId="77777777" w:rsidR="003420B0" w:rsidRPr="0048506B" w:rsidRDefault="003420B0" w:rsidP="001D3745">
            <w:pPr>
              <w:spacing w:after="0" w:line="240" w:lineRule="auto"/>
              <w:rPr>
                <w:rFonts w:ascii="Verdana" w:eastAsia="Times New Roman" w:hAnsi="Verdana" w:cs="Calibri"/>
                <w:color w:val="000000"/>
                <w:lang w:eastAsia="pt-BR"/>
              </w:rPr>
            </w:pPr>
          </w:p>
        </w:tc>
        <w:tc>
          <w:tcPr>
            <w:tcW w:w="1459" w:type="dxa"/>
            <w:tcBorders>
              <w:top w:val="nil"/>
              <w:left w:val="nil"/>
              <w:bottom w:val="single" w:sz="4" w:space="0" w:color="auto"/>
              <w:right w:val="nil"/>
            </w:tcBorders>
            <w:shd w:val="clear" w:color="auto" w:fill="auto"/>
            <w:noWrap/>
            <w:vAlign w:val="bottom"/>
            <w:hideMark/>
          </w:tcPr>
          <w:p w14:paraId="66C72976" w14:textId="77777777" w:rsidR="003420B0" w:rsidRPr="0048506B" w:rsidRDefault="003420B0" w:rsidP="001D3745">
            <w:pPr>
              <w:spacing w:after="0" w:line="240" w:lineRule="auto"/>
              <w:rPr>
                <w:rFonts w:ascii="Verdana" w:eastAsia="Times New Roman" w:hAnsi="Verdana" w:cs="Calibri"/>
                <w:color w:val="000000"/>
                <w:lang w:eastAsia="pt-BR"/>
              </w:rPr>
            </w:pPr>
            <w:r w:rsidRPr="0048506B">
              <w:rPr>
                <w:rFonts w:ascii="Verdana" w:eastAsia="Times New Roman" w:hAnsi="Verdana" w:cs="Calibri"/>
                <w:color w:val="000000"/>
                <w:lang w:eastAsia="pt-BR"/>
              </w:rPr>
              <w:t> </w:t>
            </w:r>
          </w:p>
        </w:tc>
        <w:tc>
          <w:tcPr>
            <w:tcW w:w="211" w:type="dxa"/>
            <w:tcBorders>
              <w:top w:val="nil"/>
              <w:left w:val="nil"/>
              <w:bottom w:val="nil"/>
              <w:right w:val="nil"/>
            </w:tcBorders>
            <w:shd w:val="clear" w:color="auto" w:fill="auto"/>
            <w:noWrap/>
            <w:vAlign w:val="bottom"/>
            <w:hideMark/>
          </w:tcPr>
          <w:p w14:paraId="018E7FD8" w14:textId="77777777" w:rsidR="003420B0" w:rsidRPr="0048506B" w:rsidRDefault="003420B0" w:rsidP="001D3745">
            <w:pPr>
              <w:spacing w:after="0" w:line="240" w:lineRule="auto"/>
              <w:rPr>
                <w:rFonts w:ascii="Verdana" w:eastAsia="Times New Roman" w:hAnsi="Verdana" w:cs="Calibri"/>
                <w:color w:val="000000"/>
                <w:lang w:eastAsia="pt-BR"/>
              </w:rPr>
            </w:pPr>
          </w:p>
        </w:tc>
        <w:tc>
          <w:tcPr>
            <w:tcW w:w="1602" w:type="dxa"/>
            <w:tcBorders>
              <w:top w:val="nil"/>
              <w:left w:val="nil"/>
              <w:bottom w:val="single" w:sz="4" w:space="0" w:color="auto"/>
              <w:right w:val="nil"/>
            </w:tcBorders>
            <w:shd w:val="clear" w:color="000000" w:fill="FFFFFF"/>
            <w:noWrap/>
            <w:vAlign w:val="center"/>
            <w:hideMark/>
          </w:tcPr>
          <w:p w14:paraId="52CB2B21"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211" w:type="dxa"/>
            <w:tcBorders>
              <w:top w:val="nil"/>
              <w:left w:val="nil"/>
              <w:bottom w:val="nil"/>
              <w:right w:val="nil"/>
            </w:tcBorders>
            <w:shd w:val="clear" w:color="auto" w:fill="auto"/>
            <w:noWrap/>
            <w:vAlign w:val="bottom"/>
            <w:hideMark/>
          </w:tcPr>
          <w:p w14:paraId="57426A87"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363" w:type="dxa"/>
            <w:tcBorders>
              <w:top w:val="nil"/>
              <w:left w:val="nil"/>
              <w:bottom w:val="single" w:sz="4" w:space="0" w:color="auto"/>
              <w:right w:val="nil"/>
            </w:tcBorders>
            <w:shd w:val="clear" w:color="000000" w:fill="FFFFFF"/>
            <w:noWrap/>
            <w:vAlign w:val="center"/>
            <w:hideMark/>
          </w:tcPr>
          <w:p w14:paraId="29FDA4AC"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r>
      <w:tr w:rsidR="003420B0" w:rsidRPr="0048506B" w14:paraId="614F97F6" w14:textId="77777777" w:rsidTr="003420B0">
        <w:trPr>
          <w:trHeight w:val="20"/>
        </w:trPr>
        <w:tc>
          <w:tcPr>
            <w:tcW w:w="3544" w:type="dxa"/>
            <w:tcBorders>
              <w:top w:val="nil"/>
              <w:left w:val="nil"/>
              <w:bottom w:val="nil"/>
              <w:right w:val="nil"/>
            </w:tcBorders>
            <w:shd w:val="clear" w:color="000000" w:fill="FFFFFF"/>
            <w:noWrap/>
            <w:vAlign w:val="center"/>
            <w:hideMark/>
          </w:tcPr>
          <w:p w14:paraId="458EFA33" w14:textId="77777777" w:rsidR="003420B0" w:rsidRPr="0048506B" w:rsidRDefault="003420B0" w:rsidP="001D3745">
            <w:pPr>
              <w:spacing w:after="0" w:line="240" w:lineRule="auto"/>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Resultado Financeiro</w:t>
            </w:r>
          </w:p>
        </w:tc>
        <w:tc>
          <w:tcPr>
            <w:tcW w:w="612" w:type="dxa"/>
            <w:tcBorders>
              <w:top w:val="nil"/>
              <w:left w:val="nil"/>
              <w:bottom w:val="nil"/>
              <w:right w:val="nil"/>
            </w:tcBorders>
            <w:shd w:val="clear" w:color="000000" w:fill="FFFFFF"/>
            <w:vAlign w:val="center"/>
            <w:hideMark/>
          </w:tcPr>
          <w:p w14:paraId="19216354" w14:textId="77777777" w:rsidR="003420B0" w:rsidRPr="0048506B" w:rsidRDefault="003420B0" w:rsidP="001D3745">
            <w:pPr>
              <w:spacing w:after="0" w:line="240" w:lineRule="auto"/>
              <w:jc w:val="center"/>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w:t>
            </w:r>
          </w:p>
        </w:tc>
        <w:tc>
          <w:tcPr>
            <w:tcW w:w="1642" w:type="dxa"/>
            <w:tcBorders>
              <w:top w:val="nil"/>
              <w:left w:val="nil"/>
              <w:bottom w:val="nil"/>
              <w:right w:val="nil"/>
            </w:tcBorders>
            <w:shd w:val="clear" w:color="000000" w:fill="FFFFFF"/>
            <w:noWrap/>
            <w:vAlign w:val="center"/>
            <w:hideMark/>
          </w:tcPr>
          <w:p w14:paraId="30EC4E1B"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xml:space="preserve">         123.383 </w:t>
            </w:r>
          </w:p>
        </w:tc>
        <w:tc>
          <w:tcPr>
            <w:tcW w:w="211" w:type="dxa"/>
            <w:tcBorders>
              <w:top w:val="nil"/>
              <w:left w:val="nil"/>
              <w:bottom w:val="nil"/>
              <w:right w:val="nil"/>
            </w:tcBorders>
            <w:shd w:val="clear" w:color="auto" w:fill="auto"/>
            <w:noWrap/>
            <w:vAlign w:val="bottom"/>
            <w:hideMark/>
          </w:tcPr>
          <w:p w14:paraId="747D2B4F"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p>
        </w:tc>
        <w:tc>
          <w:tcPr>
            <w:tcW w:w="1459" w:type="dxa"/>
            <w:tcBorders>
              <w:top w:val="nil"/>
              <w:left w:val="nil"/>
              <w:bottom w:val="nil"/>
              <w:right w:val="nil"/>
            </w:tcBorders>
            <w:shd w:val="clear" w:color="000000" w:fill="FFFFFF"/>
            <w:noWrap/>
            <w:vAlign w:val="center"/>
            <w:hideMark/>
          </w:tcPr>
          <w:p w14:paraId="00F37D2C"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xml:space="preserve">          54.657 </w:t>
            </w:r>
          </w:p>
        </w:tc>
        <w:tc>
          <w:tcPr>
            <w:tcW w:w="211" w:type="dxa"/>
            <w:tcBorders>
              <w:top w:val="nil"/>
              <w:left w:val="nil"/>
              <w:bottom w:val="nil"/>
              <w:right w:val="nil"/>
            </w:tcBorders>
            <w:shd w:val="clear" w:color="auto" w:fill="auto"/>
            <w:noWrap/>
            <w:vAlign w:val="bottom"/>
            <w:hideMark/>
          </w:tcPr>
          <w:p w14:paraId="1815C40C"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p>
        </w:tc>
        <w:tc>
          <w:tcPr>
            <w:tcW w:w="1602" w:type="dxa"/>
            <w:tcBorders>
              <w:top w:val="nil"/>
              <w:left w:val="nil"/>
              <w:bottom w:val="nil"/>
              <w:right w:val="nil"/>
            </w:tcBorders>
            <w:shd w:val="clear" w:color="auto" w:fill="auto"/>
            <w:noWrap/>
            <w:vAlign w:val="bottom"/>
            <w:hideMark/>
          </w:tcPr>
          <w:p w14:paraId="160EC9A5" w14:textId="03BF1634" w:rsidR="003420B0" w:rsidRPr="0048506B" w:rsidRDefault="003420B0" w:rsidP="003420B0">
            <w:pPr>
              <w:spacing w:after="0" w:line="240" w:lineRule="auto"/>
              <w:jc w:val="right"/>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xml:space="preserve">74.726 </w:t>
            </w:r>
          </w:p>
        </w:tc>
        <w:tc>
          <w:tcPr>
            <w:tcW w:w="211" w:type="dxa"/>
            <w:tcBorders>
              <w:top w:val="nil"/>
              <w:left w:val="nil"/>
              <w:bottom w:val="nil"/>
              <w:right w:val="nil"/>
            </w:tcBorders>
            <w:shd w:val="clear" w:color="auto" w:fill="auto"/>
            <w:noWrap/>
            <w:vAlign w:val="bottom"/>
            <w:hideMark/>
          </w:tcPr>
          <w:p w14:paraId="505A7048" w14:textId="77777777" w:rsidR="003420B0" w:rsidRPr="0048506B" w:rsidRDefault="003420B0" w:rsidP="003420B0">
            <w:pPr>
              <w:spacing w:after="0" w:line="240" w:lineRule="auto"/>
              <w:jc w:val="right"/>
              <w:rPr>
                <w:rFonts w:ascii="Verdana" w:eastAsia="Times New Roman" w:hAnsi="Verdana" w:cs="Calibri"/>
                <w:b/>
                <w:bCs/>
                <w:color w:val="000000"/>
                <w:sz w:val="16"/>
                <w:szCs w:val="16"/>
                <w:lang w:eastAsia="pt-BR"/>
              </w:rPr>
            </w:pPr>
          </w:p>
        </w:tc>
        <w:tc>
          <w:tcPr>
            <w:tcW w:w="1363" w:type="dxa"/>
            <w:tcBorders>
              <w:top w:val="nil"/>
              <w:left w:val="nil"/>
              <w:bottom w:val="nil"/>
              <w:right w:val="nil"/>
            </w:tcBorders>
            <w:shd w:val="clear" w:color="auto" w:fill="auto"/>
            <w:noWrap/>
            <w:vAlign w:val="bottom"/>
            <w:hideMark/>
          </w:tcPr>
          <w:p w14:paraId="3892583B" w14:textId="7626FC16" w:rsidR="003420B0" w:rsidRPr="0048506B" w:rsidRDefault="003420B0" w:rsidP="003420B0">
            <w:pPr>
              <w:spacing w:after="0" w:line="240" w:lineRule="auto"/>
              <w:jc w:val="right"/>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xml:space="preserve">           5.999 </w:t>
            </w:r>
          </w:p>
        </w:tc>
      </w:tr>
      <w:tr w:rsidR="003420B0" w:rsidRPr="0048506B" w14:paraId="6F117F6F" w14:textId="77777777" w:rsidTr="003420B0">
        <w:trPr>
          <w:trHeight w:val="20"/>
        </w:trPr>
        <w:tc>
          <w:tcPr>
            <w:tcW w:w="3544" w:type="dxa"/>
            <w:tcBorders>
              <w:top w:val="nil"/>
              <w:left w:val="nil"/>
              <w:bottom w:val="nil"/>
              <w:right w:val="nil"/>
            </w:tcBorders>
            <w:shd w:val="clear" w:color="000000" w:fill="FFFFFF"/>
            <w:noWrap/>
            <w:vAlign w:val="center"/>
            <w:hideMark/>
          </w:tcPr>
          <w:p w14:paraId="4585B1FA"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612" w:type="dxa"/>
            <w:tcBorders>
              <w:top w:val="nil"/>
              <w:left w:val="nil"/>
              <w:bottom w:val="nil"/>
              <w:right w:val="nil"/>
            </w:tcBorders>
            <w:shd w:val="clear" w:color="auto" w:fill="auto"/>
            <w:vAlign w:val="center"/>
            <w:hideMark/>
          </w:tcPr>
          <w:p w14:paraId="35099618"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p>
        </w:tc>
        <w:tc>
          <w:tcPr>
            <w:tcW w:w="1642" w:type="dxa"/>
            <w:tcBorders>
              <w:top w:val="nil"/>
              <w:left w:val="nil"/>
              <w:bottom w:val="nil"/>
              <w:right w:val="nil"/>
            </w:tcBorders>
            <w:shd w:val="clear" w:color="auto" w:fill="auto"/>
            <w:noWrap/>
            <w:vAlign w:val="bottom"/>
            <w:hideMark/>
          </w:tcPr>
          <w:p w14:paraId="4BCFDB21" w14:textId="77777777" w:rsidR="003420B0" w:rsidRPr="0048506B" w:rsidRDefault="003420B0" w:rsidP="001D3745">
            <w:pPr>
              <w:spacing w:after="0" w:line="240" w:lineRule="auto"/>
              <w:jc w:val="center"/>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0016549D"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459" w:type="dxa"/>
            <w:tcBorders>
              <w:top w:val="nil"/>
              <w:left w:val="nil"/>
              <w:bottom w:val="nil"/>
              <w:right w:val="nil"/>
            </w:tcBorders>
            <w:shd w:val="clear" w:color="auto" w:fill="auto"/>
            <w:noWrap/>
            <w:vAlign w:val="bottom"/>
            <w:hideMark/>
          </w:tcPr>
          <w:p w14:paraId="73B8B36B"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0FC80C68"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602" w:type="dxa"/>
            <w:tcBorders>
              <w:top w:val="nil"/>
              <w:left w:val="nil"/>
              <w:bottom w:val="nil"/>
              <w:right w:val="nil"/>
            </w:tcBorders>
            <w:shd w:val="clear" w:color="000000" w:fill="FFFFFF"/>
            <w:noWrap/>
            <w:vAlign w:val="center"/>
            <w:hideMark/>
          </w:tcPr>
          <w:p w14:paraId="0890AEB4"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211" w:type="dxa"/>
            <w:tcBorders>
              <w:top w:val="nil"/>
              <w:left w:val="nil"/>
              <w:bottom w:val="nil"/>
              <w:right w:val="nil"/>
            </w:tcBorders>
            <w:shd w:val="clear" w:color="auto" w:fill="auto"/>
            <w:noWrap/>
            <w:vAlign w:val="bottom"/>
            <w:hideMark/>
          </w:tcPr>
          <w:p w14:paraId="318AD65B"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363" w:type="dxa"/>
            <w:tcBorders>
              <w:top w:val="nil"/>
              <w:left w:val="nil"/>
              <w:bottom w:val="nil"/>
              <w:right w:val="nil"/>
            </w:tcBorders>
            <w:shd w:val="clear" w:color="000000" w:fill="FFFFFF"/>
            <w:noWrap/>
            <w:vAlign w:val="center"/>
            <w:hideMark/>
          </w:tcPr>
          <w:p w14:paraId="364E25EB"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r>
      <w:tr w:rsidR="003420B0" w:rsidRPr="0048506B" w14:paraId="32181861" w14:textId="77777777" w:rsidTr="001D3745">
        <w:trPr>
          <w:trHeight w:val="20"/>
        </w:trPr>
        <w:tc>
          <w:tcPr>
            <w:tcW w:w="4156" w:type="dxa"/>
            <w:gridSpan w:val="2"/>
            <w:tcBorders>
              <w:top w:val="nil"/>
              <w:left w:val="nil"/>
              <w:bottom w:val="nil"/>
              <w:right w:val="nil"/>
            </w:tcBorders>
            <w:shd w:val="clear" w:color="000000" w:fill="FFFFFF"/>
            <w:noWrap/>
            <w:vAlign w:val="center"/>
            <w:hideMark/>
          </w:tcPr>
          <w:p w14:paraId="0D52C814" w14:textId="77777777" w:rsidR="003420B0" w:rsidRPr="0048506B" w:rsidRDefault="003420B0" w:rsidP="001D3745">
            <w:pPr>
              <w:spacing w:after="0" w:line="240" w:lineRule="auto"/>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RESULTADO OPERACIONAL ANTES DOS TRIBUTOS</w:t>
            </w:r>
          </w:p>
        </w:tc>
        <w:tc>
          <w:tcPr>
            <w:tcW w:w="1642" w:type="dxa"/>
            <w:tcBorders>
              <w:top w:val="single" w:sz="4" w:space="0" w:color="auto"/>
              <w:left w:val="nil"/>
              <w:bottom w:val="single" w:sz="4" w:space="0" w:color="auto"/>
              <w:right w:val="nil"/>
            </w:tcBorders>
            <w:shd w:val="clear" w:color="000000" w:fill="FFFFFF"/>
            <w:noWrap/>
            <w:vAlign w:val="center"/>
            <w:hideMark/>
          </w:tcPr>
          <w:p w14:paraId="3BD25965"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xml:space="preserve">         113.464 </w:t>
            </w:r>
          </w:p>
        </w:tc>
        <w:tc>
          <w:tcPr>
            <w:tcW w:w="211" w:type="dxa"/>
            <w:tcBorders>
              <w:top w:val="nil"/>
              <w:left w:val="nil"/>
              <w:bottom w:val="nil"/>
              <w:right w:val="nil"/>
            </w:tcBorders>
            <w:shd w:val="clear" w:color="auto" w:fill="auto"/>
            <w:noWrap/>
            <w:vAlign w:val="bottom"/>
            <w:hideMark/>
          </w:tcPr>
          <w:p w14:paraId="0FBC3F07"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p>
        </w:tc>
        <w:tc>
          <w:tcPr>
            <w:tcW w:w="1459" w:type="dxa"/>
            <w:tcBorders>
              <w:top w:val="single" w:sz="4" w:space="0" w:color="auto"/>
              <w:left w:val="nil"/>
              <w:bottom w:val="single" w:sz="4" w:space="0" w:color="auto"/>
              <w:right w:val="nil"/>
            </w:tcBorders>
            <w:shd w:val="clear" w:color="000000" w:fill="FFFFFF"/>
            <w:noWrap/>
            <w:vAlign w:val="center"/>
            <w:hideMark/>
          </w:tcPr>
          <w:p w14:paraId="43CAA006"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xml:space="preserve">          46.341 </w:t>
            </w:r>
          </w:p>
        </w:tc>
        <w:tc>
          <w:tcPr>
            <w:tcW w:w="211" w:type="dxa"/>
            <w:tcBorders>
              <w:top w:val="nil"/>
              <w:left w:val="nil"/>
              <w:bottom w:val="nil"/>
              <w:right w:val="nil"/>
            </w:tcBorders>
            <w:shd w:val="clear" w:color="auto" w:fill="auto"/>
            <w:noWrap/>
            <w:vAlign w:val="bottom"/>
            <w:hideMark/>
          </w:tcPr>
          <w:p w14:paraId="4F69CDA9"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p>
        </w:tc>
        <w:tc>
          <w:tcPr>
            <w:tcW w:w="1602" w:type="dxa"/>
            <w:tcBorders>
              <w:top w:val="single" w:sz="4" w:space="0" w:color="auto"/>
              <w:left w:val="nil"/>
              <w:bottom w:val="single" w:sz="4" w:space="0" w:color="auto"/>
              <w:right w:val="nil"/>
            </w:tcBorders>
            <w:shd w:val="clear" w:color="000000" w:fill="FFFFFF"/>
            <w:noWrap/>
            <w:vAlign w:val="center"/>
            <w:hideMark/>
          </w:tcPr>
          <w:p w14:paraId="2903B12D"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xml:space="preserve">        114.599 </w:t>
            </w:r>
          </w:p>
        </w:tc>
        <w:tc>
          <w:tcPr>
            <w:tcW w:w="211" w:type="dxa"/>
            <w:tcBorders>
              <w:top w:val="nil"/>
              <w:left w:val="nil"/>
              <w:bottom w:val="nil"/>
              <w:right w:val="nil"/>
            </w:tcBorders>
            <w:shd w:val="clear" w:color="auto" w:fill="auto"/>
            <w:noWrap/>
            <w:vAlign w:val="bottom"/>
            <w:hideMark/>
          </w:tcPr>
          <w:p w14:paraId="0DB0CA97"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p>
        </w:tc>
        <w:tc>
          <w:tcPr>
            <w:tcW w:w="1363" w:type="dxa"/>
            <w:tcBorders>
              <w:top w:val="single" w:sz="4" w:space="0" w:color="auto"/>
              <w:left w:val="nil"/>
              <w:bottom w:val="single" w:sz="4" w:space="0" w:color="auto"/>
              <w:right w:val="nil"/>
            </w:tcBorders>
            <w:shd w:val="clear" w:color="000000" w:fill="FFFFFF"/>
            <w:noWrap/>
            <w:vAlign w:val="center"/>
            <w:hideMark/>
          </w:tcPr>
          <w:p w14:paraId="5258C205"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xml:space="preserve">          47.476 </w:t>
            </w:r>
          </w:p>
        </w:tc>
      </w:tr>
      <w:tr w:rsidR="003420B0" w:rsidRPr="0048506B" w14:paraId="212A3C90" w14:textId="77777777" w:rsidTr="003420B0">
        <w:trPr>
          <w:trHeight w:val="20"/>
        </w:trPr>
        <w:tc>
          <w:tcPr>
            <w:tcW w:w="3544" w:type="dxa"/>
            <w:tcBorders>
              <w:top w:val="nil"/>
              <w:left w:val="nil"/>
              <w:bottom w:val="nil"/>
              <w:right w:val="nil"/>
            </w:tcBorders>
            <w:shd w:val="clear" w:color="000000" w:fill="FFFFFF"/>
            <w:noWrap/>
            <w:vAlign w:val="center"/>
            <w:hideMark/>
          </w:tcPr>
          <w:p w14:paraId="616BFD8E"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612" w:type="dxa"/>
            <w:tcBorders>
              <w:top w:val="nil"/>
              <w:left w:val="nil"/>
              <w:bottom w:val="nil"/>
              <w:right w:val="nil"/>
            </w:tcBorders>
            <w:shd w:val="clear" w:color="auto" w:fill="auto"/>
            <w:vAlign w:val="center"/>
            <w:hideMark/>
          </w:tcPr>
          <w:p w14:paraId="06EB12E5"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p>
        </w:tc>
        <w:tc>
          <w:tcPr>
            <w:tcW w:w="1642" w:type="dxa"/>
            <w:tcBorders>
              <w:top w:val="nil"/>
              <w:left w:val="nil"/>
              <w:bottom w:val="nil"/>
              <w:right w:val="nil"/>
            </w:tcBorders>
            <w:shd w:val="clear" w:color="auto" w:fill="auto"/>
            <w:noWrap/>
            <w:vAlign w:val="bottom"/>
            <w:hideMark/>
          </w:tcPr>
          <w:p w14:paraId="03409AA9" w14:textId="77777777" w:rsidR="003420B0" w:rsidRPr="0048506B" w:rsidRDefault="003420B0" w:rsidP="001D3745">
            <w:pPr>
              <w:spacing w:after="0" w:line="240" w:lineRule="auto"/>
              <w:jc w:val="center"/>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6079F319"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459" w:type="dxa"/>
            <w:tcBorders>
              <w:top w:val="nil"/>
              <w:left w:val="nil"/>
              <w:bottom w:val="nil"/>
              <w:right w:val="nil"/>
            </w:tcBorders>
            <w:shd w:val="clear" w:color="auto" w:fill="auto"/>
            <w:noWrap/>
            <w:vAlign w:val="bottom"/>
            <w:hideMark/>
          </w:tcPr>
          <w:p w14:paraId="416FFEA5"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0088D464"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602" w:type="dxa"/>
            <w:tcBorders>
              <w:top w:val="nil"/>
              <w:left w:val="nil"/>
              <w:bottom w:val="nil"/>
              <w:right w:val="nil"/>
            </w:tcBorders>
            <w:shd w:val="clear" w:color="000000" w:fill="FFFFFF"/>
            <w:noWrap/>
            <w:vAlign w:val="center"/>
            <w:hideMark/>
          </w:tcPr>
          <w:p w14:paraId="1C48A8A4"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211" w:type="dxa"/>
            <w:tcBorders>
              <w:top w:val="nil"/>
              <w:left w:val="nil"/>
              <w:bottom w:val="nil"/>
              <w:right w:val="nil"/>
            </w:tcBorders>
            <w:shd w:val="clear" w:color="auto" w:fill="auto"/>
            <w:noWrap/>
            <w:vAlign w:val="bottom"/>
            <w:hideMark/>
          </w:tcPr>
          <w:p w14:paraId="2A7A6AC8"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363" w:type="dxa"/>
            <w:tcBorders>
              <w:top w:val="nil"/>
              <w:left w:val="nil"/>
              <w:bottom w:val="nil"/>
              <w:right w:val="nil"/>
            </w:tcBorders>
            <w:shd w:val="clear" w:color="000000" w:fill="FFFFFF"/>
            <w:noWrap/>
            <w:vAlign w:val="center"/>
            <w:hideMark/>
          </w:tcPr>
          <w:p w14:paraId="355F3969"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r>
      <w:tr w:rsidR="003420B0" w:rsidRPr="0048506B" w14:paraId="0FF67071" w14:textId="77777777" w:rsidTr="001D3745">
        <w:trPr>
          <w:trHeight w:val="20"/>
        </w:trPr>
        <w:tc>
          <w:tcPr>
            <w:tcW w:w="4156" w:type="dxa"/>
            <w:gridSpan w:val="2"/>
            <w:tcBorders>
              <w:top w:val="nil"/>
              <w:left w:val="nil"/>
              <w:bottom w:val="nil"/>
              <w:right w:val="nil"/>
            </w:tcBorders>
            <w:shd w:val="clear" w:color="000000" w:fill="FFFFFF"/>
            <w:noWrap/>
            <w:vAlign w:val="center"/>
            <w:hideMark/>
          </w:tcPr>
          <w:p w14:paraId="6C62201D"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Imposto de renda e contribuição social </w:t>
            </w:r>
          </w:p>
        </w:tc>
        <w:tc>
          <w:tcPr>
            <w:tcW w:w="1642" w:type="dxa"/>
            <w:tcBorders>
              <w:top w:val="nil"/>
              <w:left w:val="nil"/>
              <w:bottom w:val="nil"/>
              <w:right w:val="nil"/>
            </w:tcBorders>
            <w:shd w:val="clear" w:color="000000" w:fill="FFFFFF"/>
            <w:noWrap/>
            <w:vAlign w:val="center"/>
            <w:hideMark/>
          </w:tcPr>
          <w:p w14:paraId="0B76D8C9"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(40.886)</w:t>
            </w:r>
          </w:p>
        </w:tc>
        <w:tc>
          <w:tcPr>
            <w:tcW w:w="211" w:type="dxa"/>
            <w:tcBorders>
              <w:top w:val="nil"/>
              <w:left w:val="nil"/>
              <w:bottom w:val="nil"/>
              <w:right w:val="nil"/>
            </w:tcBorders>
            <w:shd w:val="clear" w:color="auto" w:fill="auto"/>
            <w:noWrap/>
            <w:vAlign w:val="bottom"/>
            <w:hideMark/>
          </w:tcPr>
          <w:p w14:paraId="6967439A"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459" w:type="dxa"/>
            <w:tcBorders>
              <w:top w:val="nil"/>
              <w:left w:val="nil"/>
              <w:bottom w:val="nil"/>
              <w:right w:val="nil"/>
            </w:tcBorders>
            <w:shd w:val="clear" w:color="000000" w:fill="FFFFFF"/>
            <w:noWrap/>
            <w:vAlign w:val="center"/>
            <w:hideMark/>
          </w:tcPr>
          <w:p w14:paraId="399947B5"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(18.070)</w:t>
            </w:r>
          </w:p>
        </w:tc>
        <w:tc>
          <w:tcPr>
            <w:tcW w:w="211" w:type="dxa"/>
            <w:tcBorders>
              <w:top w:val="nil"/>
              <w:left w:val="nil"/>
              <w:bottom w:val="nil"/>
              <w:right w:val="nil"/>
            </w:tcBorders>
            <w:shd w:val="clear" w:color="auto" w:fill="auto"/>
            <w:noWrap/>
            <w:vAlign w:val="bottom"/>
            <w:hideMark/>
          </w:tcPr>
          <w:p w14:paraId="4860BFA6"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602" w:type="dxa"/>
            <w:tcBorders>
              <w:top w:val="nil"/>
              <w:left w:val="nil"/>
              <w:bottom w:val="nil"/>
              <w:right w:val="nil"/>
            </w:tcBorders>
            <w:shd w:val="clear" w:color="000000" w:fill="FFFFFF"/>
            <w:noWrap/>
            <w:vAlign w:val="center"/>
            <w:hideMark/>
          </w:tcPr>
          <w:p w14:paraId="42A5156D"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(58.468)</w:t>
            </w:r>
          </w:p>
        </w:tc>
        <w:tc>
          <w:tcPr>
            <w:tcW w:w="211" w:type="dxa"/>
            <w:tcBorders>
              <w:top w:val="nil"/>
              <w:left w:val="nil"/>
              <w:bottom w:val="nil"/>
              <w:right w:val="nil"/>
            </w:tcBorders>
            <w:shd w:val="clear" w:color="auto" w:fill="auto"/>
            <w:noWrap/>
            <w:vAlign w:val="bottom"/>
            <w:hideMark/>
          </w:tcPr>
          <w:p w14:paraId="5233D36F"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363" w:type="dxa"/>
            <w:tcBorders>
              <w:top w:val="nil"/>
              <w:left w:val="nil"/>
              <w:bottom w:val="nil"/>
              <w:right w:val="nil"/>
            </w:tcBorders>
            <w:shd w:val="clear" w:color="000000" w:fill="FFFFFF"/>
            <w:noWrap/>
            <w:vAlign w:val="center"/>
            <w:hideMark/>
          </w:tcPr>
          <w:p w14:paraId="29432530"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(35.652)</w:t>
            </w:r>
          </w:p>
        </w:tc>
      </w:tr>
      <w:tr w:rsidR="003420B0" w:rsidRPr="0048506B" w14:paraId="1606ECBA" w14:textId="77777777" w:rsidTr="003420B0">
        <w:trPr>
          <w:trHeight w:val="20"/>
        </w:trPr>
        <w:tc>
          <w:tcPr>
            <w:tcW w:w="3544" w:type="dxa"/>
            <w:tcBorders>
              <w:top w:val="nil"/>
              <w:left w:val="nil"/>
              <w:bottom w:val="nil"/>
              <w:right w:val="nil"/>
            </w:tcBorders>
            <w:shd w:val="clear" w:color="000000" w:fill="FFFFFF"/>
            <w:noWrap/>
            <w:vAlign w:val="center"/>
            <w:hideMark/>
          </w:tcPr>
          <w:p w14:paraId="7C4455E5"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612" w:type="dxa"/>
            <w:tcBorders>
              <w:top w:val="nil"/>
              <w:left w:val="nil"/>
              <w:bottom w:val="nil"/>
              <w:right w:val="nil"/>
            </w:tcBorders>
            <w:shd w:val="clear" w:color="auto" w:fill="auto"/>
            <w:vAlign w:val="center"/>
            <w:hideMark/>
          </w:tcPr>
          <w:p w14:paraId="64A030E5"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p>
        </w:tc>
        <w:tc>
          <w:tcPr>
            <w:tcW w:w="1642" w:type="dxa"/>
            <w:tcBorders>
              <w:top w:val="nil"/>
              <w:left w:val="nil"/>
              <w:bottom w:val="nil"/>
              <w:right w:val="nil"/>
            </w:tcBorders>
            <w:shd w:val="clear" w:color="auto" w:fill="auto"/>
            <w:noWrap/>
            <w:vAlign w:val="bottom"/>
            <w:hideMark/>
          </w:tcPr>
          <w:p w14:paraId="7080A106" w14:textId="77777777" w:rsidR="003420B0" w:rsidRPr="0048506B" w:rsidRDefault="003420B0" w:rsidP="001D3745">
            <w:pPr>
              <w:spacing w:after="0" w:line="240" w:lineRule="auto"/>
              <w:jc w:val="center"/>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11AE493C"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459" w:type="dxa"/>
            <w:tcBorders>
              <w:top w:val="nil"/>
              <w:left w:val="nil"/>
              <w:bottom w:val="nil"/>
              <w:right w:val="nil"/>
            </w:tcBorders>
            <w:shd w:val="clear" w:color="auto" w:fill="auto"/>
            <w:noWrap/>
            <w:vAlign w:val="bottom"/>
            <w:hideMark/>
          </w:tcPr>
          <w:p w14:paraId="663C458E"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314552B8"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602" w:type="dxa"/>
            <w:tcBorders>
              <w:top w:val="nil"/>
              <w:left w:val="nil"/>
              <w:bottom w:val="nil"/>
              <w:right w:val="nil"/>
            </w:tcBorders>
            <w:shd w:val="clear" w:color="000000" w:fill="FFFFFF"/>
            <w:noWrap/>
            <w:vAlign w:val="center"/>
            <w:hideMark/>
          </w:tcPr>
          <w:p w14:paraId="4B833988"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211" w:type="dxa"/>
            <w:tcBorders>
              <w:top w:val="nil"/>
              <w:left w:val="nil"/>
              <w:bottom w:val="nil"/>
              <w:right w:val="nil"/>
            </w:tcBorders>
            <w:shd w:val="clear" w:color="auto" w:fill="auto"/>
            <w:noWrap/>
            <w:vAlign w:val="bottom"/>
            <w:hideMark/>
          </w:tcPr>
          <w:p w14:paraId="0442E456"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363" w:type="dxa"/>
            <w:tcBorders>
              <w:top w:val="nil"/>
              <w:left w:val="nil"/>
              <w:bottom w:val="nil"/>
              <w:right w:val="nil"/>
            </w:tcBorders>
            <w:shd w:val="clear" w:color="000000" w:fill="FFFFFF"/>
            <w:noWrap/>
            <w:vAlign w:val="center"/>
            <w:hideMark/>
          </w:tcPr>
          <w:p w14:paraId="153E6720"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r>
      <w:tr w:rsidR="003420B0" w:rsidRPr="0048506B" w14:paraId="65863913" w14:textId="77777777" w:rsidTr="003420B0">
        <w:trPr>
          <w:trHeight w:val="20"/>
        </w:trPr>
        <w:tc>
          <w:tcPr>
            <w:tcW w:w="3544" w:type="dxa"/>
            <w:tcBorders>
              <w:top w:val="nil"/>
              <w:left w:val="nil"/>
              <w:bottom w:val="nil"/>
              <w:right w:val="nil"/>
            </w:tcBorders>
            <w:shd w:val="clear" w:color="000000" w:fill="FFFFFF"/>
            <w:noWrap/>
            <w:vAlign w:val="center"/>
            <w:hideMark/>
          </w:tcPr>
          <w:p w14:paraId="22B45498" w14:textId="77777777" w:rsidR="003420B0" w:rsidRPr="0048506B" w:rsidRDefault="003420B0" w:rsidP="001D3745">
            <w:pPr>
              <w:spacing w:after="0" w:line="240" w:lineRule="auto"/>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LUCRO DO PERÍODO</w:t>
            </w:r>
          </w:p>
        </w:tc>
        <w:tc>
          <w:tcPr>
            <w:tcW w:w="612" w:type="dxa"/>
            <w:tcBorders>
              <w:top w:val="nil"/>
              <w:left w:val="nil"/>
              <w:bottom w:val="nil"/>
              <w:right w:val="nil"/>
            </w:tcBorders>
            <w:shd w:val="clear" w:color="000000" w:fill="FFFFFF"/>
            <w:vAlign w:val="center"/>
            <w:hideMark/>
          </w:tcPr>
          <w:p w14:paraId="7B1E0775" w14:textId="77777777" w:rsidR="003420B0" w:rsidRPr="0048506B" w:rsidRDefault="003420B0" w:rsidP="001D3745">
            <w:pPr>
              <w:spacing w:after="0" w:line="240" w:lineRule="auto"/>
              <w:jc w:val="center"/>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w:t>
            </w:r>
          </w:p>
        </w:tc>
        <w:tc>
          <w:tcPr>
            <w:tcW w:w="1642" w:type="dxa"/>
            <w:tcBorders>
              <w:top w:val="single" w:sz="4" w:space="0" w:color="auto"/>
              <w:left w:val="nil"/>
              <w:bottom w:val="single" w:sz="4" w:space="0" w:color="auto"/>
              <w:right w:val="nil"/>
            </w:tcBorders>
            <w:shd w:val="clear" w:color="000000" w:fill="FFFFFF"/>
            <w:noWrap/>
            <w:vAlign w:val="center"/>
            <w:hideMark/>
          </w:tcPr>
          <w:p w14:paraId="4A111534"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xml:space="preserve">           72.578 </w:t>
            </w:r>
          </w:p>
        </w:tc>
        <w:tc>
          <w:tcPr>
            <w:tcW w:w="211" w:type="dxa"/>
            <w:tcBorders>
              <w:top w:val="nil"/>
              <w:left w:val="nil"/>
              <w:bottom w:val="nil"/>
              <w:right w:val="nil"/>
            </w:tcBorders>
            <w:shd w:val="clear" w:color="auto" w:fill="auto"/>
            <w:noWrap/>
            <w:vAlign w:val="bottom"/>
            <w:hideMark/>
          </w:tcPr>
          <w:p w14:paraId="0C6755EB"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p>
        </w:tc>
        <w:tc>
          <w:tcPr>
            <w:tcW w:w="1459" w:type="dxa"/>
            <w:tcBorders>
              <w:top w:val="single" w:sz="4" w:space="0" w:color="auto"/>
              <w:left w:val="nil"/>
              <w:bottom w:val="single" w:sz="4" w:space="0" w:color="auto"/>
              <w:right w:val="nil"/>
            </w:tcBorders>
            <w:shd w:val="clear" w:color="000000" w:fill="FFFFFF"/>
            <w:noWrap/>
            <w:vAlign w:val="center"/>
            <w:hideMark/>
          </w:tcPr>
          <w:p w14:paraId="7357CCAB"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xml:space="preserve">          28.271 </w:t>
            </w:r>
          </w:p>
        </w:tc>
        <w:tc>
          <w:tcPr>
            <w:tcW w:w="211" w:type="dxa"/>
            <w:tcBorders>
              <w:top w:val="nil"/>
              <w:left w:val="nil"/>
              <w:bottom w:val="nil"/>
              <w:right w:val="nil"/>
            </w:tcBorders>
            <w:shd w:val="clear" w:color="auto" w:fill="auto"/>
            <w:noWrap/>
            <w:vAlign w:val="bottom"/>
            <w:hideMark/>
          </w:tcPr>
          <w:p w14:paraId="0A53B416"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p>
        </w:tc>
        <w:tc>
          <w:tcPr>
            <w:tcW w:w="1602" w:type="dxa"/>
            <w:tcBorders>
              <w:top w:val="single" w:sz="4" w:space="0" w:color="auto"/>
              <w:left w:val="nil"/>
              <w:bottom w:val="single" w:sz="4" w:space="0" w:color="auto"/>
              <w:right w:val="nil"/>
            </w:tcBorders>
            <w:shd w:val="clear" w:color="000000" w:fill="FFFFFF"/>
            <w:noWrap/>
            <w:vAlign w:val="center"/>
            <w:hideMark/>
          </w:tcPr>
          <w:p w14:paraId="48305C20"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xml:space="preserve">          56.131 </w:t>
            </w:r>
          </w:p>
        </w:tc>
        <w:tc>
          <w:tcPr>
            <w:tcW w:w="211" w:type="dxa"/>
            <w:tcBorders>
              <w:top w:val="nil"/>
              <w:left w:val="nil"/>
              <w:bottom w:val="nil"/>
              <w:right w:val="nil"/>
            </w:tcBorders>
            <w:shd w:val="clear" w:color="auto" w:fill="auto"/>
            <w:noWrap/>
            <w:vAlign w:val="bottom"/>
            <w:hideMark/>
          </w:tcPr>
          <w:p w14:paraId="024B10F2"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p>
        </w:tc>
        <w:tc>
          <w:tcPr>
            <w:tcW w:w="1363" w:type="dxa"/>
            <w:tcBorders>
              <w:top w:val="single" w:sz="4" w:space="0" w:color="auto"/>
              <w:left w:val="nil"/>
              <w:bottom w:val="single" w:sz="4" w:space="0" w:color="auto"/>
              <w:right w:val="nil"/>
            </w:tcBorders>
            <w:shd w:val="clear" w:color="000000" w:fill="FFFFFF"/>
            <w:noWrap/>
            <w:vAlign w:val="center"/>
            <w:hideMark/>
          </w:tcPr>
          <w:p w14:paraId="14D5B4D0" w14:textId="2B9A984C"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xml:space="preserve">      (11.824)</w:t>
            </w:r>
          </w:p>
        </w:tc>
      </w:tr>
      <w:tr w:rsidR="003420B0" w:rsidRPr="0048506B" w14:paraId="5196830E" w14:textId="77777777" w:rsidTr="003420B0">
        <w:trPr>
          <w:trHeight w:val="20"/>
        </w:trPr>
        <w:tc>
          <w:tcPr>
            <w:tcW w:w="3544" w:type="dxa"/>
            <w:tcBorders>
              <w:top w:val="nil"/>
              <w:left w:val="nil"/>
              <w:bottom w:val="nil"/>
              <w:right w:val="nil"/>
            </w:tcBorders>
            <w:shd w:val="clear" w:color="000000" w:fill="FFFFFF"/>
            <w:noWrap/>
            <w:vAlign w:val="center"/>
            <w:hideMark/>
          </w:tcPr>
          <w:p w14:paraId="69487081" w14:textId="77777777" w:rsidR="003420B0" w:rsidRPr="0048506B" w:rsidRDefault="003420B0" w:rsidP="001D3745">
            <w:pPr>
              <w:spacing w:after="0" w:line="240" w:lineRule="auto"/>
              <w:rPr>
                <w:rFonts w:ascii="Verdana" w:eastAsia="Times New Roman" w:hAnsi="Verdana" w:cs="Calibri"/>
                <w:color w:val="000000"/>
                <w:sz w:val="8"/>
                <w:szCs w:val="8"/>
                <w:lang w:eastAsia="pt-BR"/>
              </w:rPr>
            </w:pPr>
            <w:r w:rsidRPr="0048506B">
              <w:rPr>
                <w:rFonts w:ascii="Verdana" w:eastAsia="Times New Roman" w:hAnsi="Verdana" w:cs="Calibri"/>
                <w:color w:val="000000"/>
                <w:sz w:val="8"/>
                <w:szCs w:val="8"/>
                <w:lang w:eastAsia="pt-BR"/>
              </w:rPr>
              <w:t> </w:t>
            </w:r>
          </w:p>
        </w:tc>
        <w:tc>
          <w:tcPr>
            <w:tcW w:w="612" w:type="dxa"/>
            <w:tcBorders>
              <w:top w:val="nil"/>
              <w:left w:val="nil"/>
              <w:bottom w:val="nil"/>
              <w:right w:val="nil"/>
            </w:tcBorders>
            <w:shd w:val="clear" w:color="auto" w:fill="auto"/>
            <w:vAlign w:val="center"/>
            <w:hideMark/>
          </w:tcPr>
          <w:p w14:paraId="1B110691" w14:textId="77777777" w:rsidR="003420B0" w:rsidRPr="0048506B" w:rsidRDefault="003420B0" w:rsidP="001D3745">
            <w:pPr>
              <w:spacing w:after="0" w:line="240" w:lineRule="auto"/>
              <w:rPr>
                <w:rFonts w:ascii="Verdana" w:eastAsia="Times New Roman" w:hAnsi="Verdana" w:cs="Calibri"/>
                <w:color w:val="000000"/>
                <w:sz w:val="8"/>
                <w:szCs w:val="8"/>
                <w:lang w:eastAsia="pt-BR"/>
              </w:rPr>
            </w:pPr>
          </w:p>
        </w:tc>
        <w:tc>
          <w:tcPr>
            <w:tcW w:w="1642" w:type="dxa"/>
            <w:tcBorders>
              <w:top w:val="nil"/>
              <w:left w:val="nil"/>
              <w:bottom w:val="nil"/>
              <w:right w:val="nil"/>
            </w:tcBorders>
            <w:shd w:val="clear" w:color="auto" w:fill="auto"/>
            <w:noWrap/>
            <w:vAlign w:val="bottom"/>
            <w:hideMark/>
          </w:tcPr>
          <w:p w14:paraId="7735AC42" w14:textId="77777777" w:rsidR="003420B0" w:rsidRPr="0048506B" w:rsidRDefault="003420B0" w:rsidP="001D3745">
            <w:pPr>
              <w:spacing w:after="0" w:line="240" w:lineRule="auto"/>
              <w:jc w:val="center"/>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611E5A08"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459" w:type="dxa"/>
            <w:tcBorders>
              <w:top w:val="nil"/>
              <w:left w:val="nil"/>
              <w:bottom w:val="nil"/>
              <w:right w:val="nil"/>
            </w:tcBorders>
            <w:shd w:val="clear" w:color="auto" w:fill="auto"/>
            <w:noWrap/>
            <w:vAlign w:val="bottom"/>
            <w:hideMark/>
          </w:tcPr>
          <w:p w14:paraId="6470E10F"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5976FBD3"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602" w:type="dxa"/>
            <w:tcBorders>
              <w:top w:val="nil"/>
              <w:left w:val="nil"/>
              <w:bottom w:val="nil"/>
              <w:right w:val="nil"/>
            </w:tcBorders>
            <w:shd w:val="clear" w:color="000000" w:fill="FFFFFF"/>
            <w:noWrap/>
            <w:vAlign w:val="center"/>
            <w:hideMark/>
          </w:tcPr>
          <w:p w14:paraId="44A7C5C3"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211" w:type="dxa"/>
            <w:tcBorders>
              <w:top w:val="nil"/>
              <w:left w:val="nil"/>
              <w:bottom w:val="nil"/>
              <w:right w:val="nil"/>
            </w:tcBorders>
            <w:shd w:val="clear" w:color="auto" w:fill="auto"/>
            <w:noWrap/>
            <w:vAlign w:val="bottom"/>
            <w:hideMark/>
          </w:tcPr>
          <w:p w14:paraId="735AAA32"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363" w:type="dxa"/>
            <w:tcBorders>
              <w:top w:val="nil"/>
              <w:left w:val="nil"/>
              <w:bottom w:val="nil"/>
              <w:right w:val="nil"/>
            </w:tcBorders>
            <w:shd w:val="clear" w:color="000000" w:fill="FFFFFF"/>
            <w:noWrap/>
            <w:vAlign w:val="center"/>
            <w:hideMark/>
          </w:tcPr>
          <w:p w14:paraId="784030A1"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r>
      <w:tr w:rsidR="003420B0" w:rsidRPr="0048506B" w14:paraId="627595D5" w14:textId="77777777" w:rsidTr="003420B0">
        <w:trPr>
          <w:trHeight w:val="20"/>
        </w:trPr>
        <w:tc>
          <w:tcPr>
            <w:tcW w:w="3544" w:type="dxa"/>
            <w:tcBorders>
              <w:top w:val="nil"/>
              <w:left w:val="nil"/>
              <w:bottom w:val="nil"/>
              <w:right w:val="nil"/>
            </w:tcBorders>
            <w:shd w:val="clear" w:color="000000" w:fill="FFFFFF"/>
            <w:noWrap/>
            <w:vAlign w:val="center"/>
            <w:hideMark/>
          </w:tcPr>
          <w:p w14:paraId="162E7F96"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Parcela atribuída aos acionistas não controladores</w:t>
            </w:r>
          </w:p>
        </w:tc>
        <w:tc>
          <w:tcPr>
            <w:tcW w:w="612" w:type="dxa"/>
            <w:tcBorders>
              <w:top w:val="nil"/>
              <w:left w:val="nil"/>
              <w:bottom w:val="nil"/>
              <w:right w:val="nil"/>
            </w:tcBorders>
            <w:shd w:val="clear" w:color="auto" w:fill="auto"/>
            <w:vAlign w:val="center"/>
            <w:hideMark/>
          </w:tcPr>
          <w:p w14:paraId="10E16C9F"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p>
        </w:tc>
        <w:tc>
          <w:tcPr>
            <w:tcW w:w="1642" w:type="dxa"/>
            <w:tcBorders>
              <w:top w:val="nil"/>
              <w:left w:val="nil"/>
              <w:bottom w:val="nil"/>
              <w:right w:val="nil"/>
            </w:tcBorders>
            <w:shd w:val="clear" w:color="auto" w:fill="auto"/>
            <w:noWrap/>
            <w:vAlign w:val="bottom"/>
            <w:hideMark/>
          </w:tcPr>
          <w:p w14:paraId="3310BC0C" w14:textId="77777777" w:rsidR="003420B0" w:rsidRPr="0048506B" w:rsidRDefault="003420B0" w:rsidP="001D3745">
            <w:pPr>
              <w:spacing w:after="0" w:line="240" w:lineRule="auto"/>
              <w:jc w:val="center"/>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240AD940"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459" w:type="dxa"/>
            <w:tcBorders>
              <w:top w:val="nil"/>
              <w:left w:val="nil"/>
              <w:bottom w:val="nil"/>
              <w:right w:val="nil"/>
            </w:tcBorders>
            <w:shd w:val="clear" w:color="auto" w:fill="auto"/>
            <w:noWrap/>
            <w:vAlign w:val="bottom"/>
            <w:hideMark/>
          </w:tcPr>
          <w:p w14:paraId="4F3D2B44"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78B1A053"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602" w:type="dxa"/>
            <w:tcBorders>
              <w:top w:val="nil"/>
              <w:left w:val="nil"/>
              <w:bottom w:val="nil"/>
              <w:right w:val="nil"/>
            </w:tcBorders>
            <w:shd w:val="clear" w:color="000000" w:fill="FFFFFF"/>
            <w:noWrap/>
            <w:vAlign w:val="center"/>
            <w:hideMark/>
          </w:tcPr>
          <w:p w14:paraId="51607B13"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(16.447)</w:t>
            </w:r>
          </w:p>
        </w:tc>
        <w:tc>
          <w:tcPr>
            <w:tcW w:w="211" w:type="dxa"/>
            <w:tcBorders>
              <w:top w:val="nil"/>
              <w:left w:val="nil"/>
              <w:bottom w:val="nil"/>
              <w:right w:val="nil"/>
            </w:tcBorders>
            <w:shd w:val="clear" w:color="auto" w:fill="auto"/>
            <w:noWrap/>
            <w:vAlign w:val="bottom"/>
            <w:hideMark/>
          </w:tcPr>
          <w:p w14:paraId="7D5E6988"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363" w:type="dxa"/>
            <w:tcBorders>
              <w:top w:val="nil"/>
              <w:left w:val="nil"/>
              <w:bottom w:val="nil"/>
              <w:right w:val="nil"/>
            </w:tcBorders>
            <w:shd w:val="clear" w:color="000000" w:fill="FFFFFF"/>
            <w:noWrap/>
            <w:vAlign w:val="center"/>
            <w:hideMark/>
          </w:tcPr>
          <w:p w14:paraId="2A037A3F"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xml:space="preserve">        (16.447)</w:t>
            </w:r>
          </w:p>
        </w:tc>
      </w:tr>
      <w:tr w:rsidR="003420B0" w:rsidRPr="0048506B" w14:paraId="50A1248F" w14:textId="77777777" w:rsidTr="003420B0">
        <w:trPr>
          <w:trHeight w:val="20"/>
        </w:trPr>
        <w:tc>
          <w:tcPr>
            <w:tcW w:w="3544" w:type="dxa"/>
            <w:tcBorders>
              <w:top w:val="nil"/>
              <w:left w:val="nil"/>
              <w:bottom w:val="nil"/>
              <w:right w:val="nil"/>
            </w:tcBorders>
            <w:shd w:val="clear" w:color="000000" w:fill="FFFFFF"/>
            <w:noWrap/>
            <w:vAlign w:val="center"/>
            <w:hideMark/>
          </w:tcPr>
          <w:p w14:paraId="5401E924" w14:textId="77777777" w:rsidR="003420B0" w:rsidRPr="0048506B" w:rsidRDefault="003420B0" w:rsidP="001D3745">
            <w:pPr>
              <w:spacing w:after="0" w:line="240" w:lineRule="auto"/>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Parcela atribuída aos acionistas controladores</w:t>
            </w:r>
          </w:p>
        </w:tc>
        <w:tc>
          <w:tcPr>
            <w:tcW w:w="612" w:type="dxa"/>
            <w:tcBorders>
              <w:top w:val="nil"/>
              <w:left w:val="nil"/>
              <w:bottom w:val="nil"/>
              <w:right w:val="nil"/>
            </w:tcBorders>
            <w:shd w:val="clear" w:color="auto" w:fill="auto"/>
            <w:vAlign w:val="center"/>
            <w:hideMark/>
          </w:tcPr>
          <w:p w14:paraId="6859DEF8" w14:textId="77777777" w:rsidR="003420B0" w:rsidRPr="0048506B" w:rsidRDefault="003420B0" w:rsidP="001D3745">
            <w:pPr>
              <w:spacing w:after="0" w:line="240" w:lineRule="auto"/>
              <w:rPr>
                <w:rFonts w:ascii="Verdana" w:eastAsia="Times New Roman" w:hAnsi="Verdana" w:cs="Calibri"/>
                <w:b/>
                <w:bCs/>
                <w:color w:val="000000"/>
                <w:sz w:val="16"/>
                <w:szCs w:val="16"/>
                <w:lang w:eastAsia="pt-BR"/>
              </w:rPr>
            </w:pPr>
          </w:p>
        </w:tc>
        <w:tc>
          <w:tcPr>
            <w:tcW w:w="1642" w:type="dxa"/>
            <w:tcBorders>
              <w:top w:val="nil"/>
              <w:left w:val="nil"/>
              <w:bottom w:val="nil"/>
              <w:right w:val="nil"/>
            </w:tcBorders>
            <w:shd w:val="clear" w:color="auto" w:fill="auto"/>
            <w:noWrap/>
            <w:vAlign w:val="bottom"/>
            <w:hideMark/>
          </w:tcPr>
          <w:p w14:paraId="5ACBC894" w14:textId="77777777" w:rsidR="003420B0" w:rsidRPr="0048506B" w:rsidRDefault="003420B0" w:rsidP="001D3745">
            <w:pPr>
              <w:spacing w:after="0" w:line="240" w:lineRule="auto"/>
              <w:jc w:val="center"/>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56DAB29A"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459" w:type="dxa"/>
            <w:tcBorders>
              <w:top w:val="nil"/>
              <w:left w:val="nil"/>
              <w:bottom w:val="nil"/>
              <w:right w:val="nil"/>
            </w:tcBorders>
            <w:shd w:val="clear" w:color="auto" w:fill="auto"/>
            <w:noWrap/>
            <w:vAlign w:val="bottom"/>
            <w:hideMark/>
          </w:tcPr>
          <w:p w14:paraId="1F0299CF"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41D36833"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602" w:type="dxa"/>
            <w:tcBorders>
              <w:top w:val="nil"/>
              <w:left w:val="nil"/>
              <w:bottom w:val="single" w:sz="4" w:space="0" w:color="auto"/>
              <w:right w:val="nil"/>
            </w:tcBorders>
            <w:shd w:val="clear" w:color="000000" w:fill="FFFFFF"/>
            <w:noWrap/>
            <w:vAlign w:val="center"/>
            <w:hideMark/>
          </w:tcPr>
          <w:p w14:paraId="665149BC"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xml:space="preserve">          72.578 </w:t>
            </w:r>
          </w:p>
        </w:tc>
        <w:tc>
          <w:tcPr>
            <w:tcW w:w="211" w:type="dxa"/>
            <w:tcBorders>
              <w:top w:val="nil"/>
              <w:left w:val="nil"/>
              <w:bottom w:val="nil"/>
              <w:right w:val="nil"/>
            </w:tcBorders>
            <w:shd w:val="clear" w:color="auto" w:fill="auto"/>
            <w:noWrap/>
            <w:vAlign w:val="bottom"/>
            <w:hideMark/>
          </w:tcPr>
          <w:p w14:paraId="5786B000"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p>
        </w:tc>
        <w:tc>
          <w:tcPr>
            <w:tcW w:w="1363" w:type="dxa"/>
            <w:tcBorders>
              <w:top w:val="nil"/>
              <w:left w:val="nil"/>
              <w:bottom w:val="single" w:sz="4" w:space="0" w:color="auto"/>
              <w:right w:val="nil"/>
            </w:tcBorders>
            <w:shd w:val="clear" w:color="000000" w:fill="FFFFFF"/>
            <w:noWrap/>
            <w:vAlign w:val="center"/>
            <w:hideMark/>
          </w:tcPr>
          <w:p w14:paraId="651ACFC2" w14:textId="77777777" w:rsidR="003420B0" w:rsidRPr="0048506B" w:rsidRDefault="003420B0" w:rsidP="001D3745">
            <w:pPr>
              <w:spacing w:after="0" w:line="240" w:lineRule="auto"/>
              <w:jc w:val="right"/>
              <w:rPr>
                <w:rFonts w:ascii="Verdana" w:eastAsia="Times New Roman" w:hAnsi="Verdana" w:cs="Calibri"/>
                <w:b/>
                <w:bCs/>
                <w:color w:val="000000"/>
                <w:sz w:val="16"/>
                <w:szCs w:val="16"/>
                <w:lang w:eastAsia="pt-BR"/>
              </w:rPr>
            </w:pPr>
            <w:r w:rsidRPr="0048506B">
              <w:rPr>
                <w:rFonts w:ascii="Verdana" w:eastAsia="Times New Roman" w:hAnsi="Verdana" w:cs="Calibri"/>
                <w:b/>
                <w:bCs/>
                <w:color w:val="000000"/>
                <w:sz w:val="16"/>
                <w:szCs w:val="16"/>
                <w:lang w:eastAsia="pt-BR"/>
              </w:rPr>
              <w:t xml:space="preserve">             4.623 </w:t>
            </w:r>
          </w:p>
        </w:tc>
      </w:tr>
      <w:tr w:rsidR="003420B0" w:rsidRPr="0048506B" w14:paraId="082816BC" w14:textId="77777777" w:rsidTr="003420B0">
        <w:trPr>
          <w:trHeight w:val="20"/>
        </w:trPr>
        <w:tc>
          <w:tcPr>
            <w:tcW w:w="3544" w:type="dxa"/>
            <w:tcBorders>
              <w:top w:val="nil"/>
              <w:left w:val="nil"/>
              <w:bottom w:val="nil"/>
              <w:right w:val="nil"/>
            </w:tcBorders>
            <w:shd w:val="clear" w:color="000000" w:fill="FFFFFF"/>
            <w:noWrap/>
            <w:vAlign w:val="center"/>
            <w:hideMark/>
          </w:tcPr>
          <w:p w14:paraId="51046F0B" w14:textId="77777777" w:rsidR="003420B0" w:rsidRPr="0048506B" w:rsidRDefault="003420B0" w:rsidP="001D3745">
            <w:pPr>
              <w:spacing w:after="0" w:line="240" w:lineRule="auto"/>
              <w:rPr>
                <w:rFonts w:ascii="Verdana" w:eastAsia="Times New Roman" w:hAnsi="Verdana" w:cs="Calibri"/>
                <w:color w:val="000000"/>
                <w:sz w:val="10"/>
                <w:szCs w:val="10"/>
                <w:lang w:eastAsia="pt-BR"/>
              </w:rPr>
            </w:pPr>
            <w:r w:rsidRPr="0048506B">
              <w:rPr>
                <w:rFonts w:ascii="Verdana" w:eastAsia="Times New Roman" w:hAnsi="Verdana" w:cs="Calibri"/>
                <w:color w:val="000000"/>
                <w:sz w:val="10"/>
                <w:szCs w:val="10"/>
                <w:lang w:eastAsia="pt-BR"/>
              </w:rPr>
              <w:t> </w:t>
            </w:r>
          </w:p>
        </w:tc>
        <w:tc>
          <w:tcPr>
            <w:tcW w:w="612" w:type="dxa"/>
            <w:tcBorders>
              <w:top w:val="nil"/>
              <w:left w:val="nil"/>
              <w:bottom w:val="nil"/>
              <w:right w:val="nil"/>
            </w:tcBorders>
            <w:shd w:val="clear" w:color="auto" w:fill="auto"/>
            <w:vAlign w:val="center"/>
            <w:hideMark/>
          </w:tcPr>
          <w:p w14:paraId="3224E4D2" w14:textId="77777777" w:rsidR="003420B0" w:rsidRPr="0048506B" w:rsidRDefault="003420B0" w:rsidP="001D3745">
            <w:pPr>
              <w:spacing w:after="0" w:line="240" w:lineRule="auto"/>
              <w:rPr>
                <w:rFonts w:ascii="Verdana" w:eastAsia="Times New Roman" w:hAnsi="Verdana" w:cs="Calibri"/>
                <w:color w:val="000000"/>
                <w:sz w:val="10"/>
                <w:szCs w:val="10"/>
                <w:lang w:eastAsia="pt-BR"/>
              </w:rPr>
            </w:pPr>
          </w:p>
        </w:tc>
        <w:tc>
          <w:tcPr>
            <w:tcW w:w="1642" w:type="dxa"/>
            <w:tcBorders>
              <w:top w:val="nil"/>
              <w:left w:val="nil"/>
              <w:bottom w:val="nil"/>
              <w:right w:val="nil"/>
            </w:tcBorders>
            <w:shd w:val="clear" w:color="auto" w:fill="auto"/>
            <w:noWrap/>
            <w:vAlign w:val="bottom"/>
            <w:hideMark/>
          </w:tcPr>
          <w:p w14:paraId="4C6B0E60" w14:textId="77777777" w:rsidR="003420B0" w:rsidRPr="0048506B" w:rsidRDefault="003420B0" w:rsidP="001D3745">
            <w:pPr>
              <w:spacing w:after="0" w:line="240" w:lineRule="auto"/>
              <w:jc w:val="center"/>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42135AA8"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459" w:type="dxa"/>
            <w:tcBorders>
              <w:top w:val="nil"/>
              <w:left w:val="nil"/>
              <w:bottom w:val="nil"/>
              <w:right w:val="nil"/>
            </w:tcBorders>
            <w:shd w:val="clear" w:color="auto" w:fill="auto"/>
            <w:noWrap/>
            <w:vAlign w:val="bottom"/>
            <w:hideMark/>
          </w:tcPr>
          <w:p w14:paraId="7B89BA71"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6DC271F7"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1602" w:type="dxa"/>
            <w:tcBorders>
              <w:top w:val="nil"/>
              <w:left w:val="nil"/>
              <w:bottom w:val="nil"/>
              <w:right w:val="nil"/>
            </w:tcBorders>
            <w:shd w:val="clear" w:color="000000" w:fill="FFFFFF"/>
            <w:noWrap/>
            <w:vAlign w:val="center"/>
            <w:hideMark/>
          </w:tcPr>
          <w:p w14:paraId="579B06BE" w14:textId="77777777" w:rsidR="003420B0" w:rsidRPr="0048506B" w:rsidRDefault="003420B0" w:rsidP="001D3745">
            <w:pPr>
              <w:spacing w:after="0" w:line="240" w:lineRule="auto"/>
              <w:jc w:val="right"/>
              <w:rPr>
                <w:rFonts w:ascii="Verdana" w:eastAsia="Times New Roman" w:hAnsi="Verdana" w:cs="Calibri"/>
                <w:color w:val="000000"/>
                <w:sz w:val="10"/>
                <w:szCs w:val="10"/>
                <w:lang w:eastAsia="pt-BR"/>
              </w:rPr>
            </w:pPr>
            <w:r w:rsidRPr="0048506B">
              <w:rPr>
                <w:rFonts w:ascii="Verdana" w:eastAsia="Times New Roman" w:hAnsi="Verdana" w:cs="Calibri"/>
                <w:color w:val="000000"/>
                <w:sz w:val="10"/>
                <w:szCs w:val="10"/>
                <w:lang w:eastAsia="pt-BR"/>
              </w:rPr>
              <w:t> </w:t>
            </w:r>
          </w:p>
        </w:tc>
        <w:tc>
          <w:tcPr>
            <w:tcW w:w="211" w:type="dxa"/>
            <w:tcBorders>
              <w:top w:val="nil"/>
              <w:left w:val="nil"/>
              <w:bottom w:val="nil"/>
              <w:right w:val="nil"/>
            </w:tcBorders>
            <w:shd w:val="clear" w:color="auto" w:fill="auto"/>
            <w:noWrap/>
            <w:vAlign w:val="bottom"/>
            <w:hideMark/>
          </w:tcPr>
          <w:p w14:paraId="715E8428" w14:textId="77777777" w:rsidR="003420B0" w:rsidRPr="0048506B" w:rsidRDefault="003420B0" w:rsidP="001D3745">
            <w:pPr>
              <w:spacing w:after="0" w:line="240" w:lineRule="auto"/>
              <w:jc w:val="right"/>
              <w:rPr>
                <w:rFonts w:ascii="Verdana" w:eastAsia="Times New Roman" w:hAnsi="Verdana" w:cs="Calibri"/>
                <w:color w:val="000000"/>
                <w:sz w:val="10"/>
                <w:szCs w:val="10"/>
                <w:lang w:eastAsia="pt-BR"/>
              </w:rPr>
            </w:pPr>
          </w:p>
        </w:tc>
        <w:tc>
          <w:tcPr>
            <w:tcW w:w="1363" w:type="dxa"/>
            <w:tcBorders>
              <w:top w:val="nil"/>
              <w:left w:val="nil"/>
              <w:bottom w:val="nil"/>
              <w:right w:val="nil"/>
            </w:tcBorders>
            <w:shd w:val="clear" w:color="000000" w:fill="FFFFFF"/>
            <w:noWrap/>
            <w:vAlign w:val="center"/>
            <w:hideMark/>
          </w:tcPr>
          <w:p w14:paraId="5200EA44" w14:textId="77777777" w:rsidR="003420B0" w:rsidRPr="0048506B" w:rsidRDefault="003420B0" w:rsidP="001D3745">
            <w:pPr>
              <w:spacing w:after="0" w:line="240" w:lineRule="auto"/>
              <w:jc w:val="right"/>
              <w:rPr>
                <w:rFonts w:ascii="Verdana" w:eastAsia="Times New Roman" w:hAnsi="Verdana" w:cs="Calibri"/>
                <w:color w:val="000000"/>
                <w:sz w:val="10"/>
                <w:szCs w:val="10"/>
                <w:lang w:eastAsia="pt-BR"/>
              </w:rPr>
            </w:pPr>
            <w:r w:rsidRPr="0048506B">
              <w:rPr>
                <w:rFonts w:ascii="Verdana" w:eastAsia="Times New Roman" w:hAnsi="Verdana" w:cs="Calibri"/>
                <w:color w:val="000000"/>
                <w:sz w:val="10"/>
                <w:szCs w:val="10"/>
                <w:lang w:eastAsia="pt-BR"/>
              </w:rPr>
              <w:t> </w:t>
            </w:r>
          </w:p>
        </w:tc>
      </w:tr>
      <w:tr w:rsidR="003420B0" w:rsidRPr="0048506B" w14:paraId="5BC7A9D5" w14:textId="77777777" w:rsidTr="003420B0">
        <w:trPr>
          <w:trHeight w:val="20"/>
        </w:trPr>
        <w:tc>
          <w:tcPr>
            <w:tcW w:w="3544" w:type="dxa"/>
            <w:tcBorders>
              <w:top w:val="nil"/>
              <w:left w:val="nil"/>
              <w:bottom w:val="nil"/>
              <w:right w:val="nil"/>
            </w:tcBorders>
            <w:shd w:val="clear" w:color="000000" w:fill="FFFFFF"/>
            <w:noWrap/>
            <w:vAlign w:val="center"/>
            <w:hideMark/>
          </w:tcPr>
          <w:p w14:paraId="04FCF095"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Lucro básico e diluído por ação ordinária em R$</w:t>
            </w:r>
          </w:p>
        </w:tc>
        <w:tc>
          <w:tcPr>
            <w:tcW w:w="612" w:type="dxa"/>
            <w:tcBorders>
              <w:top w:val="nil"/>
              <w:left w:val="nil"/>
              <w:bottom w:val="nil"/>
              <w:right w:val="nil"/>
            </w:tcBorders>
            <w:shd w:val="clear" w:color="auto" w:fill="auto"/>
            <w:vAlign w:val="center"/>
            <w:hideMark/>
          </w:tcPr>
          <w:p w14:paraId="76A64623" w14:textId="77777777" w:rsidR="003420B0" w:rsidRPr="0048506B" w:rsidRDefault="003420B0" w:rsidP="001D3745">
            <w:pPr>
              <w:spacing w:after="0" w:line="240" w:lineRule="auto"/>
              <w:rPr>
                <w:rFonts w:ascii="Verdana" w:eastAsia="Times New Roman" w:hAnsi="Verdana" w:cs="Calibri"/>
                <w:color w:val="000000"/>
                <w:sz w:val="16"/>
                <w:szCs w:val="16"/>
                <w:lang w:eastAsia="pt-BR"/>
              </w:rPr>
            </w:pPr>
          </w:p>
        </w:tc>
        <w:tc>
          <w:tcPr>
            <w:tcW w:w="1642" w:type="dxa"/>
            <w:tcBorders>
              <w:top w:val="nil"/>
              <w:left w:val="nil"/>
              <w:bottom w:val="nil"/>
              <w:right w:val="nil"/>
            </w:tcBorders>
            <w:shd w:val="clear" w:color="auto" w:fill="auto"/>
            <w:noWrap/>
            <w:vAlign w:val="center"/>
            <w:hideMark/>
          </w:tcPr>
          <w:p w14:paraId="63DDADE4"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0,018144</w:t>
            </w:r>
          </w:p>
        </w:tc>
        <w:tc>
          <w:tcPr>
            <w:tcW w:w="211" w:type="dxa"/>
            <w:tcBorders>
              <w:top w:val="nil"/>
              <w:left w:val="nil"/>
              <w:bottom w:val="nil"/>
              <w:right w:val="nil"/>
            </w:tcBorders>
            <w:shd w:val="clear" w:color="auto" w:fill="auto"/>
            <w:noWrap/>
            <w:vAlign w:val="bottom"/>
            <w:hideMark/>
          </w:tcPr>
          <w:p w14:paraId="4A64E35D"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459" w:type="dxa"/>
            <w:tcBorders>
              <w:top w:val="nil"/>
              <w:left w:val="nil"/>
              <w:bottom w:val="nil"/>
              <w:right w:val="nil"/>
            </w:tcBorders>
            <w:shd w:val="clear" w:color="auto" w:fill="auto"/>
            <w:noWrap/>
            <w:vAlign w:val="center"/>
            <w:hideMark/>
          </w:tcPr>
          <w:p w14:paraId="1B7330F7" w14:textId="77777777" w:rsidR="003420B0" w:rsidRPr="0048506B" w:rsidRDefault="003420B0" w:rsidP="001D3745">
            <w:pPr>
              <w:spacing w:after="0" w:line="240" w:lineRule="auto"/>
              <w:rPr>
                <w:rFonts w:ascii="Times New Roman" w:eastAsia="Times New Roman" w:hAnsi="Times New Roman" w:cs="Times New Roman"/>
                <w:sz w:val="20"/>
                <w:szCs w:val="20"/>
                <w:lang w:eastAsia="pt-BR"/>
              </w:rPr>
            </w:pPr>
          </w:p>
        </w:tc>
        <w:tc>
          <w:tcPr>
            <w:tcW w:w="211" w:type="dxa"/>
            <w:tcBorders>
              <w:top w:val="nil"/>
              <w:left w:val="nil"/>
              <w:bottom w:val="nil"/>
              <w:right w:val="nil"/>
            </w:tcBorders>
            <w:shd w:val="clear" w:color="auto" w:fill="auto"/>
            <w:noWrap/>
            <w:vAlign w:val="bottom"/>
            <w:hideMark/>
          </w:tcPr>
          <w:p w14:paraId="2D2A46D4" w14:textId="77777777" w:rsidR="003420B0" w:rsidRPr="0048506B" w:rsidRDefault="003420B0" w:rsidP="001D3745">
            <w:pPr>
              <w:spacing w:after="0" w:line="240" w:lineRule="auto"/>
              <w:jc w:val="right"/>
              <w:rPr>
                <w:rFonts w:ascii="Times New Roman" w:eastAsia="Times New Roman" w:hAnsi="Times New Roman" w:cs="Times New Roman"/>
                <w:sz w:val="20"/>
                <w:szCs w:val="20"/>
                <w:lang w:eastAsia="pt-BR"/>
              </w:rPr>
            </w:pPr>
          </w:p>
        </w:tc>
        <w:tc>
          <w:tcPr>
            <w:tcW w:w="1602" w:type="dxa"/>
            <w:tcBorders>
              <w:top w:val="nil"/>
              <w:left w:val="nil"/>
              <w:bottom w:val="nil"/>
              <w:right w:val="nil"/>
            </w:tcBorders>
            <w:shd w:val="clear" w:color="000000" w:fill="FFFFFF"/>
            <w:noWrap/>
            <w:vAlign w:val="center"/>
            <w:hideMark/>
          </w:tcPr>
          <w:p w14:paraId="49EBF75A"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c>
          <w:tcPr>
            <w:tcW w:w="211" w:type="dxa"/>
            <w:tcBorders>
              <w:top w:val="nil"/>
              <w:left w:val="nil"/>
              <w:bottom w:val="nil"/>
              <w:right w:val="nil"/>
            </w:tcBorders>
            <w:shd w:val="clear" w:color="auto" w:fill="auto"/>
            <w:noWrap/>
            <w:vAlign w:val="bottom"/>
            <w:hideMark/>
          </w:tcPr>
          <w:p w14:paraId="7C7D0458"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p>
        </w:tc>
        <w:tc>
          <w:tcPr>
            <w:tcW w:w="1363" w:type="dxa"/>
            <w:tcBorders>
              <w:top w:val="nil"/>
              <w:left w:val="nil"/>
              <w:bottom w:val="nil"/>
              <w:right w:val="nil"/>
            </w:tcBorders>
            <w:shd w:val="clear" w:color="000000" w:fill="FFFFFF"/>
            <w:noWrap/>
            <w:vAlign w:val="center"/>
            <w:hideMark/>
          </w:tcPr>
          <w:p w14:paraId="631C9D33" w14:textId="77777777" w:rsidR="003420B0" w:rsidRPr="0048506B" w:rsidRDefault="003420B0" w:rsidP="001D3745">
            <w:pPr>
              <w:spacing w:after="0" w:line="240" w:lineRule="auto"/>
              <w:jc w:val="right"/>
              <w:rPr>
                <w:rFonts w:ascii="Verdana" w:eastAsia="Times New Roman" w:hAnsi="Verdana" w:cs="Calibri"/>
                <w:color w:val="000000"/>
                <w:sz w:val="16"/>
                <w:szCs w:val="16"/>
                <w:lang w:eastAsia="pt-BR"/>
              </w:rPr>
            </w:pPr>
            <w:r w:rsidRPr="0048506B">
              <w:rPr>
                <w:rFonts w:ascii="Verdana" w:eastAsia="Times New Roman" w:hAnsi="Verdana" w:cs="Calibri"/>
                <w:color w:val="000000"/>
                <w:sz w:val="16"/>
                <w:szCs w:val="16"/>
                <w:lang w:eastAsia="pt-BR"/>
              </w:rPr>
              <w:t> </w:t>
            </w:r>
          </w:p>
        </w:tc>
      </w:tr>
    </w:tbl>
    <w:p w14:paraId="1265C5B6" w14:textId="60638AAC" w:rsidR="00022E79" w:rsidRDefault="00022E79" w:rsidP="007835BD">
      <w:pPr>
        <w:spacing w:after="0" w:line="240" w:lineRule="auto"/>
        <w:jc w:val="both"/>
        <w:rPr>
          <w:rFonts w:ascii="Verdana" w:hAnsi="Verdana" w:cstheme="minorHAnsi"/>
          <w:b/>
          <w:color w:val="767171" w:themeColor="background2" w:themeShade="80"/>
        </w:rPr>
      </w:pPr>
    </w:p>
    <w:p w14:paraId="655E94EE" w14:textId="3A7ACA2F" w:rsidR="004B6B1F" w:rsidRPr="00C11BC9" w:rsidRDefault="004C2078" w:rsidP="004C2078">
      <w:pPr>
        <w:widowControl w:val="0"/>
        <w:rPr>
          <w:rFonts w:ascii="Verdana" w:hAnsi="Verdana"/>
          <w:bCs/>
        </w:rPr>
      </w:pPr>
      <w:r w:rsidRPr="003420B0">
        <w:rPr>
          <w:rFonts w:ascii="Verdana" w:hAnsi="Verdana"/>
          <w:bCs/>
          <w:sz w:val="20"/>
          <w:szCs w:val="24"/>
        </w:rPr>
        <w:t>A</w:t>
      </w:r>
      <w:r w:rsidR="007835BD" w:rsidRPr="003420B0">
        <w:rPr>
          <w:rFonts w:ascii="Verdana" w:hAnsi="Verdana"/>
          <w:bCs/>
          <w:sz w:val="20"/>
          <w:szCs w:val="24"/>
        </w:rPr>
        <w:t>s notas explicativas são parte integrante das demonstrações</w:t>
      </w:r>
      <w:r w:rsidR="00590B3C" w:rsidRPr="003420B0">
        <w:rPr>
          <w:rFonts w:ascii="Verdana" w:hAnsi="Verdana"/>
          <w:bCs/>
          <w:sz w:val="20"/>
          <w:szCs w:val="24"/>
        </w:rPr>
        <w:t xml:space="preserve"> financeiras intermediárias</w:t>
      </w:r>
      <w:r w:rsidR="007835BD" w:rsidRPr="00C11BC9">
        <w:rPr>
          <w:rFonts w:ascii="Verdana" w:hAnsi="Verdana"/>
          <w:bCs/>
          <w:szCs w:val="26"/>
        </w:rPr>
        <w:t>.</w:t>
      </w:r>
      <w:r w:rsidR="004B6B1F" w:rsidRPr="00C11BC9">
        <w:rPr>
          <w:rFonts w:ascii="Verdana" w:hAnsi="Verdana"/>
          <w:bCs/>
        </w:rPr>
        <w:br w:type="page"/>
      </w:r>
    </w:p>
    <w:p w14:paraId="7884690A" w14:textId="77777777" w:rsidR="006E1B4F" w:rsidRDefault="006E1B4F" w:rsidP="006E1B4F">
      <w:pPr>
        <w:widowControl w:val="0"/>
        <w:spacing w:after="0"/>
        <w:rPr>
          <w:rFonts w:ascii="Verdana" w:hAnsi="Verdana"/>
          <w:b/>
          <w:bCs/>
          <w:szCs w:val="26"/>
        </w:rPr>
      </w:pPr>
    </w:p>
    <w:p w14:paraId="0ABEAB22" w14:textId="77777777" w:rsidR="00F52374" w:rsidRPr="006E1B4F" w:rsidRDefault="00F52374" w:rsidP="00F7132F">
      <w:pPr>
        <w:widowControl w:val="0"/>
        <w:spacing w:after="0"/>
        <w:jc w:val="center"/>
        <w:rPr>
          <w:rFonts w:ascii="Verdana" w:hAnsi="Verdana"/>
          <w:b/>
          <w:bCs/>
          <w:szCs w:val="26"/>
        </w:rPr>
      </w:pPr>
      <w:r w:rsidRPr="006E1B4F">
        <w:rPr>
          <w:rFonts w:ascii="Verdana" w:hAnsi="Verdana"/>
          <w:b/>
          <w:bCs/>
          <w:szCs w:val="26"/>
        </w:rPr>
        <w:t>Demonstrações do Resultado Abrangente</w:t>
      </w:r>
    </w:p>
    <w:p w14:paraId="4FB7ECA0"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5DFD9595"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64605EB3"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601DF69B" w14:textId="77777777" w:rsidR="00FE7BC2" w:rsidRPr="00C11BC9" w:rsidRDefault="00FE7BC2" w:rsidP="007835BD">
      <w:pPr>
        <w:spacing w:after="0" w:line="240" w:lineRule="auto"/>
        <w:jc w:val="both"/>
        <w:rPr>
          <w:rFonts w:ascii="Verdana" w:hAnsi="Verdana" w:cstheme="minorHAnsi"/>
          <w:b/>
          <w:color w:val="767171" w:themeColor="background2" w:themeShade="80"/>
        </w:rPr>
      </w:pPr>
    </w:p>
    <w:tbl>
      <w:tblPr>
        <w:tblW w:w="9920" w:type="dxa"/>
        <w:tblInd w:w="-567" w:type="dxa"/>
        <w:tblCellMar>
          <w:left w:w="70" w:type="dxa"/>
          <w:right w:w="70" w:type="dxa"/>
        </w:tblCellMar>
        <w:tblLook w:val="04A0" w:firstRow="1" w:lastRow="0" w:firstColumn="1" w:lastColumn="0" w:noHBand="0" w:noVBand="1"/>
      </w:tblPr>
      <w:tblGrid>
        <w:gridCol w:w="3119"/>
        <w:gridCol w:w="234"/>
        <w:gridCol w:w="1642"/>
        <w:gridCol w:w="207"/>
        <w:gridCol w:w="1354"/>
        <w:gridCol w:w="234"/>
        <w:gridCol w:w="1493"/>
        <w:gridCol w:w="207"/>
        <w:gridCol w:w="1430"/>
      </w:tblGrid>
      <w:tr w:rsidR="003072B4" w:rsidRPr="00C012F8" w14:paraId="3A7E5F13" w14:textId="77777777" w:rsidTr="002E210C">
        <w:trPr>
          <w:trHeight w:val="20"/>
        </w:trPr>
        <w:tc>
          <w:tcPr>
            <w:tcW w:w="3119" w:type="dxa"/>
            <w:tcBorders>
              <w:top w:val="nil"/>
              <w:left w:val="nil"/>
              <w:bottom w:val="nil"/>
              <w:right w:val="nil"/>
            </w:tcBorders>
            <w:shd w:val="clear" w:color="auto" w:fill="auto"/>
            <w:noWrap/>
            <w:vAlign w:val="bottom"/>
            <w:hideMark/>
          </w:tcPr>
          <w:p w14:paraId="1D288055" w14:textId="77777777" w:rsidR="003072B4" w:rsidRPr="00C012F8" w:rsidRDefault="003072B4" w:rsidP="00C012F8">
            <w:pPr>
              <w:spacing w:after="0" w:line="240" w:lineRule="auto"/>
              <w:rPr>
                <w:rFonts w:ascii="Times New Roman" w:eastAsia="Times New Roman" w:hAnsi="Times New Roman" w:cs="Times New Roman"/>
                <w:sz w:val="24"/>
                <w:szCs w:val="24"/>
                <w:lang w:eastAsia="pt-BR"/>
              </w:rPr>
            </w:pPr>
          </w:p>
        </w:tc>
        <w:tc>
          <w:tcPr>
            <w:tcW w:w="234" w:type="dxa"/>
            <w:tcBorders>
              <w:top w:val="nil"/>
              <w:left w:val="nil"/>
              <w:bottom w:val="nil"/>
              <w:right w:val="nil"/>
            </w:tcBorders>
            <w:shd w:val="clear" w:color="auto" w:fill="auto"/>
            <w:noWrap/>
            <w:vAlign w:val="bottom"/>
            <w:hideMark/>
          </w:tcPr>
          <w:p w14:paraId="35D00DCD" w14:textId="77777777" w:rsidR="003072B4" w:rsidRPr="00C012F8" w:rsidRDefault="003072B4" w:rsidP="00C012F8">
            <w:pPr>
              <w:spacing w:after="0" w:line="240" w:lineRule="auto"/>
              <w:rPr>
                <w:rFonts w:ascii="Times New Roman" w:eastAsia="Times New Roman" w:hAnsi="Times New Roman" w:cs="Times New Roman"/>
                <w:sz w:val="20"/>
                <w:szCs w:val="20"/>
                <w:lang w:eastAsia="pt-BR"/>
              </w:rPr>
            </w:pPr>
          </w:p>
        </w:tc>
        <w:tc>
          <w:tcPr>
            <w:tcW w:w="3203" w:type="dxa"/>
            <w:gridSpan w:val="3"/>
            <w:tcBorders>
              <w:top w:val="nil"/>
              <w:left w:val="nil"/>
              <w:bottom w:val="nil"/>
              <w:right w:val="nil"/>
            </w:tcBorders>
            <w:shd w:val="clear" w:color="000000" w:fill="FFFFFF"/>
            <w:vAlign w:val="center"/>
            <w:hideMark/>
          </w:tcPr>
          <w:p w14:paraId="659965E1" w14:textId="77777777" w:rsidR="003072B4" w:rsidRPr="00C012F8" w:rsidRDefault="003072B4" w:rsidP="003072B4">
            <w:pPr>
              <w:spacing w:after="0" w:line="240" w:lineRule="auto"/>
              <w:jc w:val="center"/>
              <w:rPr>
                <w:rFonts w:ascii="Verdana" w:eastAsia="Times New Roman" w:hAnsi="Verdana" w:cs="Calibri"/>
                <w:b/>
                <w:bCs/>
                <w:color w:val="000000"/>
                <w:sz w:val="16"/>
                <w:szCs w:val="16"/>
                <w:lang w:eastAsia="pt-BR"/>
              </w:rPr>
            </w:pPr>
            <w:r w:rsidRPr="00C012F8">
              <w:rPr>
                <w:rFonts w:ascii="Verdana" w:eastAsia="Times New Roman" w:hAnsi="Verdana" w:cs="Calibri"/>
                <w:b/>
                <w:bCs/>
                <w:color w:val="000000"/>
                <w:sz w:val="16"/>
                <w:szCs w:val="16"/>
                <w:lang w:eastAsia="pt-BR"/>
              </w:rPr>
              <w:t>CONTROLADORA</w:t>
            </w:r>
          </w:p>
          <w:p w14:paraId="32947462" w14:textId="48E645E0" w:rsidR="003072B4" w:rsidRPr="00C012F8" w:rsidRDefault="003072B4" w:rsidP="003072B4">
            <w:pPr>
              <w:spacing w:after="0" w:line="240" w:lineRule="auto"/>
              <w:jc w:val="center"/>
              <w:rPr>
                <w:rFonts w:ascii="Verdana" w:eastAsia="Times New Roman" w:hAnsi="Verdana" w:cs="Calibri"/>
                <w:b/>
                <w:bCs/>
                <w:color w:val="000000"/>
                <w:sz w:val="16"/>
                <w:szCs w:val="16"/>
                <w:lang w:eastAsia="pt-BR"/>
              </w:rPr>
            </w:pPr>
          </w:p>
          <w:p w14:paraId="462C2511" w14:textId="451373BF" w:rsidR="003072B4" w:rsidRPr="00C012F8" w:rsidRDefault="003072B4" w:rsidP="003072B4">
            <w:pPr>
              <w:spacing w:after="0" w:line="240" w:lineRule="auto"/>
              <w:jc w:val="center"/>
              <w:rPr>
                <w:rFonts w:ascii="Verdana" w:eastAsia="Times New Roman" w:hAnsi="Verdana" w:cs="Calibri"/>
                <w:b/>
                <w:bCs/>
                <w:color w:val="000000"/>
                <w:sz w:val="16"/>
                <w:szCs w:val="16"/>
                <w:lang w:eastAsia="pt-BR"/>
              </w:rPr>
            </w:pPr>
          </w:p>
        </w:tc>
        <w:tc>
          <w:tcPr>
            <w:tcW w:w="234" w:type="dxa"/>
            <w:tcBorders>
              <w:top w:val="nil"/>
              <w:left w:val="nil"/>
              <w:bottom w:val="nil"/>
              <w:right w:val="nil"/>
            </w:tcBorders>
            <w:shd w:val="clear" w:color="auto" w:fill="auto"/>
            <w:noWrap/>
            <w:vAlign w:val="bottom"/>
            <w:hideMark/>
          </w:tcPr>
          <w:p w14:paraId="2696C615" w14:textId="77777777" w:rsidR="003072B4" w:rsidRPr="00C012F8" w:rsidRDefault="003072B4" w:rsidP="00C012F8">
            <w:pPr>
              <w:spacing w:after="0" w:line="240" w:lineRule="auto"/>
              <w:rPr>
                <w:rFonts w:ascii="Verdana" w:eastAsia="Times New Roman" w:hAnsi="Verdana" w:cs="Calibri"/>
                <w:b/>
                <w:bCs/>
                <w:color w:val="000000"/>
                <w:sz w:val="16"/>
                <w:szCs w:val="16"/>
                <w:lang w:eastAsia="pt-BR"/>
              </w:rPr>
            </w:pPr>
          </w:p>
        </w:tc>
        <w:tc>
          <w:tcPr>
            <w:tcW w:w="3130" w:type="dxa"/>
            <w:gridSpan w:val="3"/>
            <w:tcBorders>
              <w:top w:val="nil"/>
              <w:left w:val="nil"/>
              <w:bottom w:val="nil"/>
              <w:right w:val="nil"/>
            </w:tcBorders>
            <w:shd w:val="clear" w:color="000000" w:fill="FFFFFF"/>
            <w:vAlign w:val="center"/>
            <w:hideMark/>
          </w:tcPr>
          <w:p w14:paraId="6AFAE5FA" w14:textId="07C9F16B" w:rsidR="003072B4" w:rsidRPr="00C012F8" w:rsidRDefault="003072B4" w:rsidP="003072B4">
            <w:pPr>
              <w:spacing w:after="0" w:line="240" w:lineRule="auto"/>
              <w:jc w:val="center"/>
              <w:rPr>
                <w:rFonts w:ascii="Verdana" w:eastAsia="Times New Roman" w:hAnsi="Verdana" w:cs="Calibri"/>
                <w:b/>
                <w:bCs/>
                <w:color w:val="000000"/>
                <w:sz w:val="16"/>
                <w:szCs w:val="16"/>
                <w:lang w:eastAsia="pt-BR"/>
              </w:rPr>
            </w:pPr>
            <w:r w:rsidRPr="00C012F8">
              <w:rPr>
                <w:rFonts w:ascii="Verdana" w:eastAsia="Times New Roman" w:hAnsi="Verdana" w:cs="Calibri"/>
                <w:b/>
                <w:bCs/>
                <w:color w:val="000000"/>
                <w:sz w:val="16"/>
                <w:szCs w:val="16"/>
                <w:lang w:eastAsia="pt-BR"/>
              </w:rPr>
              <w:t>CONSOLIDADO</w:t>
            </w:r>
          </w:p>
          <w:p w14:paraId="6E07C0DA" w14:textId="30F96741" w:rsidR="003072B4" w:rsidRPr="00C012F8" w:rsidRDefault="003072B4" w:rsidP="00C012F8">
            <w:pPr>
              <w:spacing w:after="0" w:line="240" w:lineRule="auto"/>
              <w:rPr>
                <w:rFonts w:ascii="Verdana" w:eastAsia="Times New Roman" w:hAnsi="Verdana" w:cs="Calibri"/>
                <w:b/>
                <w:bCs/>
                <w:color w:val="000000"/>
                <w:sz w:val="16"/>
                <w:szCs w:val="16"/>
                <w:lang w:eastAsia="pt-BR"/>
              </w:rPr>
            </w:pPr>
            <w:r w:rsidRPr="00C012F8">
              <w:rPr>
                <w:rFonts w:ascii="Verdana" w:eastAsia="Times New Roman" w:hAnsi="Verdana" w:cs="Calibri"/>
                <w:b/>
                <w:bCs/>
                <w:color w:val="000000"/>
                <w:sz w:val="16"/>
                <w:szCs w:val="16"/>
                <w:lang w:eastAsia="pt-BR"/>
              </w:rPr>
              <w:t> </w:t>
            </w:r>
          </w:p>
        </w:tc>
      </w:tr>
      <w:tr w:rsidR="00C012F8" w:rsidRPr="00C012F8" w14:paraId="585D7A8A" w14:textId="77777777" w:rsidTr="003072B4">
        <w:trPr>
          <w:trHeight w:val="20"/>
        </w:trPr>
        <w:tc>
          <w:tcPr>
            <w:tcW w:w="3119" w:type="dxa"/>
            <w:tcBorders>
              <w:top w:val="nil"/>
              <w:left w:val="nil"/>
              <w:bottom w:val="nil"/>
              <w:right w:val="nil"/>
            </w:tcBorders>
            <w:shd w:val="clear" w:color="auto" w:fill="auto"/>
            <w:noWrap/>
            <w:vAlign w:val="center"/>
            <w:hideMark/>
          </w:tcPr>
          <w:p w14:paraId="1D121F1E" w14:textId="77777777" w:rsidR="00C012F8" w:rsidRPr="00C012F8" w:rsidRDefault="00C012F8" w:rsidP="00C012F8">
            <w:pPr>
              <w:spacing w:after="0" w:line="240" w:lineRule="auto"/>
              <w:rPr>
                <w:rFonts w:ascii="Verdana" w:eastAsia="Times New Roman" w:hAnsi="Verdana" w:cs="Calibri"/>
                <w:b/>
                <w:bCs/>
                <w:color w:val="000000"/>
                <w:sz w:val="16"/>
                <w:szCs w:val="16"/>
                <w:lang w:eastAsia="pt-BR"/>
              </w:rPr>
            </w:pPr>
          </w:p>
        </w:tc>
        <w:tc>
          <w:tcPr>
            <w:tcW w:w="234" w:type="dxa"/>
            <w:tcBorders>
              <w:top w:val="nil"/>
              <w:left w:val="nil"/>
              <w:bottom w:val="nil"/>
              <w:right w:val="nil"/>
            </w:tcBorders>
            <w:shd w:val="clear" w:color="auto" w:fill="auto"/>
            <w:noWrap/>
            <w:vAlign w:val="center"/>
            <w:hideMark/>
          </w:tcPr>
          <w:p w14:paraId="5B4072C0"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1642" w:type="dxa"/>
            <w:tcBorders>
              <w:top w:val="single" w:sz="4" w:space="0" w:color="auto"/>
              <w:left w:val="nil"/>
              <w:bottom w:val="single" w:sz="4" w:space="0" w:color="auto"/>
              <w:right w:val="nil"/>
            </w:tcBorders>
            <w:shd w:val="clear" w:color="000000" w:fill="FFFFFF"/>
            <w:vAlign w:val="center"/>
            <w:hideMark/>
          </w:tcPr>
          <w:p w14:paraId="527F1A13" w14:textId="77777777" w:rsidR="00C012F8" w:rsidRPr="00C012F8" w:rsidRDefault="00C012F8" w:rsidP="00C012F8">
            <w:pPr>
              <w:spacing w:after="0" w:line="240" w:lineRule="auto"/>
              <w:jc w:val="center"/>
              <w:rPr>
                <w:rFonts w:ascii="Verdana" w:eastAsia="Times New Roman" w:hAnsi="Verdana" w:cs="Calibri"/>
                <w:b/>
                <w:bCs/>
                <w:color w:val="000000"/>
                <w:sz w:val="16"/>
                <w:szCs w:val="16"/>
                <w:lang w:eastAsia="pt-BR"/>
              </w:rPr>
            </w:pPr>
            <w:r w:rsidRPr="00C012F8">
              <w:rPr>
                <w:rFonts w:ascii="Verdana" w:eastAsia="Times New Roman" w:hAnsi="Verdana" w:cs="Calibri"/>
                <w:b/>
                <w:bCs/>
                <w:color w:val="000000"/>
                <w:sz w:val="16"/>
                <w:szCs w:val="16"/>
                <w:lang w:eastAsia="pt-BR"/>
              </w:rPr>
              <w:t xml:space="preserve"> 30/06/2022 </w:t>
            </w:r>
            <w:r w:rsidRPr="00C012F8">
              <w:rPr>
                <w:rFonts w:ascii="Verdana" w:eastAsia="Times New Roman" w:hAnsi="Verdana" w:cs="Calibri"/>
                <w:b/>
                <w:bCs/>
                <w:color w:val="000000"/>
                <w:sz w:val="16"/>
                <w:szCs w:val="16"/>
                <w:lang w:eastAsia="pt-BR"/>
              </w:rPr>
              <w:br/>
              <w:t>(6 meses)</w:t>
            </w:r>
          </w:p>
        </w:tc>
        <w:tc>
          <w:tcPr>
            <w:tcW w:w="207" w:type="dxa"/>
            <w:tcBorders>
              <w:top w:val="nil"/>
              <w:left w:val="nil"/>
              <w:bottom w:val="nil"/>
              <w:right w:val="nil"/>
            </w:tcBorders>
            <w:shd w:val="clear" w:color="auto" w:fill="auto"/>
            <w:noWrap/>
            <w:vAlign w:val="bottom"/>
            <w:hideMark/>
          </w:tcPr>
          <w:p w14:paraId="71181B13" w14:textId="77777777" w:rsidR="00C012F8" w:rsidRPr="00C012F8" w:rsidRDefault="00C012F8" w:rsidP="00C012F8">
            <w:pPr>
              <w:spacing w:after="0" w:line="240" w:lineRule="auto"/>
              <w:jc w:val="center"/>
              <w:rPr>
                <w:rFonts w:ascii="Verdana" w:eastAsia="Times New Roman" w:hAnsi="Verdana" w:cs="Calibri"/>
                <w:b/>
                <w:bCs/>
                <w:color w:val="000000"/>
                <w:sz w:val="16"/>
                <w:szCs w:val="16"/>
                <w:lang w:eastAsia="pt-BR"/>
              </w:rPr>
            </w:pPr>
          </w:p>
        </w:tc>
        <w:tc>
          <w:tcPr>
            <w:tcW w:w="1354" w:type="dxa"/>
            <w:tcBorders>
              <w:top w:val="single" w:sz="4" w:space="0" w:color="auto"/>
              <w:left w:val="nil"/>
              <w:bottom w:val="single" w:sz="4" w:space="0" w:color="auto"/>
              <w:right w:val="nil"/>
            </w:tcBorders>
            <w:shd w:val="clear" w:color="000000" w:fill="FFFFFF"/>
            <w:vAlign w:val="center"/>
            <w:hideMark/>
          </w:tcPr>
          <w:p w14:paraId="44D38F61" w14:textId="77777777" w:rsidR="00C012F8" w:rsidRPr="00C012F8" w:rsidRDefault="00C012F8" w:rsidP="00C012F8">
            <w:pPr>
              <w:spacing w:after="0" w:line="240" w:lineRule="auto"/>
              <w:jc w:val="center"/>
              <w:rPr>
                <w:rFonts w:ascii="Verdana" w:eastAsia="Times New Roman" w:hAnsi="Verdana" w:cs="Calibri"/>
                <w:b/>
                <w:bCs/>
                <w:color w:val="000000"/>
                <w:sz w:val="16"/>
                <w:szCs w:val="16"/>
                <w:lang w:eastAsia="pt-BR"/>
              </w:rPr>
            </w:pPr>
            <w:r w:rsidRPr="00C012F8">
              <w:rPr>
                <w:rFonts w:ascii="Verdana" w:eastAsia="Times New Roman" w:hAnsi="Verdana" w:cs="Calibri"/>
                <w:b/>
                <w:bCs/>
                <w:color w:val="000000"/>
                <w:sz w:val="16"/>
                <w:szCs w:val="16"/>
                <w:lang w:eastAsia="pt-BR"/>
              </w:rPr>
              <w:t xml:space="preserve"> 30/06/2022 </w:t>
            </w:r>
            <w:r w:rsidRPr="00C012F8">
              <w:rPr>
                <w:rFonts w:ascii="Verdana" w:eastAsia="Times New Roman" w:hAnsi="Verdana" w:cs="Calibri"/>
                <w:b/>
                <w:bCs/>
                <w:color w:val="000000"/>
                <w:sz w:val="16"/>
                <w:szCs w:val="16"/>
                <w:lang w:eastAsia="pt-BR"/>
              </w:rPr>
              <w:br/>
              <w:t>(3 meses)</w:t>
            </w:r>
          </w:p>
        </w:tc>
        <w:tc>
          <w:tcPr>
            <w:tcW w:w="234" w:type="dxa"/>
            <w:tcBorders>
              <w:top w:val="nil"/>
              <w:left w:val="nil"/>
              <w:bottom w:val="nil"/>
              <w:right w:val="nil"/>
            </w:tcBorders>
            <w:shd w:val="clear" w:color="auto" w:fill="auto"/>
            <w:noWrap/>
            <w:vAlign w:val="bottom"/>
            <w:hideMark/>
          </w:tcPr>
          <w:p w14:paraId="0330503D" w14:textId="77777777" w:rsidR="00C012F8" w:rsidRPr="00C012F8" w:rsidRDefault="00C012F8" w:rsidP="00C012F8">
            <w:pPr>
              <w:spacing w:after="0" w:line="240" w:lineRule="auto"/>
              <w:jc w:val="center"/>
              <w:rPr>
                <w:rFonts w:ascii="Verdana" w:eastAsia="Times New Roman" w:hAnsi="Verdana" w:cs="Calibri"/>
                <w:b/>
                <w:bCs/>
                <w:color w:val="000000"/>
                <w:sz w:val="16"/>
                <w:szCs w:val="16"/>
                <w:lang w:eastAsia="pt-BR"/>
              </w:rPr>
            </w:pPr>
          </w:p>
        </w:tc>
        <w:tc>
          <w:tcPr>
            <w:tcW w:w="1493" w:type="dxa"/>
            <w:tcBorders>
              <w:top w:val="single" w:sz="4" w:space="0" w:color="auto"/>
              <w:left w:val="nil"/>
              <w:bottom w:val="single" w:sz="4" w:space="0" w:color="auto"/>
              <w:right w:val="nil"/>
            </w:tcBorders>
            <w:shd w:val="clear" w:color="000000" w:fill="FFFFFF"/>
            <w:vAlign w:val="center"/>
            <w:hideMark/>
          </w:tcPr>
          <w:p w14:paraId="6F82D906" w14:textId="77777777" w:rsidR="00C012F8" w:rsidRPr="00C012F8" w:rsidRDefault="00C012F8" w:rsidP="00C012F8">
            <w:pPr>
              <w:spacing w:after="0" w:line="240" w:lineRule="auto"/>
              <w:jc w:val="center"/>
              <w:rPr>
                <w:rFonts w:ascii="Verdana" w:eastAsia="Times New Roman" w:hAnsi="Verdana" w:cs="Calibri"/>
                <w:b/>
                <w:bCs/>
                <w:color w:val="000000"/>
                <w:sz w:val="16"/>
                <w:szCs w:val="16"/>
                <w:lang w:eastAsia="pt-BR"/>
              </w:rPr>
            </w:pPr>
            <w:r w:rsidRPr="00C012F8">
              <w:rPr>
                <w:rFonts w:ascii="Verdana" w:eastAsia="Times New Roman" w:hAnsi="Verdana" w:cs="Calibri"/>
                <w:b/>
                <w:bCs/>
                <w:color w:val="000000"/>
                <w:sz w:val="16"/>
                <w:szCs w:val="16"/>
                <w:lang w:eastAsia="pt-BR"/>
              </w:rPr>
              <w:t xml:space="preserve"> 30/06/2022 </w:t>
            </w:r>
            <w:r w:rsidRPr="00C012F8">
              <w:rPr>
                <w:rFonts w:ascii="Verdana" w:eastAsia="Times New Roman" w:hAnsi="Verdana" w:cs="Calibri"/>
                <w:b/>
                <w:bCs/>
                <w:color w:val="000000"/>
                <w:sz w:val="16"/>
                <w:szCs w:val="16"/>
                <w:lang w:eastAsia="pt-BR"/>
              </w:rPr>
              <w:br/>
              <w:t>(6 meses)</w:t>
            </w:r>
          </w:p>
        </w:tc>
        <w:tc>
          <w:tcPr>
            <w:tcW w:w="207" w:type="dxa"/>
            <w:tcBorders>
              <w:top w:val="nil"/>
              <w:left w:val="nil"/>
              <w:bottom w:val="nil"/>
              <w:right w:val="nil"/>
            </w:tcBorders>
            <w:shd w:val="clear" w:color="auto" w:fill="auto"/>
            <w:noWrap/>
            <w:vAlign w:val="bottom"/>
            <w:hideMark/>
          </w:tcPr>
          <w:p w14:paraId="09CCA31C" w14:textId="77777777" w:rsidR="00C012F8" w:rsidRPr="00C012F8" w:rsidRDefault="00C012F8" w:rsidP="00C012F8">
            <w:pPr>
              <w:spacing w:after="0" w:line="240" w:lineRule="auto"/>
              <w:jc w:val="center"/>
              <w:rPr>
                <w:rFonts w:ascii="Verdana" w:eastAsia="Times New Roman" w:hAnsi="Verdana" w:cs="Calibri"/>
                <w:b/>
                <w:bCs/>
                <w:color w:val="000000"/>
                <w:sz w:val="16"/>
                <w:szCs w:val="16"/>
                <w:lang w:eastAsia="pt-BR"/>
              </w:rPr>
            </w:pPr>
          </w:p>
        </w:tc>
        <w:tc>
          <w:tcPr>
            <w:tcW w:w="1430" w:type="dxa"/>
            <w:tcBorders>
              <w:top w:val="single" w:sz="4" w:space="0" w:color="auto"/>
              <w:left w:val="nil"/>
              <w:bottom w:val="single" w:sz="4" w:space="0" w:color="auto"/>
              <w:right w:val="nil"/>
            </w:tcBorders>
            <w:shd w:val="clear" w:color="000000" w:fill="FFFFFF"/>
            <w:vAlign w:val="center"/>
            <w:hideMark/>
          </w:tcPr>
          <w:p w14:paraId="0A9A312E" w14:textId="77777777" w:rsidR="00C012F8" w:rsidRPr="00C012F8" w:rsidRDefault="00C012F8" w:rsidP="00C012F8">
            <w:pPr>
              <w:spacing w:after="0" w:line="240" w:lineRule="auto"/>
              <w:jc w:val="center"/>
              <w:rPr>
                <w:rFonts w:ascii="Verdana" w:eastAsia="Times New Roman" w:hAnsi="Verdana" w:cs="Calibri"/>
                <w:b/>
                <w:bCs/>
                <w:color w:val="000000"/>
                <w:sz w:val="16"/>
                <w:szCs w:val="16"/>
                <w:lang w:eastAsia="pt-BR"/>
              </w:rPr>
            </w:pPr>
            <w:r w:rsidRPr="00C012F8">
              <w:rPr>
                <w:rFonts w:ascii="Verdana" w:eastAsia="Times New Roman" w:hAnsi="Verdana" w:cs="Calibri"/>
                <w:b/>
                <w:bCs/>
                <w:color w:val="000000"/>
                <w:sz w:val="16"/>
                <w:szCs w:val="16"/>
                <w:lang w:eastAsia="pt-BR"/>
              </w:rPr>
              <w:t xml:space="preserve"> 30/06/2022 </w:t>
            </w:r>
            <w:r w:rsidRPr="00C012F8">
              <w:rPr>
                <w:rFonts w:ascii="Verdana" w:eastAsia="Times New Roman" w:hAnsi="Verdana" w:cs="Calibri"/>
                <w:b/>
                <w:bCs/>
                <w:color w:val="000000"/>
                <w:sz w:val="16"/>
                <w:szCs w:val="16"/>
                <w:lang w:eastAsia="pt-BR"/>
              </w:rPr>
              <w:br/>
              <w:t>(3 meses)</w:t>
            </w:r>
          </w:p>
        </w:tc>
      </w:tr>
      <w:tr w:rsidR="00C012F8" w:rsidRPr="00C012F8" w14:paraId="514949A5" w14:textId="77777777" w:rsidTr="003072B4">
        <w:trPr>
          <w:trHeight w:val="20"/>
        </w:trPr>
        <w:tc>
          <w:tcPr>
            <w:tcW w:w="3119" w:type="dxa"/>
            <w:tcBorders>
              <w:top w:val="nil"/>
              <w:left w:val="nil"/>
              <w:bottom w:val="nil"/>
              <w:right w:val="nil"/>
            </w:tcBorders>
            <w:shd w:val="clear" w:color="auto" w:fill="auto"/>
            <w:noWrap/>
            <w:vAlign w:val="center"/>
            <w:hideMark/>
          </w:tcPr>
          <w:p w14:paraId="1532EF41" w14:textId="77777777" w:rsidR="00C012F8" w:rsidRPr="00C012F8" w:rsidRDefault="00C012F8" w:rsidP="00C012F8">
            <w:pPr>
              <w:spacing w:after="0" w:line="240" w:lineRule="auto"/>
              <w:jc w:val="center"/>
              <w:rPr>
                <w:rFonts w:ascii="Verdana" w:eastAsia="Times New Roman" w:hAnsi="Verdana" w:cs="Calibri"/>
                <w:b/>
                <w:bCs/>
                <w:color w:val="000000"/>
                <w:sz w:val="16"/>
                <w:szCs w:val="16"/>
                <w:lang w:eastAsia="pt-BR"/>
              </w:rPr>
            </w:pPr>
          </w:p>
        </w:tc>
        <w:tc>
          <w:tcPr>
            <w:tcW w:w="234" w:type="dxa"/>
            <w:tcBorders>
              <w:top w:val="nil"/>
              <w:left w:val="nil"/>
              <w:bottom w:val="nil"/>
              <w:right w:val="nil"/>
            </w:tcBorders>
            <w:shd w:val="clear" w:color="auto" w:fill="auto"/>
            <w:noWrap/>
            <w:vAlign w:val="center"/>
            <w:hideMark/>
          </w:tcPr>
          <w:p w14:paraId="5E115266"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1642" w:type="dxa"/>
            <w:tcBorders>
              <w:top w:val="nil"/>
              <w:left w:val="nil"/>
              <w:bottom w:val="nil"/>
              <w:right w:val="nil"/>
            </w:tcBorders>
            <w:shd w:val="clear" w:color="auto" w:fill="auto"/>
            <w:vAlign w:val="center"/>
            <w:hideMark/>
          </w:tcPr>
          <w:p w14:paraId="5992FF53"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207" w:type="dxa"/>
            <w:tcBorders>
              <w:top w:val="nil"/>
              <w:left w:val="nil"/>
              <w:bottom w:val="nil"/>
              <w:right w:val="nil"/>
            </w:tcBorders>
            <w:shd w:val="clear" w:color="auto" w:fill="auto"/>
            <w:vAlign w:val="center"/>
            <w:hideMark/>
          </w:tcPr>
          <w:p w14:paraId="7759FF0C"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1354" w:type="dxa"/>
            <w:tcBorders>
              <w:top w:val="nil"/>
              <w:left w:val="nil"/>
              <w:bottom w:val="nil"/>
              <w:right w:val="nil"/>
            </w:tcBorders>
            <w:shd w:val="clear" w:color="auto" w:fill="auto"/>
            <w:vAlign w:val="center"/>
            <w:hideMark/>
          </w:tcPr>
          <w:p w14:paraId="529A5EC7"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234" w:type="dxa"/>
            <w:tcBorders>
              <w:top w:val="nil"/>
              <w:left w:val="nil"/>
              <w:bottom w:val="nil"/>
              <w:right w:val="nil"/>
            </w:tcBorders>
            <w:shd w:val="clear" w:color="auto" w:fill="auto"/>
            <w:noWrap/>
            <w:vAlign w:val="bottom"/>
            <w:hideMark/>
          </w:tcPr>
          <w:p w14:paraId="0732D608"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1493" w:type="dxa"/>
            <w:tcBorders>
              <w:top w:val="nil"/>
              <w:left w:val="nil"/>
              <w:bottom w:val="nil"/>
              <w:right w:val="nil"/>
            </w:tcBorders>
            <w:shd w:val="clear" w:color="auto" w:fill="auto"/>
            <w:noWrap/>
            <w:vAlign w:val="bottom"/>
            <w:hideMark/>
          </w:tcPr>
          <w:p w14:paraId="4449AD4C"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207" w:type="dxa"/>
            <w:tcBorders>
              <w:top w:val="nil"/>
              <w:left w:val="nil"/>
              <w:bottom w:val="nil"/>
              <w:right w:val="nil"/>
            </w:tcBorders>
            <w:shd w:val="clear" w:color="auto" w:fill="auto"/>
            <w:noWrap/>
            <w:vAlign w:val="bottom"/>
            <w:hideMark/>
          </w:tcPr>
          <w:p w14:paraId="598A25E2"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1430" w:type="dxa"/>
            <w:tcBorders>
              <w:top w:val="nil"/>
              <w:left w:val="nil"/>
              <w:bottom w:val="nil"/>
              <w:right w:val="nil"/>
            </w:tcBorders>
            <w:shd w:val="clear" w:color="auto" w:fill="auto"/>
            <w:noWrap/>
            <w:vAlign w:val="bottom"/>
            <w:hideMark/>
          </w:tcPr>
          <w:p w14:paraId="23DC30CF"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r>
      <w:tr w:rsidR="00C012F8" w:rsidRPr="00C012F8" w14:paraId="60E0CA5D" w14:textId="77777777" w:rsidTr="003072B4">
        <w:trPr>
          <w:trHeight w:val="20"/>
        </w:trPr>
        <w:tc>
          <w:tcPr>
            <w:tcW w:w="3119" w:type="dxa"/>
            <w:tcBorders>
              <w:top w:val="nil"/>
              <w:left w:val="nil"/>
              <w:bottom w:val="nil"/>
              <w:right w:val="nil"/>
            </w:tcBorders>
            <w:shd w:val="clear" w:color="auto" w:fill="auto"/>
            <w:noWrap/>
            <w:vAlign w:val="center"/>
          </w:tcPr>
          <w:p w14:paraId="2D41194F" w14:textId="77777777" w:rsidR="00C012F8" w:rsidRPr="00C012F8" w:rsidRDefault="00C012F8" w:rsidP="00C012F8">
            <w:pPr>
              <w:spacing w:after="0" w:line="240" w:lineRule="auto"/>
              <w:jc w:val="center"/>
              <w:rPr>
                <w:rFonts w:ascii="Verdana" w:eastAsia="Times New Roman" w:hAnsi="Verdana" w:cs="Calibri"/>
                <w:b/>
                <w:bCs/>
                <w:color w:val="000000"/>
                <w:sz w:val="16"/>
                <w:szCs w:val="16"/>
                <w:lang w:eastAsia="pt-BR"/>
              </w:rPr>
            </w:pPr>
          </w:p>
        </w:tc>
        <w:tc>
          <w:tcPr>
            <w:tcW w:w="234" w:type="dxa"/>
            <w:tcBorders>
              <w:top w:val="nil"/>
              <w:left w:val="nil"/>
              <w:bottom w:val="nil"/>
              <w:right w:val="nil"/>
            </w:tcBorders>
            <w:shd w:val="clear" w:color="auto" w:fill="auto"/>
            <w:noWrap/>
            <w:vAlign w:val="center"/>
          </w:tcPr>
          <w:p w14:paraId="3574BAD3"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1642" w:type="dxa"/>
            <w:tcBorders>
              <w:top w:val="nil"/>
              <w:left w:val="nil"/>
              <w:right w:val="nil"/>
            </w:tcBorders>
            <w:shd w:val="clear" w:color="auto" w:fill="auto"/>
            <w:vAlign w:val="center"/>
          </w:tcPr>
          <w:p w14:paraId="5A30034C"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207" w:type="dxa"/>
            <w:tcBorders>
              <w:top w:val="nil"/>
              <w:left w:val="nil"/>
              <w:bottom w:val="nil"/>
              <w:right w:val="nil"/>
            </w:tcBorders>
            <w:shd w:val="clear" w:color="auto" w:fill="auto"/>
            <w:vAlign w:val="center"/>
          </w:tcPr>
          <w:p w14:paraId="7EFB61DB"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1354" w:type="dxa"/>
            <w:tcBorders>
              <w:top w:val="nil"/>
              <w:left w:val="nil"/>
              <w:right w:val="nil"/>
            </w:tcBorders>
            <w:shd w:val="clear" w:color="auto" w:fill="auto"/>
            <w:vAlign w:val="center"/>
          </w:tcPr>
          <w:p w14:paraId="0CE61A4E"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234" w:type="dxa"/>
            <w:tcBorders>
              <w:top w:val="nil"/>
              <w:left w:val="nil"/>
              <w:bottom w:val="nil"/>
              <w:right w:val="nil"/>
            </w:tcBorders>
            <w:shd w:val="clear" w:color="auto" w:fill="auto"/>
            <w:noWrap/>
            <w:vAlign w:val="bottom"/>
          </w:tcPr>
          <w:p w14:paraId="728BCCAB"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1493" w:type="dxa"/>
            <w:tcBorders>
              <w:top w:val="nil"/>
              <w:left w:val="nil"/>
              <w:right w:val="nil"/>
            </w:tcBorders>
            <w:shd w:val="clear" w:color="auto" w:fill="auto"/>
            <w:noWrap/>
            <w:vAlign w:val="bottom"/>
          </w:tcPr>
          <w:p w14:paraId="7837AE02"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207" w:type="dxa"/>
            <w:tcBorders>
              <w:top w:val="nil"/>
              <w:left w:val="nil"/>
              <w:bottom w:val="nil"/>
              <w:right w:val="nil"/>
            </w:tcBorders>
            <w:shd w:val="clear" w:color="auto" w:fill="auto"/>
            <w:noWrap/>
            <w:vAlign w:val="bottom"/>
          </w:tcPr>
          <w:p w14:paraId="0B1B8687"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1430" w:type="dxa"/>
            <w:tcBorders>
              <w:top w:val="nil"/>
              <w:left w:val="nil"/>
              <w:right w:val="nil"/>
            </w:tcBorders>
            <w:shd w:val="clear" w:color="auto" w:fill="auto"/>
            <w:noWrap/>
            <w:vAlign w:val="bottom"/>
          </w:tcPr>
          <w:p w14:paraId="3A04B000"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r>
      <w:tr w:rsidR="00C012F8" w:rsidRPr="00C012F8" w14:paraId="647BDA3B" w14:textId="77777777" w:rsidTr="003072B4">
        <w:trPr>
          <w:trHeight w:val="20"/>
        </w:trPr>
        <w:tc>
          <w:tcPr>
            <w:tcW w:w="3119" w:type="dxa"/>
            <w:tcBorders>
              <w:top w:val="nil"/>
              <w:left w:val="nil"/>
              <w:right w:val="nil"/>
            </w:tcBorders>
            <w:shd w:val="clear" w:color="auto" w:fill="auto"/>
            <w:noWrap/>
            <w:vAlign w:val="center"/>
            <w:hideMark/>
          </w:tcPr>
          <w:p w14:paraId="039B0D9F" w14:textId="77777777" w:rsidR="00C012F8" w:rsidRPr="00C012F8" w:rsidRDefault="00C012F8" w:rsidP="00C012F8">
            <w:pPr>
              <w:spacing w:after="0" w:line="240" w:lineRule="auto"/>
              <w:rPr>
                <w:rFonts w:ascii="Verdana" w:eastAsia="Times New Roman" w:hAnsi="Verdana" w:cs="Calibri"/>
                <w:b/>
                <w:bCs/>
                <w:color w:val="000000"/>
                <w:sz w:val="16"/>
                <w:szCs w:val="16"/>
                <w:lang w:eastAsia="pt-BR"/>
              </w:rPr>
            </w:pPr>
            <w:r w:rsidRPr="00C012F8">
              <w:rPr>
                <w:rFonts w:ascii="Verdana" w:eastAsia="Times New Roman" w:hAnsi="Verdana" w:cs="Calibri"/>
                <w:b/>
                <w:bCs/>
                <w:color w:val="000000"/>
                <w:sz w:val="16"/>
                <w:szCs w:val="16"/>
                <w:lang w:eastAsia="pt-BR"/>
              </w:rPr>
              <w:t>Lucro do período</w:t>
            </w:r>
          </w:p>
        </w:tc>
        <w:tc>
          <w:tcPr>
            <w:tcW w:w="234" w:type="dxa"/>
            <w:tcBorders>
              <w:top w:val="nil"/>
              <w:left w:val="nil"/>
              <w:right w:val="nil"/>
            </w:tcBorders>
            <w:shd w:val="clear" w:color="auto" w:fill="auto"/>
            <w:vAlign w:val="center"/>
            <w:hideMark/>
          </w:tcPr>
          <w:p w14:paraId="6E663598" w14:textId="77777777" w:rsidR="00C012F8" w:rsidRPr="00C012F8" w:rsidRDefault="00C012F8" w:rsidP="00C012F8">
            <w:pPr>
              <w:spacing w:after="0" w:line="240" w:lineRule="auto"/>
              <w:rPr>
                <w:rFonts w:ascii="Verdana" w:eastAsia="Times New Roman" w:hAnsi="Verdana" w:cs="Calibri"/>
                <w:b/>
                <w:bCs/>
                <w:color w:val="000000"/>
                <w:sz w:val="16"/>
                <w:szCs w:val="16"/>
                <w:lang w:eastAsia="pt-BR"/>
              </w:rPr>
            </w:pPr>
          </w:p>
        </w:tc>
        <w:tc>
          <w:tcPr>
            <w:tcW w:w="1642" w:type="dxa"/>
            <w:tcBorders>
              <w:top w:val="nil"/>
              <w:left w:val="nil"/>
              <w:bottom w:val="single" w:sz="4" w:space="0" w:color="auto"/>
              <w:right w:val="nil"/>
            </w:tcBorders>
            <w:shd w:val="clear" w:color="auto" w:fill="auto"/>
            <w:vAlign w:val="center"/>
            <w:hideMark/>
          </w:tcPr>
          <w:p w14:paraId="62230832" w14:textId="77777777" w:rsidR="00C012F8" w:rsidRPr="00C012F8" w:rsidRDefault="00C012F8" w:rsidP="00C012F8">
            <w:pPr>
              <w:spacing w:after="0" w:line="240" w:lineRule="auto"/>
              <w:jc w:val="right"/>
              <w:rPr>
                <w:rFonts w:ascii="Verdana" w:eastAsia="Times New Roman" w:hAnsi="Verdana" w:cs="Calibri"/>
                <w:b/>
                <w:bCs/>
                <w:color w:val="000000"/>
                <w:sz w:val="16"/>
                <w:szCs w:val="16"/>
                <w:lang w:eastAsia="pt-BR"/>
              </w:rPr>
            </w:pPr>
            <w:r w:rsidRPr="00C012F8">
              <w:rPr>
                <w:rFonts w:ascii="Verdana" w:eastAsia="Times New Roman" w:hAnsi="Verdana" w:cs="Calibri"/>
                <w:b/>
                <w:bCs/>
                <w:color w:val="000000"/>
                <w:sz w:val="16"/>
                <w:szCs w:val="16"/>
                <w:lang w:eastAsia="pt-BR"/>
              </w:rPr>
              <w:t>72.578</w:t>
            </w:r>
          </w:p>
        </w:tc>
        <w:tc>
          <w:tcPr>
            <w:tcW w:w="207" w:type="dxa"/>
            <w:tcBorders>
              <w:top w:val="nil"/>
              <w:left w:val="nil"/>
              <w:right w:val="nil"/>
            </w:tcBorders>
            <w:shd w:val="clear" w:color="auto" w:fill="auto"/>
            <w:vAlign w:val="center"/>
            <w:hideMark/>
          </w:tcPr>
          <w:p w14:paraId="74FE494B" w14:textId="77777777" w:rsidR="00C012F8" w:rsidRPr="00C012F8" w:rsidRDefault="00C012F8" w:rsidP="00C012F8">
            <w:pPr>
              <w:spacing w:after="0" w:line="240" w:lineRule="auto"/>
              <w:jc w:val="right"/>
              <w:rPr>
                <w:rFonts w:ascii="Verdana" w:eastAsia="Times New Roman" w:hAnsi="Verdana" w:cs="Calibri"/>
                <w:b/>
                <w:bCs/>
                <w:color w:val="000000"/>
                <w:sz w:val="16"/>
                <w:szCs w:val="16"/>
                <w:lang w:eastAsia="pt-BR"/>
              </w:rPr>
            </w:pPr>
          </w:p>
        </w:tc>
        <w:tc>
          <w:tcPr>
            <w:tcW w:w="1354" w:type="dxa"/>
            <w:tcBorders>
              <w:top w:val="nil"/>
              <w:left w:val="nil"/>
              <w:bottom w:val="single" w:sz="4" w:space="0" w:color="auto"/>
              <w:right w:val="nil"/>
            </w:tcBorders>
            <w:shd w:val="clear" w:color="auto" w:fill="auto"/>
            <w:vAlign w:val="center"/>
            <w:hideMark/>
          </w:tcPr>
          <w:p w14:paraId="5A4EA7FF" w14:textId="77777777" w:rsidR="00C012F8" w:rsidRPr="00C012F8" w:rsidRDefault="00C012F8" w:rsidP="00C012F8">
            <w:pPr>
              <w:spacing w:after="0" w:line="240" w:lineRule="auto"/>
              <w:jc w:val="right"/>
              <w:rPr>
                <w:rFonts w:ascii="Verdana" w:eastAsia="Times New Roman" w:hAnsi="Verdana" w:cs="Calibri"/>
                <w:b/>
                <w:bCs/>
                <w:color w:val="000000"/>
                <w:sz w:val="16"/>
                <w:szCs w:val="16"/>
                <w:lang w:eastAsia="pt-BR"/>
              </w:rPr>
            </w:pPr>
            <w:r w:rsidRPr="00C012F8">
              <w:rPr>
                <w:rFonts w:ascii="Verdana" w:eastAsia="Times New Roman" w:hAnsi="Verdana" w:cs="Calibri"/>
                <w:b/>
                <w:bCs/>
                <w:color w:val="000000"/>
                <w:sz w:val="16"/>
                <w:szCs w:val="16"/>
                <w:lang w:eastAsia="pt-BR"/>
              </w:rPr>
              <w:t>28.271</w:t>
            </w:r>
          </w:p>
        </w:tc>
        <w:tc>
          <w:tcPr>
            <w:tcW w:w="234" w:type="dxa"/>
            <w:tcBorders>
              <w:top w:val="nil"/>
              <w:left w:val="nil"/>
              <w:right w:val="nil"/>
            </w:tcBorders>
            <w:shd w:val="clear" w:color="auto" w:fill="auto"/>
            <w:noWrap/>
            <w:vAlign w:val="bottom"/>
            <w:hideMark/>
          </w:tcPr>
          <w:p w14:paraId="168FD541" w14:textId="77777777" w:rsidR="00C012F8" w:rsidRPr="00C012F8" w:rsidRDefault="00C012F8" w:rsidP="00C012F8">
            <w:pPr>
              <w:spacing w:after="0" w:line="240" w:lineRule="auto"/>
              <w:jc w:val="right"/>
              <w:rPr>
                <w:rFonts w:ascii="Verdana" w:eastAsia="Times New Roman" w:hAnsi="Verdana" w:cs="Calibri"/>
                <w:b/>
                <w:bCs/>
                <w:color w:val="000000"/>
                <w:sz w:val="16"/>
                <w:szCs w:val="16"/>
                <w:lang w:eastAsia="pt-BR"/>
              </w:rPr>
            </w:pPr>
          </w:p>
        </w:tc>
        <w:tc>
          <w:tcPr>
            <w:tcW w:w="1493" w:type="dxa"/>
            <w:tcBorders>
              <w:top w:val="nil"/>
              <w:left w:val="nil"/>
              <w:bottom w:val="single" w:sz="4" w:space="0" w:color="auto"/>
              <w:right w:val="nil"/>
            </w:tcBorders>
            <w:shd w:val="clear" w:color="auto" w:fill="auto"/>
            <w:vAlign w:val="center"/>
            <w:hideMark/>
          </w:tcPr>
          <w:p w14:paraId="26F4DC82" w14:textId="77777777" w:rsidR="00C012F8" w:rsidRPr="00C012F8" w:rsidRDefault="00C012F8" w:rsidP="00C012F8">
            <w:pPr>
              <w:spacing w:after="0" w:line="240" w:lineRule="auto"/>
              <w:jc w:val="right"/>
              <w:rPr>
                <w:rFonts w:ascii="Verdana" w:eastAsia="Times New Roman" w:hAnsi="Verdana" w:cs="Calibri"/>
                <w:b/>
                <w:bCs/>
                <w:color w:val="000000"/>
                <w:sz w:val="16"/>
                <w:szCs w:val="16"/>
                <w:lang w:eastAsia="pt-BR"/>
              </w:rPr>
            </w:pPr>
            <w:r w:rsidRPr="00C012F8">
              <w:rPr>
                <w:rFonts w:ascii="Verdana" w:eastAsia="Times New Roman" w:hAnsi="Verdana" w:cs="Calibri"/>
                <w:b/>
                <w:bCs/>
                <w:color w:val="000000"/>
                <w:sz w:val="16"/>
                <w:szCs w:val="16"/>
                <w:lang w:eastAsia="pt-BR"/>
              </w:rPr>
              <w:t>56.131</w:t>
            </w:r>
          </w:p>
        </w:tc>
        <w:tc>
          <w:tcPr>
            <w:tcW w:w="207" w:type="dxa"/>
            <w:tcBorders>
              <w:top w:val="nil"/>
              <w:left w:val="nil"/>
              <w:right w:val="nil"/>
            </w:tcBorders>
            <w:shd w:val="clear" w:color="auto" w:fill="auto"/>
            <w:noWrap/>
            <w:vAlign w:val="bottom"/>
            <w:hideMark/>
          </w:tcPr>
          <w:p w14:paraId="1ABC1C0E" w14:textId="77777777" w:rsidR="00C012F8" w:rsidRPr="00C012F8" w:rsidRDefault="00C012F8" w:rsidP="00C012F8">
            <w:pPr>
              <w:spacing w:after="0" w:line="240" w:lineRule="auto"/>
              <w:jc w:val="right"/>
              <w:rPr>
                <w:rFonts w:ascii="Verdana" w:eastAsia="Times New Roman" w:hAnsi="Verdana" w:cs="Calibri"/>
                <w:b/>
                <w:bCs/>
                <w:color w:val="000000"/>
                <w:sz w:val="16"/>
                <w:szCs w:val="16"/>
                <w:lang w:eastAsia="pt-BR"/>
              </w:rPr>
            </w:pPr>
          </w:p>
        </w:tc>
        <w:tc>
          <w:tcPr>
            <w:tcW w:w="1430" w:type="dxa"/>
            <w:tcBorders>
              <w:top w:val="nil"/>
              <w:left w:val="nil"/>
              <w:bottom w:val="single" w:sz="4" w:space="0" w:color="auto"/>
              <w:right w:val="nil"/>
            </w:tcBorders>
            <w:shd w:val="clear" w:color="auto" w:fill="auto"/>
            <w:vAlign w:val="center"/>
            <w:hideMark/>
          </w:tcPr>
          <w:p w14:paraId="3D8CFABC" w14:textId="77777777" w:rsidR="00C012F8" w:rsidRPr="00C012F8" w:rsidRDefault="00C012F8" w:rsidP="00C012F8">
            <w:pPr>
              <w:spacing w:after="0" w:line="240" w:lineRule="auto"/>
              <w:jc w:val="right"/>
              <w:rPr>
                <w:rFonts w:ascii="Verdana" w:eastAsia="Times New Roman" w:hAnsi="Verdana" w:cs="Calibri"/>
                <w:b/>
                <w:bCs/>
                <w:color w:val="000000"/>
                <w:sz w:val="16"/>
                <w:szCs w:val="16"/>
                <w:lang w:eastAsia="pt-BR"/>
              </w:rPr>
            </w:pPr>
            <w:r w:rsidRPr="00C012F8">
              <w:rPr>
                <w:rFonts w:ascii="Verdana" w:eastAsia="Times New Roman" w:hAnsi="Verdana" w:cs="Calibri"/>
                <w:b/>
                <w:bCs/>
                <w:color w:val="000000"/>
                <w:sz w:val="16"/>
                <w:szCs w:val="16"/>
                <w:lang w:eastAsia="pt-BR"/>
              </w:rPr>
              <w:t>11.824</w:t>
            </w:r>
          </w:p>
        </w:tc>
      </w:tr>
      <w:tr w:rsidR="00C012F8" w:rsidRPr="00C012F8" w14:paraId="014C0FB3" w14:textId="77777777" w:rsidTr="003072B4">
        <w:trPr>
          <w:trHeight w:val="20"/>
        </w:trPr>
        <w:tc>
          <w:tcPr>
            <w:tcW w:w="3119" w:type="dxa"/>
            <w:tcBorders>
              <w:top w:val="nil"/>
              <w:left w:val="nil"/>
              <w:right w:val="nil"/>
            </w:tcBorders>
            <w:shd w:val="clear" w:color="auto" w:fill="auto"/>
            <w:noWrap/>
            <w:vAlign w:val="center"/>
          </w:tcPr>
          <w:p w14:paraId="63B8BBFD" w14:textId="77777777" w:rsidR="00C012F8" w:rsidRPr="00C012F8" w:rsidRDefault="00C012F8" w:rsidP="00C012F8">
            <w:pPr>
              <w:spacing w:after="0" w:line="240" w:lineRule="auto"/>
              <w:rPr>
                <w:rFonts w:ascii="Verdana" w:eastAsia="Times New Roman" w:hAnsi="Verdana" w:cs="Calibri"/>
                <w:b/>
                <w:bCs/>
                <w:color w:val="000000"/>
                <w:sz w:val="16"/>
                <w:szCs w:val="16"/>
                <w:lang w:eastAsia="pt-BR"/>
              </w:rPr>
            </w:pPr>
          </w:p>
        </w:tc>
        <w:tc>
          <w:tcPr>
            <w:tcW w:w="234" w:type="dxa"/>
            <w:tcBorders>
              <w:top w:val="nil"/>
              <w:left w:val="nil"/>
              <w:right w:val="nil"/>
            </w:tcBorders>
            <w:shd w:val="clear" w:color="auto" w:fill="auto"/>
            <w:vAlign w:val="center"/>
          </w:tcPr>
          <w:p w14:paraId="4110C5C8" w14:textId="77777777" w:rsidR="00C012F8" w:rsidRPr="00C012F8" w:rsidRDefault="00C012F8" w:rsidP="00C012F8">
            <w:pPr>
              <w:spacing w:after="0" w:line="240" w:lineRule="auto"/>
              <w:rPr>
                <w:rFonts w:ascii="Verdana" w:eastAsia="Times New Roman" w:hAnsi="Verdana" w:cs="Calibri"/>
                <w:b/>
                <w:bCs/>
                <w:color w:val="000000"/>
                <w:sz w:val="16"/>
                <w:szCs w:val="16"/>
                <w:lang w:eastAsia="pt-BR"/>
              </w:rPr>
            </w:pPr>
          </w:p>
        </w:tc>
        <w:tc>
          <w:tcPr>
            <w:tcW w:w="1642" w:type="dxa"/>
            <w:tcBorders>
              <w:top w:val="single" w:sz="4" w:space="0" w:color="auto"/>
              <w:left w:val="nil"/>
              <w:right w:val="nil"/>
            </w:tcBorders>
            <w:shd w:val="clear" w:color="auto" w:fill="auto"/>
            <w:vAlign w:val="center"/>
          </w:tcPr>
          <w:p w14:paraId="3B806093" w14:textId="77777777" w:rsidR="00C012F8" w:rsidRPr="00C012F8" w:rsidRDefault="00C012F8" w:rsidP="00C012F8">
            <w:pPr>
              <w:spacing w:after="0" w:line="240" w:lineRule="auto"/>
              <w:jc w:val="right"/>
              <w:rPr>
                <w:rFonts w:ascii="Verdana" w:eastAsia="Times New Roman" w:hAnsi="Verdana" w:cs="Calibri"/>
                <w:b/>
                <w:bCs/>
                <w:color w:val="000000"/>
                <w:sz w:val="16"/>
                <w:szCs w:val="16"/>
                <w:lang w:eastAsia="pt-BR"/>
              </w:rPr>
            </w:pPr>
          </w:p>
        </w:tc>
        <w:tc>
          <w:tcPr>
            <w:tcW w:w="207" w:type="dxa"/>
            <w:tcBorders>
              <w:top w:val="nil"/>
              <w:left w:val="nil"/>
              <w:right w:val="nil"/>
            </w:tcBorders>
            <w:shd w:val="clear" w:color="auto" w:fill="auto"/>
            <w:vAlign w:val="center"/>
          </w:tcPr>
          <w:p w14:paraId="4705B5DA" w14:textId="77777777" w:rsidR="00C012F8" w:rsidRPr="00C012F8" w:rsidRDefault="00C012F8" w:rsidP="00C012F8">
            <w:pPr>
              <w:spacing w:after="0" w:line="240" w:lineRule="auto"/>
              <w:jc w:val="right"/>
              <w:rPr>
                <w:rFonts w:ascii="Verdana" w:eastAsia="Times New Roman" w:hAnsi="Verdana" w:cs="Calibri"/>
                <w:b/>
                <w:bCs/>
                <w:color w:val="000000"/>
                <w:sz w:val="16"/>
                <w:szCs w:val="16"/>
                <w:lang w:eastAsia="pt-BR"/>
              </w:rPr>
            </w:pPr>
          </w:p>
        </w:tc>
        <w:tc>
          <w:tcPr>
            <w:tcW w:w="1354" w:type="dxa"/>
            <w:tcBorders>
              <w:top w:val="single" w:sz="4" w:space="0" w:color="auto"/>
              <w:left w:val="nil"/>
              <w:right w:val="nil"/>
            </w:tcBorders>
            <w:shd w:val="clear" w:color="auto" w:fill="auto"/>
            <w:vAlign w:val="center"/>
          </w:tcPr>
          <w:p w14:paraId="411E4CDA" w14:textId="77777777" w:rsidR="00C012F8" w:rsidRPr="00C012F8" w:rsidRDefault="00C012F8" w:rsidP="00C012F8">
            <w:pPr>
              <w:spacing w:after="0" w:line="240" w:lineRule="auto"/>
              <w:jc w:val="right"/>
              <w:rPr>
                <w:rFonts w:ascii="Verdana" w:eastAsia="Times New Roman" w:hAnsi="Verdana" w:cs="Calibri"/>
                <w:b/>
                <w:bCs/>
                <w:color w:val="000000"/>
                <w:sz w:val="16"/>
                <w:szCs w:val="16"/>
                <w:lang w:eastAsia="pt-BR"/>
              </w:rPr>
            </w:pPr>
          </w:p>
        </w:tc>
        <w:tc>
          <w:tcPr>
            <w:tcW w:w="234" w:type="dxa"/>
            <w:tcBorders>
              <w:top w:val="nil"/>
              <w:left w:val="nil"/>
              <w:right w:val="nil"/>
            </w:tcBorders>
            <w:shd w:val="clear" w:color="auto" w:fill="auto"/>
            <w:noWrap/>
            <w:vAlign w:val="bottom"/>
          </w:tcPr>
          <w:p w14:paraId="42772D2C" w14:textId="77777777" w:rsidR="00C012F8" w:rsidRPr="00C012F8" w:rsidRDefault="00C012F8" w:rsidP="00C012F8">
            <w:pPr>
              <w:spacing w:after="0" w:line="240" w:lineRule="auto"/>
              <w:jc w:val="right"/>
              <w:rPr>
                <w:rFonts w:ascii="Verdana" w:eastAsia="Times New Roman" w:hAnsi="Verdana" w:cs="Calibri"/>
                <w:b/>
                <w:bCs/>
                <w:color w:val="000000"/>
                <w:sz w:val="16"/>
                <w:szCs w:val="16"/>
                <w:lang w:eastAsia="pt-BR"/>
              </w:rPr>
            </w:pPr>
          </w:p>
        </w:tc>
        <w:tc>
          <w:tcPr>
            <w:tcW w:w="1493" w:type="dxa"/>
            <w:tcBorders>
              <w:top w:val="single" w:sz="4" w:space="0" w:color="auto"/>
              <w:left w:val="nil"/>
              <w:right w:val="nil"/>
            </w:tcBorders>
            <w:shd w:val="clear" w:color="auto" w:fill="auto"/>
            <w:vAlign w:val="center"/>
          </w:tcPr>
          <w:p w14:paraId="710CD2FD" w14:textId="77777777" w:rsidR="00C012F8" w:rsidRPr="00C012F8" w:rsidRDefault="00C012F8" w:rsidP="00C012F8">
            <w:pPr>
              <w:spacing w:after="0" w:line="240" w:lineRule="auto"/>
              <w:jc w:val="right"/>
              <w:rPr>
                <w:rFonts w:ascii="Verdana" w:eastAsia="Times New Roman" w:hAnsi="Verdana" w:cs="Calibri"/>
                <w:b/>
                <w:bCs/>
                <w:color w:val="000000"/>
                <w:sz w:val="16"/>
                <w:szCs w:val="16"/>
                <w:lang w:eastAsia="pt-BR"/>
              </w:rPr>
            </w:pPr>
          </w:p>
        </w:tc>
        <w:tc>
          <w:tcPr>
            <w:tcW w:w="207" w:type="dxa"/>
            <w:tcBorders>
              <w:top w:val="nil"/>
              <w:left w:val="nil"/>
              <w:right w:val="nil"/>
            </w:tcBorders>
            <w:shd w:val="clear" w:color="auto" w:fill="auto"/>
            <w:noWrap/>
            <w:vAlign w:val="bottom"/>
          </w:tcPr>
          <w:p w14:paraId="1407243B" w14:textId="77777777" w:rsidR="00C012F8" w:rsidRPr="00C012F8" w:rsidRDefault="00C012F8" w:rsidP="00C012F8">
            <w:pPr>
              <w:spacing w:after="0" w:line="240" w:lineRule="auto"/>
              <w:jc w:val="right"/>
              <w:rPr>
                <w:rFonts w:ascii="Verdana" w:eastAsia="Times New Roman" w:hAnsi="Verdana" w:cs="Calibri"/>
                <w:b/>
                <w:bCs/>
                <w:color w:val="000000"/>
                <w:sz w:val="16"/>
                <w:szCs w:val="16"/>
                <w:lang w:eastAsia="pt-BR"/>
              </w:rPr>
            </w:pPr>
          </w:p>
        </w:tc>
        <w:tc>
          <w:tcPr>
            <w:tcW w:w="1430" w:type="dxa"/>
            <w:tcBorders>
              <w:top w:val="single" w:sz="4" w:space="0" w:color="auto"/>
              <w:left w:val="nil"/>
              <w:right w:val="nil"/>
            </w:tcBorders>
            <w:shd w:val="clear" w:color="auto" w:fill="auto"/>
            <w:vAlign w:val="center"/>
          </w:tcPr>
          <w:p w14:paraId="7105A9B2" w14:textId="77777777" w:rsidR="00C012F8" w:rsidRPr="00C012F8" w:rsidRDefault="00C012F8" w:rsidP="00C012F8">
            <w:pPr>
              <w:spacing w:after="0" w:line="240" w:lineRule="auto"/>
              <w:jc w:val="right"/>
              <w:rPr>
                <w:rFonts w:ascii="Verdana" w:eastAsia="Times New Roman" w:hAnsi="Verdana" w:cs="Calibri"/>
                <w:b/>
                <w:bCs/>
                <w:color w:val="000000"/>
                <w:sz w:val="16"/>
                <w:szCs w:val="16"/>
                <w:lang w:eastAsia="pt-BR"/>
              </w:rPr>
            </w:pPr>
          </w:p>
        </w:tc>
      </w:tr>
      <w:tr w:rsidR="00C012F8" w:rsidRPr="00C012F8" w14:paraId="16A633C5" w14:textId="77777777" w:rsidTr="003072B4">
        <w:trPr>
          <w:trHeight w:val="20"/>
        </w:trPr>
        <w:tc>
          <w:tcPr>
            <w:tcW w:w="3119" w:type="dxa"/>
            <w:tcBorders>
              <w:top w:val="nil"/>
              <w:left w:val="nil"/>
              <w:bottom w:val="nil"/>
              <w:right w:val="nil"/>
            </w:tcBorders>
            <w:shd w:val="clear" w:color="auto" w:fill="auto"/>
            <w:noWrap/>
            <w:vAlign w:val="bottom"/>
            <w:hideMark/>
          </w:tcPr>
          <w:p w14:paraId="7E7004C3" w14:textId="77777777" w:rsidR="00C012F8" w:rsidRPr="00C012F8" w:rsidRDefault="00C012F8" w:rsidP="00C012F8">
            <w:pPr>
              <w:spacing w:after="0" w:line="240" w:lineRule="auto"/>
              <w:jc w:val="right"/>
              <w:rPr>
                <w:rFonts w:ascii="Verdana" w:eastAsia="Times New Roman" w:hAnsi="Verdana" w:cs="Calibri"/>
                <w:b/>
                <w:bCs/>
                <w:color w:val="000000"/>
                <w:sz w:val="16"/>
                <w:szCs w:val="16"/>
                <w:lang w:eastAsia="pt-BR"/>
              </w:rPr>
            </w:pPr>
          </w:p>
        </w:tc>
        <w:tc>
          <w:tcPr>
            <w:tcW w:w="234" w:type="dxa"/>
            <w:tcBorders>
              <w:top w:val="nil"/>
              <w:left w:val="nil"/>
              <w:bottom w:val="nil"/>
              <w:right w:val="nil"/>
            </w:tcBorders>
            <w:shd w:val="clear" w:color="auto" w:fill="auto"/>
            <w:noWrap/>
            <w:vAlign w:val="center"/>
            <w:hideMark/>
          </w:tcPr>
          <w:p w14:paraId="2A73AC4B"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1642" w:type="dxa"/>
            <w:tcBorders>
              <w:top w:val="nil"/>
              <w:left w:val="nil"/>
              <w:right w:val="nil"/>
            </w:tcBorders>
            <w:shd w:val="clear" w:color="auto" w:fill="auto"/>
            <w:noWrap/>
            <w:vAlign w:val="bottom"/>
            <w:hideMark/>
          </w:tcPr>
          <w:p w14:paraId="32A5920A"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207" w:type="dxa"/>
            <w:tcBorders>
              <w:top w:val="nil"/>
              <w:left w:val="nil"/>
              <w:right w:val="nil"/>
            </w:tcBorders>
            <w:shd w:val="clear" w:color="auto" w:fill="auto"/>
            <w:noWrap/>
            <w:vAlign w:val="bottom"/>
            <w:hideMark/>
          </w:tcPr>
          <w:p w14:paraId="14E0467A"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1354" w:type="dxa"/>
            <w:tcBorders>
              <w:top w:val="nil"/>
              <w:left w:val="nil"/>
              <w:right w:val="nil"/>
            </w:tcBorders>
            <w:shd w:val="clear" w:color="auto" w:fill="auto"/>
            <w:noWrap/>
            <w:vAlign w:val="bottom"/>
            <w:hideMark/>
          </w:tcPr>
          <w:p w14:paraId="7AFC7CAD"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234" w:type="dxa"/>
            <w:tcBorders>
              <w:top w:val="nil"/>
              <w:left w:val="nil"/>
              <w:right w:val="nil"/>
            </w:tcBorders>
            <w:shd w:val="clear" w:color="auto" w:fill="auto"/>
            <w:noWrap/>
            <w:vAlign w:val="bottom"/>
            <w:hideMark/>
          </w:tcPr>
          <w:p w14:paraId="4347E831"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1493" w:type="dxa"/>
            <w:tcBorders>
              <w:top w:val="nil"/>
              <w:left w:val="nil"/>
              <w:right w:val="nil"/>
            </w:tcBorders>
            <w:shd w:val="clear" w:color="auto" w:fill="auto"/>
            <w:noWrap/>
            <w:vAlign w:val="bottom"/>
            <w:hideMark/>
          </w:tcPr>
          <w:p w14:paraId="38A376A5"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207" w:type="dxa"/>
            <w:tcBorders>
              <w:top w:val="nil"/>
              <w:left w:val="nil"/>
              <w:right w:val="nil"/>
            </w:tcBorders>
            <w:shd w:val="clear" w:color="auto" w:fill="auto"/>
            <w:noWrap/>
            <w:vAlign w:val="bottom"/>
            <w:hideMark/>
          </w:tcPr>
          <w:p w14:paraId="720B5F6C"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1430" w:type="dxa"/>
            <w:tcBorders>
              <w:top w:val="nil"/>
              <w:left w:val="nil"/>
              <w:right w:val="nil"/>
            </w:tcBorders>
            <w:shd w:val="clear" w:color="auto" w:fill="auto"/>
            <w:noWrap/>
            <w:vAlign w:val="bottom"/>
            <w:hideMark/>
          </w:tcPr>
          <w:p w14:paraId="39589703"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r>
      <w:tr w:rsidR="00C012F8" w:rsidRPr="00C012F8" w14:paraId="77185C0E" w14:textId="77777777" w:rsidTr="003072B4">
        <w:trPr>
          <w:trHeight w:val="20"/>
        </w:trPr>
        <w:tc>
          <w:tcPr>
            <w:tcW w:w="3119" w:type="dxa"/>
            <w:tcBorders>
              <w:top w:val="nil"/>
              <w:left w:val="nil"/>
              <w:bottom w:val="nil"/>
              <w:right w:val="nil"/>
            </w:tcBorders>
            <w:shd w:val="clear" w:color="auto" w:fill="auto"/>
            <w:noWrap/>
            <w:vAlign w:val="center"/>
            <w:hideMark/>
          </w:tcPr>
          <w:p w14:paraId="011CD2B4" w14:textId="77777777" w:rsidR="00C012F8" w:rsidRPr="00C012F8" w:rsidRDefault="00C012F8" w:rsidP="00C012F8">
            <w:pPr>
              <w:spacing w:after="0" w:line="240" w:lineRule="auto"/>
              <w:rPr>
                <w:rFonts w:ascii="Verdana" w:eastAsia="Times New Roman" w:hAnsi="Verdana" w:cs="Calibri"/>
                <w:color w:val="000000"/>
                <w:sz w:val="16"/>
                <w:szCs w:val="16"/>
                <w:lang w:eastAsia="pt-BR"/>
              </w:rPr>
            </w:pPr>
            <w:r w:rsidRPr="00C012F8">
              <w:rPr>
                <w:rFonts w:ascii="Verdana" w:eastAsia="Times New Roman" w:hAnsi="Verdana" w:cs="Calibri"/>
                <w:color w:val="000000"/>
                <w:sz w:val="16"/>
                <w:szCs w:val="16"/>
                <w:lang w:eastAsia="pt-BR"/>
              </w:rPr>
              <w:t>Ajustes acumulados de conversão</w:t>
            </w:r>
          </w:p>
        </w:tc>
        <w:tc>
          <w:tcPr>
            <w:tcW w:w="234" w:type="dxa"/>
            <w:tcBorders>
              <w:top w:val="nil"/>
              <w:left w:val="nil"/>
              <w:bottom w:val="nil"/>
              <w:right w:val="nil"/>
            </w:tcBorders>
            <w:shd w:val="clear" w:color="auto" w:fill="auto"/>
            <w:vAlign w:val="center"/>
            <w:hideMark/>
          </w:tcPr>
          <w:p w14:paraId="49CBF777" w14:textId="77777777" w:rsidR="00C012F8" w:rsidRPr="00C012F8" w:rsidRDefault="00C012F8" w:rsidP="00C012F8">
            <w:pPr>
              <w:spacing w:after="0" w:line="240" w:lineRule="auto"/>
              <w:rPr>
                <w:rFonts w:ascii="Verdana" w:eastAsia="Times New Roman" w:hAnsi="Verdana" w:cs="Calibri"/>
                <w:color w:val="000000"/>
                <w:sz w:val="16"/>
                <w:szCs w:val="16"/>
                <w:lang w:eastAsia="pt-BR"/>
              </w:rPr>
            </w:pPr>
          </w:p>
        </w:tc>
        <w:tc>
          <w:tcPr>
            <w:tcW w:w="1642" w:type="dxa"/>
            <w:tcBorders>
              <w:top w:val="nil"/>
              <w:left w:val="nil"/>
              <w:bottom w:val="nil"/>
              <w:right w:val="nil"/>
            </w:tcBorders>
            <w:shd w:val="clear" w:color="auto" w:fill="auto"/>
            <w:vAlign w:val="center"/>
            <w:hideMark/>
          </w:tcPr>
          <w:p w14:paraId="30E1734A" w14:textId="77777777" w:rsidR="00C012F8" w:rsidRPr="00C012F8" w:rsidRDefault="00C012F8" w:rsidP="00C012F8">
            <w:pPr>
              <w:spacing w:after="0" w:line="240" w:lineRule="auto"/>
              <w:jc w:val="right"/>
              <w:rPr>
                <w:rFonts w:ascii="Verdana" w:eastAsia="Times New Roman" w:hAnsi="Verdana" w:cs="Calibri"/>
                <w:color w:val="000000"/>
                <w:sz w:val="16"/>
                <w:szCs w:val="16"/>
                <w:lang w:eastAsia="pt-BR"/>
              </w:rPr>
            </w:pPr>
            <w:r w:rsidRPr="00C012F8">
              <w:rPr>
                <w:rFonts w:ascii="Verdana" w:eastAsia="Times New Roman" w:hAnsi="Verdana" w:cs="Calibri"/>
                <w:color w:val="000000"/>
                <w:sz w:val="16"/>
                <w:szCs w:val="16"/>
                <w:lang w:eastAsia="pt-BR"/>
              </w:rPr>
              <w:t>6.305</w:t>
            </w:r>
          </w:p>
        </w:tc>
        <w:tc>
          <w:tcPr>
            <w:tcW w:w="207" w:type="dxa"/>
            <w:tcBorders>
              <w:top w:val="nil"/>
              <w:left w:val="nil"/>
              <w:bottom w:val="nil"/>
              <w:right w:val="nil"/>
            </w:tcBorders>
            <w:shd w:val="clear" w:color="auto" w:fill="auto"/>
            <w:vAlign w:val="center"/>
            <w:hideMark/>
          </w:tcPr>
          <w:p w14:paraId="5410A1C4" w14:textId="77777777" w:rsidR="00C012F8" w:rsidRPr="00C012F8" w:rsidRDefault="00C012F8" w:rsidP="00C012F8">
            <w:pPr>
              <w:spacing w:after="0" w:line="240" w:lineRule="auto"/>
              <w:jc w:val="right"/>
              <w:rPr>
                <w:rFonts w:ascii="Verdana" w:eastAsia="Times New Roman" w:hAnsi="Verdana" w:cs="Calibri"/>
                <w:color w:val="000000"/>
                <w:sz w:val="16"/>
                <w:szCs w:val="16"/>
                <w:lang w:eastAsia="pt-BR"/>
              </w:rPr>
            </w:pPr>
          </w:p>
        </w:tc>
        <w:tc>
          <w:tcPr>
            <w:tcW w:w="1354" w:type="dxa"/>
            <w:tcBorders>
              <w:top w:val="nil"/>
              <w:left w:val="nil"/>
              <w:bottom w:val="nil"/>
              <w:right w:val="nil"/>
            </w:tcBorders>
            <w:shd w:val="clear" w:color="auto" w:fill="auto"/>
            <w:vAlign w:val="center"/>
            <w:hideMark/>
          </w:tcPr>
          <w:p w14:paraId="1D1ACBC6" w14:textId="77777777" w:rsidR="00C012F8" w:rsidRPr="00C012F8" w:rsidRDefault="00C012F8" w:rsidP="00C012F8">
            <w:pPr>
              <w:spacing w:after="0" w:line="240" w:lineRule="auto"/>
              <w:jc w:val="right"/>
              <w:rPr>
                <w:rFonts w:ascii="Verdana" w:eastAsia="Times New Roman" w:hAnsi="Verdana" w:cs="Calibri"/>
                <w:color w:val="000000"/>
                <w:sz w:val="16"/>
                <w:szCs w:val="16"/>
                <w:lang w:eastAsia="pt-BR"/>
              </w:rPr>
            </w:pPr>
            <w:r w:rsidRPr="00C012F8">
              <w:rPr>
                <w:rFonts w:ascii="Verdana" w:eastAsia="Times New Roman" w:hAnsi="Verdana" w:cs="Calibri"/>
                <w:color w:val="000000"/>
                <w:sz w:val="16"/>
                <w:szCs w:val="16"/>
                <w:lang w:eastAsia="pt-BR"/>
              </w:rPr>
              <w:t>6.305</w:t>
            </w:r>
          </w:p>
        </w:tc>
        <w:tc>
          <w:tcPr>
            <w:tcW w:w="234" w:type="dxa"/>
            <w:tcBorders>
              <w:top w:val="nil"/>
              <w:left w:val="nil"/>
              <w:bottom w:val="nil"/>
              <w:right w:val="nil"/>
            </w:tcBorders>
            <w:shd w:val="clear" w:color="auto" w:fill="auto"/>
            <w:noWrap/>
            <w:vAlign w:val="bottom"/>
            <w:hideMark/>
          </w:tcPr>
          <w:p w14:paraId="2808302A" w14:textId="77777777" w:rsidR="00C012F8" w:rsidRPr="00C012F8" w:rsidRDefault="00C012F8" w:rsidP="00C012F8">
            <w:pPr>
              <w:spacing w:after="0" w:line="240" w:lineRule="auto"/>
              <w:jc w:val="right"/>
              <w:rPr>
                <w:rFonts w:ascii="Verdana" w:eastAsia="Times New Roman" w:hAnsi="Verdana" w:cs="Calibri"/>
                <w:color w:val="000000"/>
                <w:sz w:val="16"/>
                <w:szCs w:val="16"/>
                <w:lang w:eastAsia="pt-BR"/>
              </w:rPr>
            </w:pPr>
          </w:p>
        </w:tc>
        <w:tc>
          <w:tcPr>
            <w:tcW w:w="1493" w:type="dxa"/>
            <w:tcBorders>
              <w:top w:val="nil"/>
              <w:left w:val="nil"/>
              <w:bottom w:val="nil"/>
              <w:right w:val="nil"/>
            </w:tcBorders>
            <w:shd w:val="clear" w:color="auto" w:fill="auto"/>
            <w:vAlign w:val="center"/>
            <w:hideMark/>
          </w:tcPr>
          <w:p w14:paraId="5D2C8ECD" w14:textId="77777777" w:rsidR="00C012F8" w:rsidRPr="00C012F8" w:rsidRDefault="00C012F8" w:rsidP="00C012F8">
            <w:pPr>
              <w:spacing w:after="0" w:line="240" w:lineRule="auto"/>
              <w:jc w:val="right"/>
              <w:rPr>
                <w:rFonts w:ascii="Verdana" w:eastAsia="Times New Roman" w:hAnsi="Verdana" w:cs="Calibri"/>
                <w:color w:val="000000"/>
                <w:sz w:val="16"/>
                <w:szCs w:val="16"/>
                <w:lang w:eastAsia="pt-BR"/>
              </w:rPr>
            </w:pPr>
            <w:r w:rsidRPr="00C012F8">
              <w:rPr>
                <w:rFonts w:ascii="Verdana" w:eastAsia="Times New Roman" w:hAnsi="Verdana" w:cs="Calibri"/>
                <w:color w:val="000000"/>
                <w:sz w:val="16"/>
                <w:szCs w:val="16"/>
                <w:lang w:eastAsia="pt-BR"/>
              </w:rPr>
              <w:t>6.305</w:t>
            </w:r>
          </w:p>
        </w:tc>
        <w:tc>
          <w:tcPr>
            <w:tcW w:w="207" w:type="dxa"/>
            <w:tcBorders>
              <w:top w:val="nil"/>
              <w:left w:val="nil"/>
              <w:bottom w:val="nil"/>
              <w:right w:val="nil"/>
            </w:tcBorders>
            <w:shd w:val="clear" w:color="auto" w:fill="auto"/>
            <w:noWrap/>
            <w:vAlign w:val="bottom"/>
            <w:hideMark/>
          </w:tcPr>
          <w:p w14:paraId="116F3C9F" w14:textId="77777777" w:rsidR="00C012F8" w:rsidRPr="00C012F8" w:rsidRDefault="00C012F8" w:rsidP="00C012F8">
            <w:pPr>
              <w:spacing w:after="0" w:line="240" w:lineRule="auto"/>
              <w:jc w:val="right"/>
              <w:rPr>
                <w:rFonts w:ascii="Verdana" w:eastAsia="Times New Roman" w:hAnsi="Verdana" w:cs="Calibri"/>
                <w:color w:val="000000"/>
                <w:sz w:val="16"/>
                <w:szCs w:val="16"/>
                <w:lang w:eastAsia="pt-BR"/>
              </w:rPr>
            </w:pPr>
          </w:p>
        </w:tc>
        <w:tc>
          <w:tcPr>
            <w:tcW w:w="1430" w:type="dxa"/>
            <w:tcBorders>
              <w:top w:val="nil"/>
              <w:left w:val="nil"/>
              <w:bottom w:val="nil"/>
              <w:right w:val="nil"/>
            </w:tcBorders>
            <w:shd w:val="clear" w:color="auto" w:fill="auto"/>
            <w:vAlign w:val="center"/>
            <w:hideMark/>
          </w:tcPr>
          <w:p w14:paraId="737553AF" w14:textId="77777777" w:rsidR="00C012F8" w:rsidRPr="00C012F8" w:rsidRDefault="00C012F8" w:rsidP="00C012F8">
            <w:pPr>
              <w:spacing w:after="0" w:line="240" w:lineRule="auto"/>
              <w:jc w:val="right"/>
              <w:rPr>
                <w:rFonts w:ascii="Verdana" w:eastAsia="Times New Roman" w:hAnsi="Verdana" w:cs="Calibri"/>
                <w:color w:val="000000"/>
                <w:sz w:val="16"/>
                <w:szCs w:val="16"/>
                <w:lang w:eastAsia="pt-BR"/>
              </w:rPr>
            </w:pPr>
            <w:r w:rsidRPr="00C012F8">
              <w:rPr>
                <w:rFonts w:ascii="Verdana" w:eastAsia="Times New Roman" w:hAnsi="Verdana" w:cs="Calibri"/>
                <w:color w:val="000000"/>
                <w:sz w:val="16"/>
                <w:szCs w:val="16"/>
                <w:lang w:eastAsia="pt-BR"/>
              </w:rPr>
              <w:t>6.305</w:t>
            </w:r>
          </w:p>
        </w:tc>
      </w:tr>
      <w:tr w:rsidR="00C012F8" w:rsidRPr="00C012F8" w14:paraId="65D6B315" w14:textId="77777777" w:rsidTr="003072B4">
        <w:trPr>
          <w:trHeight w:val="20"/>
        </w:trPr>
        <w:tc>
          <w:tcPr>
            <w:tcW w:w="3119" w:type="dxa"/>
            <w:tcBorders>
              <w:top w:val="nil"/>
              <w:left w:val="nil"/>
              <w:bottom w:val="nil"/>
              <w:right w:val="nil"/>
            </w:tcBorders>
            <w:shd w:val="clear" w:color="auto" w:fill="auto"/>
            <w:noWrap/>
            <w:vAlign w:val="center"/>
            <w:hideMark/>
          </w:tcPr>
          <w:p w14:paraId="7C906C1C" w14:textId="77777777" w:rsidR="00C012F8" w:rsidRPr="00C012F8" w:rsidRDefault="00C012F8" w:rsidP="00C012F8">
            <w:pPr>
              <w:spacing w:after="0" w:line="240" w:lineRule="auto"/>
              <w:jc w:val="right"/>
              <w:rPr>
                <w:rFonts w:ascii="Verdana" w:eastAsia="Times New Roman" w:hAnsi="Verdana" w:cs="Calibri"/>
                <w:color w:val="000000"/>
                <w:sz w:val="16"/>
                <w:szCs w:val="16"/>
                <w:lang w:eastAsia="pt-BR"/>
              </w:rPr>
            </w:pPr>
          </w:p>
        </w:tc>
        <w:tc>
          <w:tcPr>
            <w:tcW w:w="234" w:type="dxa"/>
            <w:tcBorders>
              <w:top w:val="nil"/>
              <w:left w:val="nil"/>
              <w:bottom w:val="nil"/>
              <w:right w:val="nil"/>
            </w:tcBorders>
            <w:shd w:val="clear" w:color="auto" w:fill="auto"/>
            <w:noWrap/>
            <w:vAlign w:val="center"/>
            <w:hideMark/>
          </w:tcPr>
          <w:p w14:paraId="4B906515"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1642" w:type="dxa"/>
            <w:tcBorders>
              <w:top w:val="nil"/>
              <w:left w:val="nil"/>
              <w:bottom w:val="nil"/>
              <w:right w:val="nil"/>
            </w:tcBorders>
            <w:shd w:val="clear" w:color="auto" w:fill="auto"/>
            <w:vAlign w:val="center"/>
            <w:hideMark/>
          </w:tcPr>
          <w:p w14:paraId="7D82BAA8"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207" w:type="dxa"/>
            <w:tcBorders>
              <w:top w:val="nil"/>
              <w:left w:val="nil"/>
              <w:bottom w:val="nil"/>
              <w:right w:val="nil"/>
            </w:tcBorders>
            <w:shd w:val="clear" w:color="auto" w:fill="auto"/>
            <w:vAlign w:val="center"/>
            <w:hideMark/>
          </w:tcPr>
          <w:p w14:paraId="1B3FABAE"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1354" w:type="dxa"/>
            <w:tcBorders>
              <w:top w:val="nil"/>
              <w:left w:val="nil"/>
              <w:bottom w:val="nil"/>
              <w:right w:val="nil"/>
            </w:tcBorders>
            <w:shd w:val="clear" w:color="auto" w:fill="auto"/>
            <w:vAlign w:val="center"/>
            <w:hideMark/>
          </w:tcPr>
          <w:p w14:paraId="74A9F45F"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234" w:type="dxa"/>
            <w:tcBorders>
              <w:top w:val="nil"/>
              <w:left w:val="nil"/>
              <w:bottom w:val="nil"/>
              <w:right w:val="nil"/>
            </w:tcBorders>
            <w:shd w:val="clear" w:color="auto" w:fill="auto"/>
            <w:noWrap/>
            <w:vAlign w:val="bottom"/>
            <w:hideMark/>
          </w:tcPr>
          <w:p w14:paraId="3710C943"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1493" w:type="dxa"/>
            <w:tcBorders>
              <w:top w:val="nil"/>
              <w:left w:val="nil"/>
              <w:bottom w:val="nil"/>
              <w:right w:val="nil"/>
            </w:tcBorders>
            <w:shd w:val="clear" w:color="auto" w:fill="auto"/>
            <w:vAlign w:val="center"/>
            <w:hideMark/>
          </w:tcPr>
          <w:p w14:paraId="1A05E6C9"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207" w:type="dxa"/>
            <w:tcBorders>
              <w:top w:val="nil"/>
              <w:left w:val="nil"/>
              <w:bottom w:val="nil"/>
              <w:right w:val="nil"/>
            </w:tcBorders>
            <w:shd w:val="clear" w:color="auto" w:fill="auto"/>
            <w:noWrap/>
            <w:vAlign w:val="bottom"/>
            <w:hideMark/>
          </w:tcPr>
          <w:p w14:paraId="6F735F85"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1430" w:type="dxa"/>
            <w:tcBorders>
              <w:top w:val="nil"/>
              <w:left w:val="nil"/>
              <w:bottom w:val="nil"/>
              <w:right w:val="nil"/>
            </w:tcBorders>
            <w:shd w:val="clear" w:color="auto" w:fill="auto"/>
            <w:vAlign w:val="center"/>
            <w:hideMark/>
          </w:tcPr>
          <w:p w14:paraId="38245B7E"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r>
      <w:tr w:rsidR="00C012F8" w:rsidRPr="00C012F8" w14:paraId="5328730A" w14:textId="77777777" w:rsidTr="003072B4">
        <w:trPr>
          <w:trHeight w:val="20"/>
        </w:trPr>
        <w:tc>
          <w:tcPr>
            <w:tcW w:w="3119" w:type="dxa"/>
            <w:tcBorders>
              <w:left w:val="nil"/>
              <w:bottom w:val="nil"/>
              <w:right w:val="nil"/>
            </w:tcBorders>
            <w:shd w:val="clear" w:color="auto" w:fill="auto"/>
            <w:noWrap/>
            <w:vAlign w:val="center"/>
            <w:hideMark/>
          </w:tcPr>
          <w:p w14:paraId="78A12350"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234" w:type="dxa"/>
            <w:tcBorders>
              <w:left w:val="nil"/>
              <w:bottom w:val="nil"/>
              <w:right w:val="nil"/>
            </w:tcBorders>
            <w:shd w:val="clear" w:color="auto" w:fill="auto"/>
            <w:vAlign w:val="center"/>
            <w:hideMark/>
          </w:tcPr>
          <w:p w14:paraId="58D4A979"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1642" w:type="dxa"/>
            <w:tcBorders>
              <w:left w:val="nil"/>
              <w:bottom w:val="single" w:sz="4" w:space="0" w:color="auto"/>
              <w:right w:val="nil"/>
            </w:tcBorders>
            <w:shd w:val="clear" w:color="auto" w:fill="auto"/>
            <w:vAlign w:val="center"/>
            <w:hideMark/>
          </w:tcPr>
          <w:p w14:paraId="71767912" w14:textId="77777777" w:rsidR="00C012F8" w:rsidRPr="00C012F8" w:rsidRDefault="00C012F8" w:rsidP="00C012F8">
            <w:pPr>
              <w:spacing w:after="0" w:line="240" w:lineRule="auto"/>
              <w:rPr>
                <w:rFonts w:ascii="Calibri" w:eastAsia="Times New Roman" w:hAnsi="Calibri" w:cs="Calibri"/>
                <w:color w:val="000000"/>
                <w:lang w:eastAsia="pt-BR"/>
              </w:rPr>
            </w:pPr>
            <w:r w:rsidRPr="00C012F8">
              <w:rPr>
                <w:rFonts w:ascii="Calibri" w:eastAsia="Times New Roman" w:hAnsi="Calibri" w:cs="Calibri"/>
                <w:color w:val="000000"/>
                <w:lang w:eastAsia="pt-BR"/>
              </w:rPr>
              <w:t> </w:t>
            </w:r>
          </w:p>
        </w:tc>
        <w:tc>
          <w:tcPr>
            <w:tcW w:w="207" w:type="dxa"/>
            <w:tcBorders>
              <w:left w:val="nil"/>
              <w:bottom w:val="nil"/>
              <w:right w:val="nil"/>
            </w:tcBorders>
            <w:shd w:val="clear" w:color="auto" w:fill="auto"/>
            <w:vAlign w:val="center"/>
            <w:hideMark/>
          </w:tcPr>
          <w:p w14:paraId="690F99E1" w14:textId="77777777" w:rsidR="00C012F8" w:rsidRPr="00C012F8" w:rsidRDefault="00C012F8" w:rsidP="00C012F8">
            <w:pPr>
              <w:spacing w:after="0" w:line="240" w:lineRule="auto"/>
              <w:rPr>
                <w:rFonts w:ascii="Calibri" w:eastAsia="Times New Roman" w:hAnsi="Calibri" w:cs="Calibri"/>
                <w:color w:val="000000"/>
                <w:lang w:eastAsia="pt-BR"/>
              </w:rPr>
            </w:pPr>
          </w:p>
        </w:tc>
        <w:tc>
          <w:tcPr>
            <w:tcW w:w="1354" w:type="dxa"/>
            <w:tcBorders>
              <w:left w:val="nil"/>
              <w:bottom w:val="single" w:sz="4" w:space="0" w:color="auto"/>
              <w:right w:val="nil"/>
            </w:tcBorders>
            <w:shd w:val="clear" w:color="auto" w:fill="auto"/>
            <w:vAlign w:val="center"/>
            <w:hideMark/>
          </w:tcPr>
          <w:p w14:paraId="168F2DC6" w14:textId="77777777" w:rsidR="00C012F8" w:rsidRPr="00C012F8" w:rsidRDefault="00C012F8" w:rsidP="00C012F8">
            <w:pPr>
              <w:spacing w:after="0" w:line="240" w:lineRule="auto"/>
              <w:rPr>
                <w:rFonts w:ascii="Calibri" w:eastAsia="Times New Roman" w:hAnsi="Calibri" w:cs="Calibri"/>
                <w:color w:val="000000"/>
                <w:lang w:eastAsia="pt-BR"/>
              </w:rPr>
            </w:pPr>
            <w:r w:rsidRPr="00C012F8">
              <w:rPr>
                <w:rFonts w:ascii="Calibri" w:eastAsia="Times New Roman" w:hAnsi="Calibri" w:cs="Calibri"/>
                <w:color w:val="000000"/>
                <w:lang w:eastAsia="pt-BR"/>
              </w:rPr>
              <w:t> </w:t>
            </w:r>
          </w:p>
        </w:tc>
        <w:tc>
          <w:tcPr>
            <w:tcW w:w="234" w:type="dxa"/>
            <w:tcBorders>
              <w:left w:val="nil"/>
              <w:bottom w:val="nil"/>
              <w:right w:val="nil"/>
            </w:tcBorders>
            <w:shd w:val="clear" w:color="auto" w:fill="auto"/>
            <w:noWrap/>
            <w:vAlign w:val="bottom"/>
            <w:hideMark/>
          </w:tcPr>
          <w:p w14:paraId="0DDBC107" w14:textId="77777777" w:rsidR="00C012F8" w:rsidRPr="00C012F8" w:rsidRDefault="00C012F8" w:rsidP="00C012F8">
            <w:pPr>
              <w:spacing w:after="0" w:line="240" w:lineRule="auto"/>
              <w:rPr>
                <w:rFonts w:ascii="Calibri" w:eastAsia="Times New Roman" w:hAnsi="Calibri" w:cs="Calibri"/>
                <w:color w:val="000000"/>
                <w:lang w:eastAsia="pt-BR"/>
              </w:rPr>
            </w:pPr>
          </w:p>
        </w:tc>
        <w:tc>
          <w:tcPr>
            <w:tcW w:w="1493" w:type="dxa"/>
            <w:tcBorders>
              <w:left w:val="nil"/>
              <w:bottom w:val="single" w:sz="4" w:space="0" w:color="auto"/>
              <w:right w:val="nil"/>
            </w:tcBorders>
            <w:shd w:val="clear" w:color="auto" w:fill="auto"/>
            <w:vAlign w:val="center"/>
            <w:hideMark/>
          </w:tcPr>
          <w:p w14:paraId="4288D095" w14:textId="77777777" w:rsidR="00C012F8" w:rsidRPr="00C012F8" w:rsidRDefault="00C012F8" w:rsidP="00C012F8">
            <w:pPr>
              <w:spacing w:after="0" w:line="240" w:lineRule="auto"/>
              <w:rPr>
                <w:rFonts w:ascii="Calibri" w:eastAsia="Times New Roman" w:hAnsi="Calibri" w:cs="Calibri"/>
                <w:color w:val="000000"/>
                <w:lang w:eastAsia="pt-BR"/>
              </w:rPr>
            </w:pPr>
            <w:r w:rsidRPr="00C012F8">
              <w:rPr>
                <w:rFonts w:ascii="Calibri" w:eastAsia="Times New Roman" w:hAnsi="Calibri" w:cs="Calibri"/>
                <w:color w:val="000000"/>
                <w:lang w:eastAsia="pt-BR"/>
              </w:rPr>
              <w:t> </w:t>
            </w:r>
          </w:p>
        </w:tc>
        <w:tc>
          <w:tcPr>
            <w:tcW w:w="207" w:type="dxa"/>
            <w:tcBorders>
              <w:left w:val="nil"/>
              <w:bottom w:val="nil"/>
              <w:right w:val="nil"/>
            </w:tcBorders>
            <w:shd w:val="clear" w:color="auto" w:fill="auto"/>
            <w:vAlign w:val="center"/>
            <w:hideMark/>
          </w:tcPr>
          <w:p w14:paraId="15B6AFF6" w14:textId="77777777" w:rsidR="00C012F8" w:rsidRPr="00C012F8" w:rsidRDefault="00C012F8" w:rsidP="00C012F8">
            <w:pPr>
              <w:spacing w:after="0" w:line="240" w:lineRule="auto"/>
              <w:rPr>
                <w:rFonts w:ascii="Calibri" w:eastAsia="Times New Roman" w:hAnsi="Calibri" w:cs="Calibri"/>
                <w:color w:val="000000"/>
                <w:lang w:eastAsia="pt-BR"/>
              </w:rPr>
            </w:pPr>
          </w:p>
        </w:tc>
        <w:tc>
          <w:tcPr>
            <w:tcW w:w="1430" w:type="dxa"/>
            <w:tcBorders>
              <w:left w:val="nil"/>
              <w:bottom w:val="single" w:sz="4" w:space="0" w:color="auto"/>
              <w:right w:val="nil"/>
            </w:tcBorders>
            <w:shd w:val="clear" w:color="auto" w:fill="auto"/>
            <w:vAlign w:val="center"/>
            <w:hideMark/>
          </w:tcPr>
          <w:p w14:paraId="1C891CF4" w14:textId="77777777" w:rsidR="00C012F8" w:rsidRPr="00C012F8" w:rsidRDefault="00C012F8" w:rsidP="00C012F8">
            <w:pPr>
              <w:spacing w:after="0" w:line="240" w:lineRule="auto"/>
              <w:rPr>
                <w:rFonts w:ascii="Calibri" w:eastAsia="Times New Roman" w:hAnsi="Calibri" w:cs="Calibri"/>
                <w:color w:val="000000"/>
                <w:lang w:eastAsia="pt-BR"/>
              </w:rPr>
            </w:pPr>
            <w:r w:rsidRPr="00C012F8">
              <w:rPr>
                <w:rFonts w:ascii="Calibri" w:eastAsia="Times New Roman" w:hAnsi="Calibri" w:cs="Calibri"/>
                <w:color w:val="000000"/>
                <w:lang w:eastAsia="pt-BR"/>
              </w:rPr>
              <w:t> </w:t>
            </w:r>
          </w:p>
        </w:tc>
      </w:tr>
      <w:tr w:rsidR="00C012F8" w:rsidRPr="00C012F8" w14:paraId="574E101F" w14:textId="77777777" w:rsidTr="003072B4">
        <w:trPr>
          <w:trHeight w:val="20"/>
        </w:trPr>
        <w:tc>
          <w:tcPr>
            <w:tcW w:w="3119" w:type="dxa"/>
            <w:tcBorders>
              <w:top w:val="nil"/>
              <w:left w:val="nil"/>
              <w:bottom w:val="nil"/>
              <w:right w:val="nil"/>
            </w:tcBorders>
            <w:shd w:val="clear" w:color="auto" w:fill="auto"/>
            <w:noWrap/>
            <w:vAlign w:val="center"/>
            <w:hideMark/>
          </w:tcPr>
          <w:p w14:paraId="51D21B87" w14:textId="77777777" w:rsidR="00C012F8" w:rsidRPr="00C012F8" w:rsidRDefault="00C012F8" w:rsidP="00C012F8">
            <w:pPr>
              <w:spacing w:after="0" w:line="240" w:lineRule="auto"/>
              <w:rPr>
                <w:rFonts w:ascii="Verdana" w:eastAsia="Times New Roman" w:hAnsi="Verdana" w:cs="Calibri"/>
                <w:b/>
                <w:bCs/>
                <w:color w:val="000000"/>
                <w:sz w:val="16"/>
                <w:szCs w:val="16"/>
                <w:lang w:eastAsia="pt-BR"/>
              </w:rPr>
            </w:pPr>
            <w:r w:rsidRPr="00C012F8">
              <w:rPr>
                <w:rFonts w:ascii="Verdana" w:eastAsia="Times New Roman" w:hAnsi="Verdana" w:cs="Calibri"/>
                <w:b/>
                <w:bCs/>
                <w:color w:val="000000"/>
                <w:sz w:val="16"/>
                <w:szCs w:val="16"/>
                <w:lang w:eastAsia="pt-BR"/>
              </w:rPr>
              <w:t>Total do resultado abrangente do período</w:t>
            </w:r>
          </w:p>
        </w:tc>
        <w:tc>
          <w:tcPr>
            <w:tcW w:w="234" w:type="dxa"/>
            <w:tcBorders>
              <w:top w:val="nil"/>
              <w:left w:val="nil"/>
              <w:bottom w:val="nil"/>
              <w:right w:val="nil"/>
            </w:tcBorders>
            <w:shd w:val="clear" w:color="auto" w:fill="auto"/>
            <w:noWrap/>
            <w:vAlign w:val="center"/>
            <w:hideMark/>
          </w:tcPr>
          <w:p w14:paraId="0476DC2B" w14:textId="77777777" w:rsidR="00C012F8" w:rsidRPr="00C012F8" w:rsidRDefault="00C012F8" w:rsidP="00C012F8">
            <w:pPr>
              <w:spacing w:after="0" w:line="240" w:lineRule="auto"/>
              <w:rPr>
                <w:rFonts w:ascii="Verdana" w:eastAsia="Times New Roman" w:hAnsi="Verdana" w:cs="Calibri"/>
                <w:b/>
                <w:bCs/>
                <w:color w:val="000000"/>
                <w:sz w:val="16"/>
                <w:szCs w:val="16"/>
                <w:lang w:eastAsia="pt-BR"/>
              </w:rPr>
            </w:pPr>
          </w:p>
        </w:tc>
        <w:tc>
          <w:tcPr>
            <w:tcW w:w="1642" w:type="dxa"/>
            <w:tcBorders>
              <w:top w:val="single" w:sz="4" w:space="0" w:color="auto"/>
              <w:left w:val="nil"/>
              <w:bottom w:val="double" w:sz="6" w:space="0" w:color="auto"/>
              <w:right w:val="nil"/>
            </w:tcBorders>
            <w:shd w:val="clear" w:color="auto" w:fill="auto"/>
            <w:vAlign w:val="center"/>
            <w:hideMark/>
          </w:tcPr>
          <w:p w14:paraId="5EE91418" w14:textId="77777777" w:rsidR="00C012F8" w:rsidRPr="00C012F8" w:rsidRDefault="00C012F8" w:rsidP="00C012F8">
            <w:pPr>
              <w:spacing w:after="0" w:line="240" w:lineRule="auto"/>
              <w:jc w:val="right"/>
              <w:rPr>
                <w:rFonts w:ascii="Verdana" w:eastAsia="Times New Roman" w:hAnsi="Verdana" w:cs="Calibri"/>
                <w:b/>
                <w:bCs/>
                <w:color w:val="000000"/>
                <w:sz w:val="16"/>
                <w:szCs w:val="16"/>
                <w:lang w:eastAsia="pt-BR"/>
              </w:rPr>
            </w:pPr>
            <w:r w:rsidRPr="00C012F8">
              <w:rPr>
                <w:rFonts w:ascii="Verdana" w:eastAsia="Times New Roman" w:hAnsi="Verdana" w:cs="Calibri"/>
                <w:b/>
                <w:bCs/>
                <w:color w:val="000000"/>
                <w:sz w:val="16"/>
                <w:szCs w:val="16"/>
                <w:lang w:eastAsia="pt-BR"/>
              </w:rPr>
              <w:t>78.883</w:t>
            </w:r>
          </w:p>
        </w:tc>
        <w:tc>
          <w:tcPr>
            <w:tcW w:w="207" w:type="dxa"/>
            <w:tcBorders>
              <w:top w:val="nil"/>
              <w:left w:val="nil"/>
              <w:bottom w:val="nil"/>
              <w:right w:val="nil"/>
            </w:tcBorders>
            <w:shd w:val="clear" w:color="auto" w:fill="auto"/>
            <w:vAlign w:val="center"/>
            <w:hideMark/>
          </w:tcPr>
          <w:p w14:paraId="2EB4B895" w14:textId="77777777" w:rsidR="00C012F8" w:rsidRPr="00C012F8" w:rsidRDefault="00C012F8" w:rsidP="00C012F8">
            <w:pPr>
              <w:spacing w:after="0" w:line="240" w:lineRule="auto"/>
              <w:jc w:val="right"/>
              <w:rPr>
                <w:rFonts w:ascii="Verdana" w:eastAsia="Times New Roman" w:hAnsi="Verdana" w:cs="Calibri"/>
                <w:b/>
                <w:bCs/>
                <w:color w:val="000000"/>
                <w:sz w:val="16"/>
                <w:szCs w:val="16"/>
                <w:lang w:eastAsia="pt-BR"/>
              </w:rPr>
            </w:pPr>
          </w:p>
        </w:tc>
        <w:tc>
          <w:tcPr>
            <w:tcW w:w="1354" w:type="dxa"/>
            <w:tcBorders>
              <w:top w:val="single" w:sz="4" w:space="0" w:color="auto"/>
              <w:left w:val="nil"/>
              <w:bottom w:val="double" w:sz="6" w:space="0" w:color="auto"/>
              <w:right w:val="nil"/>
            </w:tcBorders>
            <w:shd w:val="clear" w:color="auto" w:fill="auto"/>
            <w:vAlign w:val="center"/>
            <w:hideMark/>
          </w:tcPr>
          <w:p w14:paraId="6619FA21" w14:textId="77777777" w:rsidR="00C012F8" w:rsidRPr="00C012F8" w:rsidRDefault="00C012F8" w:rsidP="00C012F8">
            <w:pPr>
              <w:spacing w:after="0" w:line="240" w:lineRule="auto"/>
              <w:jc w:val="right"/>
              <w:rPr>
                <w:rFonts w:ascii="Verdana" w:eastAsia="Times New Roman" w:hAnsi="Verdana" w:cs="Calibri"/>
                <w:b/>
                <w:bCs/>
                <w:color w:val="000000"/>
                <w:sz w:val="16"/>
                <w:szCs w:val="16"/>
                <w:lang w:eastAsia="pt-BR"/>
              </w:rPr>
            </w:pPr>
            <w:r w:rsidRPr="00C012F8">
              <w:rPr>
                <w:rFonts w:ascii="Verdana" w:eastAsia="Times New Roman" w:hAnsi="Verdana" w:cs="Calibri"/>
                <w:b/>
                <w:bCs/>
                <w:color w:val="000000"/>
                <w:sz w:val="16"/>
                <w:szCs w:val="16"/>
                <w:lang w:eastAsia="pt-BR"/>
              </w:rPr>
              <w:t>34.576</w:t>
            </w:r>
          </w:p>
        </w:tc>
        <w:tc>
          <w:tcPr>
            <w:tcW w:w="234" w:type="dxa"/>
            <w:tcBorders>
              <w:top w:val="nil"/>
              <w:left w:val="nil"/>
              <w:bottom w:val="nil"/>
              <w:right w:val="nil"/>
            </w:tcBorders>
            <w:shd w:val="clear" w:color="auto" w:fill="auto"/>
            <w:noWrap/>
            <w:vAlign w:val="bottom"/>
            <w:hideMark/>
          </w:tcPr>
          <w:p w14:paraId="0D9DA134" w14:textId="77777777" w:rsidR="00C012F8" w:rsidRPr="00C012F8" w:rsidRDefault="00C012F8" w:rsidP="00C012F8">
            <w:pPr>
              <w:spacing w:after="0" w:line="240" w:lineRule="auto"/>
              <w:jc w:val="right"/>
              <w:rPr>
                <w:rFonts w:ascii="Verdana" w:eastAsia="Times New Roman" w:hAnsi="Verdana" w:cs="Calibri"/>
                <w:b/>
                <w:bCs/>
                <w:color w:val="000000"/>
                <w:sz w:val="16"/>
                <w:szCs w:val="16"/>
                <w:lang w:eastAsia="pt-BR"/>
              </w:rPr>
            </w:pPr>
          </w:p>
        </w:tc>
        <w:tc>
          <w:tcPr>
            <w:tcW w:w="1493" w:type="dxa"/>
            <w:tcBorders>
              <w:top w:val="single" w:sz="4" w:space="0" w:color="auto"/>
              <w:left w:val="nil"/>
              <w:bottom w:val="double" w:sz="6" w:space="0" w:color="auto"/>
              <w:right w:val="nil"/>
            </w:tcBorders>
            <w:shd w:val="clear" w:color="auto" w:fill="auto"/>
            <w:vAlign w:val="center"/>
            <w:hideMark/>
          </w:tcPr>
          <w:p w14:paraId="733DF9DD" w14:textId="77777777" w:rsidR="00C012F8" w:rsidRPr="00C012F8" w:rsidRDefault="00C012F8" w:rsidP="00C012F8">
            <w:pPr>
              <w:spacing w:after="0" w:line="240" w:lineRule="auto"/>
              <w:jc w:val="right"/>
              <w:rPr>
                <w:rFonts w:ascii="Verdana" w:eastAsia="Times New Roman" w:hAnsi="Verdana" w:cs="Calibri"/>
                <w:b/>
                <w:bCs/>
                <w:color w:val="000000"/>
                <w:sz w:val="16"/>
                <w:szCs w:val="16"/>
                <w:lang w:eastAsia="pt-BR"/>
              </w:rPr>
            </w:pPr>
            <w:r w:rsidRPr="00C012F8">
              <w:rPr>
                <w:rFonts w:ascii="Verdana" w:eastAsia="Times New Roman" w:hAnsi="Verdana" w:cs="Calibri"/>
                <w:b/>
                <w:bCs/>
                <w:color w:val="000000"/>
                <w:sz w:val="16"/>
                <w:szCs w:val="16"/>
                <w:lang w:eastAsia="pt-BR"/>
              </w:rPr>
              <w:t>62.436</w:t>
            </w:r>
          </w:p>
        </w:tc>
        <w:tc>
          <w:tcPr>
            <w:tcW w:w="207" w:type="dxa"/>
            <w:tcBorders>
              <w:top w:val="nil"/>
              <w:left w:val="nil"/>
              <w:bottom w:val="nil"/>
              <w:right w:val="nil"/>
            </w:tcBorders>
            <w:shd w:val="clear" w:color="auto" w:fill="auto"/>
            <w:vAlign w:val="center"/>
            <w:hideMark/>
          </w:tcPr>
          <w:p w14:paraId="2BA79969" w14:textId="77777777" w:rsidR="00C012F8" w:rsidRPr="00C012F8" w:rsidRDefault="00C012F8" w:rsidP="00C012F8">
            <w:pPr>
              <w:spacing w:after="0" w:line="240" w:lineRule="auto"/>
              <w:jc w:val="right"/>
              <w:rPr>
                <w:rFonts w:ascii="Verdana" w:eastAsia="Times New Roman" w:hAnsi="Verdana" w:cs="Calibri"/>
                <w:b/>
                <w:bCs/>
                <w:color w:val="000000"/>
                <w:sz w:val="16"/>
                <w:szCs w:val="16"/>
                <w:lang w:eastAsia="pt-BR"/>
              </w:rPr>
            </w:pPr>
          </w:p>
        </w:tc>
        <w:tc>
          <w:tcPr>
            <w:tcW w:w="1430" w:type="dxa"/>
            <w:tcBorders>
              <w:top w:val="single" w:sz="4" w:space="0" w:color="auto"/>
              <w:left w:val="nil"/>
              <w:bottom w:val="double" w:sz="6" w:space="0" w:color="auto"/>
              <w:right w:val="nil"/>
            </w:tcBorders>
            <w:shd w:val="clear" w:color="auto" w:fill="auto"/>
            <w:vAlign w:val="center"/>
            <w:hideMark/>
          </w:tcPr>
          <w:p w14:paraId="57B50A04" w14:textId="77777777" w:rsidR="00C012F8" w:rsidRPr="00C012F8" w:rsidRDefault="00C012F8" w:rsidP="00C012F8">
            <w:pPr>
              <w:spacing w:after="0" w:line="240" w:lineRule="auto"/>
              <w:jc w:val="right"/>
              <w:rPr>
                <w:rFonts w:ascii="Verdana" w:eastAsia="Times New Roman" w:hAnsi="Verdana" w:cs="Calibri"/>
                <w:b/>
                <w:bCs/>
                <w:color w:val="000000"/>
                <w:sz w:val="16"/>
                <w:szCs w:val="16"/>
                <w:lang w:eastAsia="pt-BR"/>
              </w:rPr>
            </w:pPr>
            <w:r w:rsidRPr="00C012F8">
              <w:rPr>
                <w:rFonts w:ascii="Verdana" w:eastAsia="Times New Roman" w:hAnsi="Verdana" w:cs="Calibri"/>
                <w:b/>
                <w:bCs/>
                <w:color w:val="000000"/>
                <w:sz w:val="16"/>
                <w:szCs w:val="16"/>
                <w:lang w:eastAsia="pt-BR"/>
              </w:rPr>
              <w:t>18.129</w:t>
            </w:r>
          </w:p>
        </w:tc>
      </w:tr>
      <w:tr w:rsidR="00C012F8" w:rsidRPr="00C012F8" w14:paraId="7A913A2C" w14:textId="77777777" w:rsidTr="003072B4">
        <w:trPr>
          <w:trHeight w:val="20"/>
        </w:trPr>
        <w:tc>
          <w:tcPr>
            <w:tcW w:w="3119" w:type="dxa"/>
            <w:tcBorders>
              <w:top w:val="nil"/>
              <w:left w:val="nil"/>
              <w:bottom w:val="nil"/>
              <w:right w:val="nil"/>
            </w:tcBorders>
            <w:shd w:val="clear" w:color="auto" w:fill="auto"/>
            <w:noWrap/>
            <w:vAlign w:val="center"/>
            <w:hideMark/>
          </w:tcPr>
          <w:p w14:paraId="68CD58D7" w14:textId="77777777" w:rsidR="00C012F8" w:rsidRPr="00C012F8" w:rsidRDefault="00C012F8" w:rsidP="00C012F8">
            <w:pPr>
              <w:spacing w:after="0" w:line="240" w:lineRule="auto"/>
              <w:jc w:val="right"/>
              <w:rPr>
                <w:rFonts w:ascii="Verdana" w:eastAsia="Times New Roman" w:hAnsi="Verdana" w:cs="Calibri"/>
                <w:b/>
                <w:bCs/>
                <w:color w:val="000000"/>
                <w:sz w:val="16"/>
                <w:szCs w:val="16"/>
                <w:lang w:eastAsia="pt-BR"/>
              </w:rPr>
            </w:pPr>
          </w:p>
        </w:tc>
        <w:tc>
          <w:tcPr>
            <w:tcW w:w="234" w:type="dxa"/>
            <w:tcBorders>
              <w:top w:val="nil"/>
              <w:left w:val="nil"/>
              <w:bottom w:val="nil"/>
              <w:right w:val="nil"/>
            </w:tcBorders>
            <w:shd w:val="clear" w:color="auto" w:fill="auto"/>
            <w:noWrap/>
            <w:vAlign w:val="center"/>
            <w:hideMark/>
          </w:tcPr>
          <w:p w14:paraId="28D6194E"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1642" w:type="dxa"/>
            <w:tcBorders>
              <w:top w:val="nil"/>
              <w:left w:val="nil"/>
              <w:bottom w:val="nil"/>
              <w:right w:val="nil"/>
            </w:tcBorders>
            <w:shd w:val="clear" w:color="auto" w:fill="auto"/>
            <w:vAlign w:val="center"/>
            <w:hideMark/>
          </w:tcPr>
          <w:p w14:paraId="3895A013"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207" w:type="dxa"/>
            <w:tcBorders>
              <w:top w:val="nil"/>
              <w:left w:val="nil"/>
              <w:bottom w:val="nil"/>
              <w:right w:val="nil"/>
            </w:tcBorders>
            <w:shd w:val="clear" w:color="auto" w:fill="auto"/>
            <w:vAlign w:val="center"/>
            <w:hideMark/>
          </w:tcPr>
          <w:p w14:paraId="5F2AD177"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1354" w:type="dxa"/>
            <w:tcBorders>
              <w:top w:val="nil"/>
              <w:left w:val="nil"/>
              <w:bottom w:val="nil"/>
              <w:right w:val="nil"/>
            </w:tcBorders>
            <w:shd w:val="clear" w:color="auto" w:fill="auto"/>
            <w:vAlign w:val="center"/>
            <w:hideMark/>
          </w:tcPr>
          <w:p w14:paraId="08B2B6E6"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234" w:type="dxa"/>
            <w:tcBorders>
              <w:top w:val="nil"/>
              <w:left w:val="nil"/>
              <w:bottom w:val="nil"/>
              <w:right w:val="nil"/>
            </w:tcBorders>
            <w:shd w:val="clear" w:color="auto" w:fill="auto"/>
            <w:noWrap/>
            <w:vAlign w:val="bottom"/>
            <w:hideMark/>
          </w:tcPr>
          <w:p w14:paraId="4B1F41E9"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1493" w:type="dxa"/>
            <w:tcBorders>
              <w:top w:val="nil"/>
              <w:left w:val="nil"/>
              <w:bottom w:val="nil"/>
              <w:right w:val="nil"/>
            </w:tcBorders>
            <w:shd w:val="clear" w:color="auto" w:fill="auto"/>
            <w:noWrap/>
            <w:vAlign w:val="bottom"/>
            <w:hideMark/>
          </w:tcPr>
          <w:p w14:paraId="093075DE"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207" w:type="dxa"/>
            <w:tcBorders>
              <w:top w:val="nil"/>
              <w:left w:val="nil"/>
              <w:bottom w:val="nil"/>
              <w:right w:val="nil"/>
            </w:tcBorders>
            <w:shd w:val="clear" w:color="auto" w:fill="auto"/>
            <w:noWrap/>
            <w:vAlign w:val="bottom"/>
            <w:hideMark/>
          </w:tcPr>
          <w:p w14:paraId="2326808B"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1430" w:type="dxa"/>
            <w:tcBorders>
              <w:top w:val="nil"/>
              <w:left w:val="nil"/>
              <w:bottom w:val="nil"/>
              <w:right w:val="nil"/>
            </w:tcBorders>
            <w:shd w:val="clear" w:color="auto" w:fill="auto"/>
            <w:noWrap/>
            <w:vAlign w:val="bottom"/>
            <w:hideMark/>
          </w:tcPr>
          <w:p w14:paraId="171E257F"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r>
      <w:tr w:rsidR="00C012F8" w:rsidRPr="00C012F8" w14:paraId="53F75CED" w14:textId="77777777" w:rsidTr="003072B4">
        <w:trPr>
          <w:trHeight w:val="20"/>
        </w:trPr>
        <w:tc>
          <w:tcPr>
            <w:tcW w:w="3119" w:type="dxa"/>
            <w:tcBorders>
              <w:top w:val="nil"/>
              <w:left w:val="nil"/>
              <w:bottom w:val="nil"/>
              <w:right w:val="nil"/>
            </w:tcBorders>
            <w:shd w:val="clear" w:color="auto" w:fill="auto"/>
            <w:noWrap/>
            <w:vAlign w:val="center"/>
            <w:hideMark/>
          </w:tcPr>
          <w:p w14:paraId="30719D4D" w14:textId="77777777" w:rsidR="00C012F8" w:rsidRPr="00C012F8" w:rsidRDefault="00C012F8" w:rsidP="00C012F8">
            <w:pPr>
              <w:spacing w:after="0" w:line="240" w:lineRule="auto"/>
              <w:rPr>
                <w:rFonts w:ascii="Verdana" w:eastAsia="Times New Roman" w:hAnsi="Verdana" w:cs="Calibri"/>
                <w:color w:val="000000"/>
                <w:sz w:val="16"/>
                <w:szCs w:val="16"/>
                <w:lang w:eastAsia="pt-BR"/>
              </w:rPr>
            </w:pPr>
            <w:r w:rsidRPr="00C012F8">
              <w:rPr>
                <w:rFonts w:ascii="Verdana" w:eastAsia="Times New Roman" w:hAnsi="Verdana" w:cs="Calibri"/>
                <w:color w:val="000000"/>
                <w:sz w:val="16"/>
                <w:szCs w:val="16"/>
                <w:lang w:eastAsia="pt-BR"/>
              </w:rPr>
              <w:t>Resultado abrangente do período atribuível a:</w:t>
            </w:r>
          </w:p>
        </w:tc>
        <w:tc>
          <w:tcPr>
            <w:tcW w:w="234" w:type="dxa"/>
            <w:tcBorders>
              <w:top w:val="nil"/>
              <w:left w:val="nil"/>
              <w:bottom w:val="nil"/>
              <w:right w:val="nil"/>
            </w:tcBorders>
            <w:shd w:val="clear" w:color="auto" w:fill="auto"/>
            <w:noWrap/>
            <w:vAlign w:val="center"/>
            <w:hideMark/>
          </w:tcPr>
          <w:p w14:paraId="11AC5B6E" w14:textId="77777777" w:rsidR="00C012F8" w:rsidRPr="00C012F8" w:rsidRDefault="00C012F8" w:rsidP="00C012F8">
            <w:pPr>
              <w:spacing w:after="0" w:line="240" w:lineRule="auto"/>
              <w:rPr>
                <w:rFonts w:ascii="Verdana" w:eastAsia="Times New Roman" w:hAnsi="Verdana" w:cs="Calibri"/>
                <w:color w:val="000000"/>
                <w:sz w:val="16"/>
                <w:szCs w:val="16"/>
                <w:lang w:eastAsia="pt-BR"/>
              </w:rPr>
            </w:pPr>
          </w:p>
        </w:tc>
        <w:tc>
          <w:tcPr>
            <w:tcW w:w="1642" w:type="dxa"/>
            <w:tcBorders>
              <w:top w:val="nil"/>
              <w:left w:val="nil"/>
              <w:bottom w:val="nil"/>
              <w:right w:val="nil"/>
            </w:tcBorders>
            <w:shd w:val="clear" w:color="auto" w:fill="auto"/>
            <w:vAlign w:val="center"/>
            <w:hideMark/>
          </w:tcPr>
          <w:p w14:paraId="1C3C573E"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207" w:type="dxa"/>
            <w:tcBorders>
              <w:top w:val="nil"/>
              <w:left w:val="nil"/>
              <w:bottom w:val="nil"/>
              <w:right w:val="nil"/>
            </w:tcBorders>
            <w:shd w:val="clear" w:color="auto" w:fill="auto"/>
            <w:vAlign w:val="center"/>
            <w:hideMark/>
          </w:tcPr>
          <w:p w14:paraId="51EB958D"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1354" w:type="dxa"/>
            <w:tcBorders>
              <w:top w:val="nil"/>
              <w:left w:val="nil"/>
              <w:bottom w:val="nil"/>
              <w:right w:val="nil"/>
            </w:tcBorders>
            <w:shd w:val="clear" w:color="auto" w:fill="auto"/>
            <w:vAlign w:val="center"/>
            <w:hideMark/>
          </w:tcPr>
          <w:p w14:paraId="55D52C9F"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234" w:type="dxa"/>
            <w:tcBorders>
              <w:top w:val="nil"/>
              <w:left w:val="nil"/>
              <w:bottom w:val="nil"/>
              <w:right w:val="nil"/>
            </w:tcBorders>
            <w:shd w:val="clear" w:color="auto" w:fill="auto"/>
            <w:noWrap/>
            <w:vAlign w:val="bottom"/>
            <w:hideMark/>
          </w:tcPr>
          <w:p w14:paraId="6E1DA6E7"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1493" w:type="dxa"/>
            <w:tcBorders>
              <w:top w:val="nil"/>
              <w:left w:val="nil"/>
              <w:bottom w:val="nil"/>
              <w:right w:val="nil"/>
            </w:tcBorders>
            <w:shd w:val="clear" w:color="auto" w:fill="auto"/>
            <w:noWrap/>
            <w:vAlign w:val="bottom"/>
            <w:hideMark/>
          </w:tcPr>
          <w:p w14:paraId="0298CF47"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207" w:type="dxa"/>
            <w:tcBorders>
              <w:top w:val="nil"/>
              <w:left w:val="nil"/>
              <w:bottom w:val="nil"/>
              <w:right w:val="nil"/>
            </w:tcBorders>
            <w:shd w:val="clear" w:color="auto" w:fill="auto"/>
            <w:noWrap/>
            <w:vAlign w:val="bottom"/>
            <w:hideMark/>
          </w:tcPr>
          <w:p w14:paraId="3B5484E0"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1430" w:type="dxa"/>
            <w:tcBorders>
              <w:top w:val="nil"/>
              <w:left w:val="nil"/>
              <w:bottom w:val="nil"/>
              <w:right w:val="nil"/>
            </w:tcBorders>
            <w:shd w:val="clear" w:color="auto" w:fill="auto"/>
            <w:noWrap/>
            <w:vAlign w:val="bottom"/>
            <w:hideMark/>
          </w:tcPr>
          <w:p w14:paraId="347A540E"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r>
      <w:tr w:rsidR="00C012F8" w:rsidRPr="00C012F8" w14:paraId="182463EA" w14:textId="77777777" w:rsidTr="003072B4">
        <w:trPr>
          <w:trHeight w:val="20"/>
        </w:trPr>
        <w:tc>
          <w:tcPr>
            <w:tcW w:w="3119" w:type="dxa"/>
            <w:tcBorders>
              <w:top w:val="nil"/>
              <w:left w:val="nil"/>
              <w:bottom w:val="nil"/>
              <w:right w:val="nil"/>
            </w:tcBorders>
            <w:shd w:val="clear" w:color="auto" w:fill="auto"/>
            <w:noWrap/>
            <w:vAlign w:val="center"/>
            <w:hideMark/>
          </w:tcPr>
          <w:p w14:paraId="53B4C0A5" w14:textId="77777777" w:rsidR="00C012F8" w:rsidRPr="00C012F8" w:rsidRDefault="00C012F8" w:rsidP="00C012F8">
            <w:pPr>
              <w:spacing w:after="0" w:line="240" w:lineRule="auto"/>
              <w:ind w:firstLineChars="100" w:firstLine="160"/>
              <w:rPr>
                <w:rFonts w:ascii="Verdana" w:eastAsia="Times New Roman" w:hAnsi="Verdana" w:cs="Calibri"/>
                <w:color w:val="000000"/>
                <w:sz w:val="16"/>
                <w:szCs w:val="16"/>
                <w:lang w:eastAsia="pt-BR"/>
              </w:rPr>
            </w:pPr>
            <w:r w:rsidRPr="00C012F8">
              <w:rPr>
                <w:rFonts w:ascii="Verdana" w:eastAsia="Times New Roman" w:hAnsi="Verdana" w:cs="Calibri"/>
                <w:color w:val="000000"/>
                <w:sz w:val="16"/>
                <w:szCs w:val="16"/>
                <w:lang w:eastAsia="pt-BR"/>
              </w:rPr>
              <w:t>Não controladores</w:t>
            </w:r>
          </w:p>
        </w:tc>
        <w:tc>
          <w:tcPr>
            <w:tcW w:w="234" w:type="dxa"/>
            <w:tcBorders>
              <w:top w:val="nil"/>
              <w:left w:val="nil"/>
              <w:bottom w:val="nil"/>
              <w:right w:val="nil"/>
            </w:tcBorders>
            <w:shd w:val="clear" w:color="auto" w:fill="auto"/>
            <w:noWrap/>
            <w:vAlign w:val="center"/>
            <w:hideMark/>
          </w:tcPr>
          <w:p w14:paraId="584F5DE5" w14:textId="77777777" w:rsidR="00C012F8" w:rsidRPr="00C012F8" w:rsidRDefault="00C012F8" w:rsidP="00C012F8">
            <w:pPr>
              <w:spacing w:after="0" w:line="240" w:lineRule="auto"/>
              <w:ind w:firstLineChars="100" w:firstLine="160"/>
              <w:rPr>
                <w:rFonts w:ascii="Verdana" w:eastAsia="Times New Roman" w:hAnsi="Verdana" w:cs="Calibri"/>
                <w:color w:val="000000"/>
                <w:sz w:val="16"/>
                <w:szCs w:val="16"/>
                <w:lang w:eastAsia="pt-BR"/>
              </w:rPr>
            </w:pPr>
          </w:p>
        </w:tc>
        <w:tc>
          <w:tcPr>
            <w:tcW w:w="1642" w:type="dxa"/>
            <w:tcBorders>
              <w:top w:val="nil"/>
              <w:left w:val="nil"/>
              <w:bottom w:val="nil"/>
              <w:right w:val="nil"/>
            </w:tcBorders>
            <w:shd w:val="clear" w:color="auto" w:fill="auto"/>
            <w:vAlign w:val="center"/>
            <w:hideMark/>
          </w:tcPr>
          <w:p w14:paraId="77D1FFDE"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207" w:type="dxa"/>
            <w:tcBorders>
              <w:top w:val="nil"/>
              <w:left w:val="nil"/>
              <w:bottom w:val="nil"/>
              <w:right w:val="nil"/>
            </w:tcBorders>
            <w:shd w:val="clear" w:color="auto" w:fill="auto"/>
            <w:vAlign w:val="center"/>
            <w:hideMark/>
          </w:tcPr>
          <w:p w14:paraId="4E51D425"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1354" w:type="dxa"/>
            <w:tcBorders>
              <w:top w:val="nil"/>
              <w:left w:val="nil"/>
              <w:bottom w:val="nil"/>
              <w:right w:val="nil"/>
            </w:tcBorders>
            <w:shd w:val="clear" w:color="auto" w:fill="auto"/>
            <w:vAlign w:val="center"/>
            <w:hideMark/>
          </w:tcPr>
          <w:p w14:paraId="344469E2"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234" w:type="dxa"/>
            <w:tcBorders>
              <w:top w:val="nil"/>
              <w:left w:val="nil"/>
              <w:bottom w:val="nil"/>
              <w:right w:val="nil"/>
            </w:tcBorders>
            <w:shd w:val="clear" w:color="auto" w:fill="auto"/>
            <w:noWrap/>
            <w:vAlign w:val="bottom"/>
            <w:hideMark/>
          </w:tcPr>
          <w:p w14:paraId="3F9EBFCB"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1493" w:type="dxa"/>
            <w:tcBorders>
              <w:top w:val="nil"/>
              <w:left w:val="nil"/>
              <w:bottom w:val="nil"/>
              <w:right w:val="nil"/>
            </w:tcBorders>
            <w:shd w:val="clear" w:color="auto" w:fill="auto"/>
            <w:vAlign w:val="center"/>
            <w:hideMark/>
          </w:tcPr>
          <w:p w14:paraId="4830AD88" w14:textId="320DC741" w:rsidR="00C012F8" w:rsidRPr="00C012F8" w:rsidRDefault="00C012F8" w:rsidP="00C012F8">
            <w:pPr>
              <w:spacing w:after="0" w:line="240" w:lineRule="auto"/>
              <w:jc w:val="right"/>
              <w:rPr>
                <w:rFonts w:ascii="Verdana" w:eastAsia="Times New Roman" w:hAnsi="Verdana" w:cs="Calibri"/>
                <w:b/>
                <w:bCs/>
                <w:color w:val="000000"/>
                <w:sz w:val="16"/>
                <w:szCs w:val="16"/>
                <w:lang w:eastAsia="pt-BR"/>
              </w:rPr>
            </w:pPr>
            <w:r>
              <w:rPr>
                <w:rFonts w:ascii="Verdana" w:eastAsia="Times New Roman" w:hAnsi="Verdana" w:cs="Calibri"/>
                <w:b/>
                <w:bCs/>
                <w:color w:val="000000"/>
                <w:sz w:val="16"/>
                <w:szCs w:val="16"/>
                <w:lang w:eastAsia="pt-BR"/>
              </w:rPr>
              <w:t>(</w:t>
            </w:r>
            <w:r w:rsidRPr="00C012F8">
              <w:rPr>
                <w:rFonts w:ascii="Verdana" w:eastAsia="Times New Roman" w:hAnsi="Verdana" w:cs="Calibri"/>
                <w:b/>
                <w:bCs/>
                <w:color w:val="000000"/>
                <w:sz w:val="16"/>
                <w:szCs w:val="16"/>
                <w:lang w:eastAsia="pt-BR"/>
              </w:rPr>
              <w:t>16.446</w:t>
            </w:r>
            <w:r>
              <w:rPr>
                <w:rFonts w:ascii="Verdana" w:eastAsia="Times New Roman" w:hAnsi="Verdana" w:cs="Calibri"/>
                <w:b/>
                <w:bCs/>
                <w:color w:val="000000"/>
                <w:sz w:val="16"/>
                <w:szCs w:val="16"/>
                <w:lang w:eastAsia="pt-BR"/>
              </w:rPr>
              <w:t>)</w:t>
            </w:r>
          </w:p>
        </w:tc>
        <w:tc>
          <w:tcPr>
            <w:tcW w:w="207" w:type="dxa"/>
            <w:tcBorders>
              <w:top w:val="nil"/>
              <w:left w:val="nil"/>
              <w:bottom w:val="nil"/>
              <w:right w:val="nil"/>
            </w:tcBorders>
            <w:shd w:val="clear" w:color="auto" w:fill="auto"/>
            <w:vAlign w:val="center"/>
            <w:hideMark/>
          </w:tcPr>
          <w:p w14:paraId="0E7E0BA2" w14:textId="77777777" w:rsidR="00C012F8" w:rsidRPr="00C012F8" w:rsidRDefault="00C012F8" w:rsidP="00C012F8">
            <w:pPr>
              <w:spacing w:after="0" w:line="240" w:lineRule="auto"/>
              <w:jc w:val="right"/>
              <w:rPr>
                <w:rFonts w:ascii="Verdana" w:eastAsia="Times New Roman" w:hAnsi="Verdana" w:cs="Calibri"/>
                <w:b/>
                <w:bCs/>
                <w:color w:val="000000"/>
                <w:sz w:val="16"/>
                <w:szCs w:val="16"/>
                <w:lang w:eastAsia="pt-BR"/>
              </w:rPr>
            </w:pPr>
          </w:p>
        </w:tc>
        <w:tc>
          <w:tcPr>
            <w:tcW w:w="1430" w:type="dxa"/>
            <w:tcBorders>
              <w:top w:val="nil"/>
              <w:left w:val="nil"/>
              <w:bottom w:val="nil"/>
              <w:right w:val="nil"/>
            </w:tcBorders>
            <w:shd w:val="clear" w:color="auto" w:fill="auto"/>
            <w:vAlign w:val="center"/>
            <w:hideMark/>
          </w:tcPr>
          <w:p w14:paraId="1490F56F" w14:textId="0383797C" w:rsidR="00C012F8" w:rsidRPr="00C012F8" w:rsidRDefault="00C012F8" w:rsidP="00C012F8">
            <w:pPr>
              <w:spacing w:after="0" w:line="240" w:lineRule="auto"/>
              <w:jc w:val="right"/>
              <w:rPr>
                <w:rFonts w:ascii="Verdana" w:eastAsia="Times New Roman" w:hAnsi="Verdana" w:cs="Calibri"/>
                <w:b/>
                <w:bCs/>
                <w:color w:val="000000"/>
                <w:sz w:val="16"/>
                <w:szCs w:val="16"/>
                <w:lang w:eastAsia="pt-BR"/>
              </w:rPr>
            </w:pPr>
            <w:r>
              <w:rPr>
                <w:rFonts w:ascii="Verdana" w:eastAsia="Times New Roman" w:hAnsi="Verdana" w:cs="Calibri"/>
                <w:b/>
                <w:bCs/>
                <w:color w:val="000000"/>
                <w:sz w:val="16"/>
                <w:szCs w:val="16"/>
                <w:lang w:eastAsia="pt-BR"/>
              </w:rPr>
              <w:t>(</w:t>
            </w:r>
            <w:r w:rsidRPr="00C012F8">
              <w:rPr>
                <w:rFonts w:ascii="Verdana" w:eastAsia="Times New Roman" w:hAnsi="Verdana" w:cs="Calibri"/>
                <w:b/>
                <w:bCs/>
                <w:color w:val="000000"/>
                <w:sz w:val="16"/>
                <w:szCs w:val="16"/>
                <w:lang w:eastAsia="pt-BR"/>
              </w:rPr>
              <w:t>16.446</w:t>
            </w:r>
            <w:r>
              <w:rPr>
                <w:rFonts w:ascii="Verdana" w:eastAsia="Times New Roman" w:hAnsi="Verdana" w:cs="Calibri"/>
                <w:b/>
                <w:bCs/>
                <w:color w:val="000000"/>
                <w:sz w:val="16"/>
                <w:szCs w:val="16"/>
                <w:lang w:eastAsia="pt-BR"/>
              </w:rPr>
              <w:t>)</w:t>
            </w:r>
          </w:p>
        </w:tc>
      </w:tr>
      <w:tr w:rsidR="00C012F8" w:rsidRPr="00C012F8" w14:paraId="2CAE7B91" w14:textId="77777777" w:rsidTr="003072B4">
        <w:trPr>
          <w:trHeight w:val="20"/>
        </w:trPr>
        <w:tc>
          <w:tcPr>
            <w:tcW w:w="3119" w:type="dxa"/>
            <w:tcBorders>
              <w:top w:val="nil"/>
              <w:left w:val="nil"/>
              <w:bottom w:val="nil"/>
              <w:right w:val="nil"/>
            </w:tcBorders>
            <w:shd w:val="clear" w:color="auto" w:fill="auto"/>
            <w:noWrap/>
            <w:vAlign w:val="center"/>
            <w:hideMark/>
          </w:tcPr>
          <w:p w14:paraId="4719D183" w14:textId="77777777" w:rsidR="00C012F8" w:rsidRPr="00C012F8" w:rsidRDefault="00C012F8" w:rsidP="00C012F8">
            <w:pPr>
              <w:spacing w:after="0" w:line="240" w:lineRule="auto"/>
              <w:ind w:firstLineChars="100" w:firstLine="160"/>
              <w:rPr>
                <w:rFonts w:ascii="Verdana" w:eastAsia="Times New Roman" w:hAnsi="Verdana" w:cs="Calibri"/>
                <w:color w:val="000000"/>
                <w:sz w:val="16"/>
                <w:szCs w:val="16"/>
                <w:lang w:eastAsia="pt-BR"/>
              </w:rPr>
            </w:pPr>
            <w:r w:rsidRPr="00C012F8">
              <w:rPr>
                <w:rFonts w:ascii="Verdana" w:eastAsia="Times New Roman" w:hAnsi="Verdana" w:cs="Calibri"/>
                <w:color w:val="000000"/>
                <w:sz w:val="16"/>
                <w:szCs w:val="16"/>
                <w:lang w:eastAsia="pt-BR"/>
              </w:rPr>
              <w:t>Controladores</w:t>
            </w:r>
          </w:p>
        </w:tc>
        <w:tc>
          <w:tcPr>
            <w:tcW w:w="234" w:type="dxa"/>
            <w:tcBorders>
              <w:top w:val="nil"/>
              <w:left w:val="nil"/>
              <w:bottom w:val="nil"/>
              <w:right w:val="nil"/>
            </w:tcBorders>
            <w:shd w:val="clear" w:color="auto" w:fill="auto"/>
            <w:noWrap/>
            <w:vAlign w:val="center"/>
            <w:hideMark/>
          </w:tcPr>
          <w:p w14:paraId="44876FB2" w14:textId="77777777" w:rsidR="00C012F8" w:rsidRPr="00C012F8" w:rsidRDefault="00C012F8" w:rsidP="00C012F8">
            <w:pPr>
              <w:spacing w:after="0" w:line="240" w:lineRule="auto"/>
              <w:ind w:firstLineChars="100" w:firstLine="160"/>
              <w:rPr>
                <w:rFonts w:ascii="Verdana" w:eastAsia="Times New Roman" w:hAnsi="Verdana" w:cs="Calibri"/>
                <w:color w:val="000000"/>
                <w:sz w:val="16"/>
                <w:szCs w:val="16"/>
                <w:lang w:eastAsia="pt-BR"/>
              </w:rPr>
            </w:pPr>
          </w:p>
        </w:tc>
        <w:tc>
          <w:tcPr>
            <w:tcW w:w="1642" w:type="dxa"/>
            <w:tcBorders>
              <w:top w:val="nil"/>
              <w:left w:val="nil"/>
              <w:bottom w:val="nil"/>
              <w:right w:val="nil"/>
            </w:tcBorders>
            <w:shd w:val="clear" w:color="auto" w:fill="auto"/>
            <w:vAlign w:val="center"/>
            <w:hideMark/>
          </w:tcPr>
          <w:p w14:paraId="1AD4E917"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207" w:type="dxa"/>
            <w:tcBorders>
              <w:top w:val="nil"/>
              <w:left w:val="nil"/>
              <w:bottom w:val="nil"/>
              <w:right w:val="nil"/>
            </w:tcBorders>
            <w:shd w:val="clear" w:color="auto" w:fill="auto"/>
            <w:vAlign w:val="center"/>
            <w:hideMark/>
          </w:tcPr>
          <w:p w14:paraId="74FEE0A2"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1354" w:type="dxa"/>
            <w:tcBorders>
              <w:top w:val="nil"/>
              <w:left w:val="nil"/>
              <w:bottom w:val="nil"/>
              <w:right w:val="nil"/>
            </w:tcBorders>
            <w:shd w:val="clear" w:color="auto" w:fill="auto"/>
            <w:vAlign w:val="center"/>
            <w:hideMark/>
          </w:tcPr>
          <w:p w14:paraId="70FC996A"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234" w:type="dxa"/>
            <w:tcBorders>
              <w:top w:val="nil"/>
              <w:left w:val="nil"/>
              <w:bottom w:val="nil"/>
              <w:right w:val="nil"/>
            </w:tcBorders>
            <w:shd w:val="clear" w:color="auto" w:fill="auto"/>
            <w:noWrap/>
            <w:vAlign w:val="bottom"/>
            <w:hideMark/>
          </w:tcPr>
          <w:p w14:paraId="25966D5F" w14:textId="77777777" w:rsidR="00C012F8" w:rsidRPr="00C012F8" w:rsidRDefault="00C012F8" w:rsidP="00C012F8">
            <w:pPr>
              <w:spacing w:after="0" w:line="240" w:lineRule="auto"/>
              <w:rPr>
                <w:rFonts w:ascii="Times New Roman" w:eastAsia="Times New Roman" w:hAnsi="Times New Roman" w:cs="Times New Roman"/>
                <w:sz w:val="20"/>
                <w:szCs w:val="20"/>
                <w:lang w:eastAsia="pt-BR"/>
              </w:rPr>
            </w:pPr>
          </w:p>
        </w:tc>
        <w:tc>
          <w:tcPr>
            <w:tcW w:w="1493" w:type="dxa"/>
            <w:tcBorders>
              <w:top w:val="single" w:sz="8" w:space="0" w:color="auto"/>
              <w:left w:val="nil"/>
              <w:bottom w:val="double" w:sz="6" w:space="0" w:color="auto"/>
              <w:right w:val="nil"/>
            </w:tcBorders>
            <w:shd w:val="clear" w:color="auto" w:fill="auto"/>
            <w:vAlign w:val="center"/>
            <w:hideMark/>
          </w:tcPr>
          <w:p w14:paraId="16EEA4B7" w14:textId="77777777" w:rsidR="00C012F8" w:rsidRPr="00C012F8" w:rsidRDefault="00C012F8" w:rsidP="00C012F8">
            <w:pPr>
              <w:spacing w:after="0" w:line="240" w:lineRule="auto"/>
              <w:jc w:val="right"/>
              <w:rPr>
                <w:rFonts w:ascii="Verdana" w:eastAsia="Times New Roman" w:hAnsi="Verdana" w:cs="Calibri"/>
                <w:b/>
                <w:bCs/>
                <w:color w:val="000000"/>
                <w:sz w:val="16"/>
                <w:szCs w:val="16"/>
                <w:lang w:eastAsia="pt-BR"/>
              </w:rPr>
            </w:pPr>
            <w:r w:rsidRPr="00C012F8">
              <w:rPr>
                <w:rFonts w:ascii="Verdana" w:eastAsia="Times New Roman" w:hAnsi="Verdana" w:cs="Calibri"/>
                <w:b/>
                <w:bCs/>
                <w:color w:val="000000"/>
                <w:sz w:val="16"/>
                <w:szCs w:val="16"/>
                <w:lang w:eastAsia="pt-BR"/>
              </w:rPr>
              <w:t>78.883</w:t>
            </w:r>
          </w:p>
        </w:tc>
        <w:tc>
          <w:tcPr>
            <w:tcW w:w="207" w:type="dxa"/>
            <w:tcBorders>
              <w:top w:val="single" w:sz="8" w:space="0" w:color="auto"/>
              <w:left w:val="nil"/>
              <w:bottom w:val="double" w:sz="6" w:space="0" w:color="auto"/>
              <w:right w:val="nil"/>
            </w:tcBorders>
            <w:shd w:val="clear" w:color="auto" w:fill="auto"/>
            <w:vAlign w:val="center"/>
            <w:hideMark/>
          </w:tcPr>
          <w:p w14:paraId="5C31B3BB" w14:textId="77777777" w:rsidR="00C012F8" w:rsidRPr="00C012F8" w:rsidRDefault="00C012F8" w:rsidP="00C012F8">
            <w:pPr>
              <w:spacing w:after="0" w:line="240" w:lineRule="auto"/>
              <w:jc w:val="right"/>
              <w:rPr>
                <w:rFonts w:ascii="Verdana" w:eastAsia="Times New Roman" w:hAnsi="Verdana" w:cs="Calibri"/>
                <w:b/>
                <w:bCs/>
                <w:color w:val="000000"/>
                <w:sz w:val="16"/>
                <w:szCs w:val="16"/>
                <w:lang w:eastAsia="pt-BR"/>
              </w:rPr>
            </w:pPr>
            <w:r w:rsidRPr="00C012F8">
              <w:rPr>
                <w:rFonts w:ascii="Verdana" w:eastAsia="Times New Roman" w:hAnsi="Verdana" w:cs="Calibri"/>
                <w:b/>
                <w:bCs/>
                <w:color w:val="000000"/>
                <w:sz w:val="16"/>
                <w:szCs w:val="16"/>
                <w:lang w:eastAsia="pt-BR"/>
              </w:rPr>
              <w:t> </w:t>
            </w:r>
          </w:p>
        </w:tc>
        <w:tc>
          <w:tcPr>
            <w:tcW w:w="1430" w:type="dxa"/>
            <w:tcBorders>
              <w:top w:val="single" w:sz="8" w:space="0" w:color="auto"/>
              <w:left w:val="nil"/>
              <w:bottom w:val="double" w:sz="6" w:space="0" w:color="auto"/>
              <w:right w:val="nil"/>
            </w:tcBorders>
            <w:shd w:val="clear" w:color="auto" w:fill="auto"/>
            <w:vAlign w:val="center"/>
            <w:hideMark/>
          </w:tcPr>
          <w:p w14:paraId="79C8F00F" w14:textId="77777777" w:rsidR="00C012F8" w:rsidRPr="00C012F8" w:rsidRDefault="00C012F8" w:rsidP="00C012F8">
            <w:pPr>
              <w:spacing w:after="0" w:line="240" w:lineRule="auto"/>
              <w:jc w:val="right"/>
              <w:rPr>
                <w:rFonts w:ascii="Verdana" w:eastAsia="Times New Roman" w:hAnsi="Verdana" w:cs="Calibri"/>
                <w:b/>
                <w:bCs/>
                <w:color w:val="000000"/>
                <w:sz w:val="16"/>
                <w:szCs w:val="16"/>
                <w:lang w:eastAsia="pt-BR"/>
              </w:rPr>
            </w:pPr>
            <w:r w:rsidRPr="00C012F8">
              <w:rPr>
                <w:rFonts w:ascii="Verdana" w:eastAsia="Times New Roman" w:hAnsi="Verdana" w:cs="Calibri"/>
                <w:b/>
                <w:bCs/>
                <w:color w:val="000000"/>
                <w:sz w:val="16"/>
                <w:szCs w:val="16"/>
                <w:lang w:eastAsia="pt-BR"/>
              </w:rPr>
              <w:t>34.576</w:t>
            </w:r>
          </w:p>
        </w:tc>
      </w:tr>
    </w:tbl>
    <w:p w14:paraId="46F14ABB"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31CCBD6E"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168BE21B"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0F6DE1AE"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057788B6"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55C45FF2"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69A198BC"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776D4B9F"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36FAFF1C"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5619A1D3"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3061EE86"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38086079"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3469DAF9"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5C025434"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60652F3F"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24D2745B"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38C69330"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350960E5"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43D6FD78"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29C6BAFD"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48003FF2"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4CA1FE0E"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7D9C4270"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6EADBD58"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1A45C026"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00E929EE" w14:textId="46674A09" w:rsidR="004B6B1F" w:rsidRPr="00C11BC9" w:rsidRDefault="007835BD" w:rsidP="007835BD">
      <w:pPr>
        <w:widowControl w:val="0"/>
        <w:rPr>
          <w:rFonts w:ascii="Verdana" w:hAnsi="Verdana"/>
          <w:bCs/>
        </w:rPr>
      </w:pPr>
      <w:r w:rsidRPr="003072B4">
        <w:rPr>
          <w:rFonts w:ascii="Verdana" w:hAnsi="Verdana"/>
          <w:bCs/>
          <w:sz w:val="20"/>
          <w:szCs w:val="24"/>
        </w:rPr>
        <w:t>As notas explicativas são parte integrante das demonstrações</w:t>
      </w:r>
      <w:r w:rsidR="00590B3C" w:rsidRPr="003072B4">
        <w:rPr>
          <w:rFonts w:ascii="Verdana" w:hAnsi="Verdana"/>
          <w:bCs/>
          <w:sz w:val="20"/>
          <w:szCs w:val="24"/>
        </w:rPr>
        <w:t xml:space="preserve"> financeiras intermediárias</w:t>
      </w:r>
      <w:r w:rsidRPr="00C11BC9">
        <w:rPr>
          <w:rFonts w:ascii="Verdana" w:hAnsi="Verdana"/>
          <w:bCs/>
          <w:szCs w:val="26"/>
        </w:rPr>
        <w:t>.</w:t>
      </w:r>
    </w:p>
    <w:p w14:paraId="0BFA44D0" w14:textId="77777777" w:rsidR="004B6B1F" w:rsidRPr="00C11BC9" w:rsidRDefault="004B6B1F">
      <w:pPr>
        <w:rPr>
          <w:rFonts w:ascii="Verdana" w:hAnsi="Verdana"/>
          <w:bCs/>
        </w:rPr>
      </w:pPr>
    </w:p>
    <w:p w14:paraId="1B2E9FA1" w14:textId="77777777" w:rsidR="006E1B4F" w:rsidRDefault="006E1B4F" w:rsidP="006E1B4F">
      <w:pPr>
        <w:widowControl w:val="0"/>
        <w:spacing w:after="0"/>
        <w:rPr>
          <w:rFonts w:ascii="Verdana" w:hAnsi="Verdana"/>
          <w:bCs/>
          <w:szCs w:val="26"/>
        </w:rPr>
      </w:pPr>
    </w:p>
    <w:p w14:paraId="66AEAE14" w14:textId="77777777" w:rsidR="00C860EA" w:rsidRDefault="00C860EA" w:rsidP="006E1B4F">
      <w:pPr>
        <w:widowControl w:val="0"/>
        <w:spacing w:after="0"/>
        <w:rPr>
          <w:rFonts w:ascii="Verdana" w:hAnsi="Verdana"/>
          <w:b/>
          <w:bCs/>
          <w:szCs w:val="26"/>
        </w:rPr>
        <w:sectPr w:rsidR="00C860EA" w:rsidSect="003420B0">
          <w:pgSz w:w="11906" w:h="16838"/>
          <w:pgMar w:top="1417" w:right="991" w:bottom="1417" w:left="1701" w:header="708" w:footer="708" w:gutter="0"/>
          <w:cols w:space="708"/>
          <w:docGrid w:linePitch="360"/>
        </w:sectPr>
      </w:pPr>
    </w:p>
    <w:p w14:paraId="56591B81" w14:textId="77777777" w:rsidR="00FE7BC2" w:rsidRDefault="00FE7BC2" w:rsidP="006E1B4F">
      <w:pPr>
        <w:widowControl w:val="0"/>
        <w:spacing w:after="0"/>
        <w:rPr>
          <w:rFonts w:ascii="Verdana" w:hAnsi="Verdana"/>
          <w:b/>
          <w:bCs/>
          <w:szCs w:val="26"/>
        </w:rPr>
      </w:pPr>
    </w:p>
    <w:p w14:paraId="33810B1E" w14:textId="77777777" w:rsidR="00FE7BC2" w:rsidRDefault="00FE7BC2" w:rsidP="006E1B4F">
      <w:pPr>
        <w:widowControl w:val="0"/>
        <w:spacing w:after="0"/>
        <w:rPr>
          <w:rFonts w:ascii="Verdana" w:hAnsi="Verdana"/>
          <w:b/>
          <w:bCs/>
          <w:szCs w:val="26"/>
        </w:rPr>
      </w:pPr>
    </w:p>
    <w:p w14:paraId="78943CE9" w14:textId="77777777" w:rsidR="00F52374" w:rsidRPr="006E1B4F" w:rsidRDefault="00F52374" w:rsidP="00F7132F">
      <w:pPr>
        <w:widowControl w:val="0"/>
        <w:spacing w:after="0"/>
        <w:jc w:val="center"/>
        <w:rPr>
          <w:rFonts w:ascii="Verdana" w:hAnsi="Verdana"/>
          <w:b/>
          <w:bCs/>
          <w:szCs w:val="26"/>
        </w:rPr>
      </w:pPr>
      <w:r w:rsidRPr="006E1B4F">
        <w:rPr>
          <w:rFonts w:ascii="Verdana" w:hAnsi="Verdana"/>
          <w:b/>
          <w:bCs/>
          <w:szCs w:val="26"/>
        </w:rPr>
        <w:t>Demonstrações da mutação do patrimônio líquido</w:t>
      </w:r>
    </w:p>
    <w:p w14:paraId="69F1ADA1"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779EE468"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25AD71B4"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09EFCD0D" w14:textId="77777777" w:rsidR="00A33758" w:rsidRPr="00C11BC9" w:rsidRDefault="00A33758" w:rsidP="007835BD">
      <w:pPr>
        <w:spacing w:after="0" w:line="240" w:lineRule="auto"/>
        <w:jc w:val="both"/>
        <w:rPr>
          <w:rFonts w:ascii="Verdana" w:hAnsi="Verdana" w:cstheme="minorHAnsi"/>
          <w:b/>
          <w:color w:val="767171" w:themeColor="background2" w:themeShade="80"/>
        </w:rPr>
      </w:pPr>
    </w:p>
    <w:tbl>
      <w:tblPr>
        <w:tblW w:w="5052" w:type="pct"/>
        <w:tblCellMar>
          <w:left w:w="70" w:type="dxa"/>
          <w:right w:w="70" w:type="dxa"/>
        </w:tblCellMar>
        <w:tblLook w:val="04A0" w:firstRow="1" w:lastRow="0" w:firstColumn="1" w:lastColumn="0" w:noHBand="0" w:noVBand="1"/>
      </w:tblPr>
      <w:tblGrid>
        <w:gridCol w:w="3623"/>
        <w:gridCol w:w="153"/>
        <w:gridCol w:w="1570"/>
        <w:gridCol w:w="147"/>
        <w:gridCol w:w="1587"/>
        <w:gridCol w:w="147"/>
        <w:gridCol w:w="1582"/>
        <w:gridCol w:w="147"/>
        <w:gridCol w:w="1545"/>
        <w:gridCol w:w="147"/>
        <w:gridCol w:w="1842"/>
        <w:gridCol w:w="147"/>
        <w:gridCol w:w="1511"/>
      </w:tblGrid>
      <w:tr w:rsidR="00A33758" w:rsidRPr="00E21223" w14:paraId="1FB08B95" w14:textId="77777777" w:rsidTr="00F7132F">
        <w:trPr>
          <w:trHeight w:val="20"/>
        </w:trPr>
        <w:tc>
          <w:tcPr>
            <w:tcW w:w="1280" w:type="pct"/>
            <w:tcBorders>
              <w:top w:val="nil"/>
              <w:left w:val="nil"/>
              <w:bottom w:val="nil"/>
              <w:right w:val="nil"/>
            </w:tcBorders>
            <w:shd w:val="clear" w:color="auto" w:fill="auto"/>
            <w:noWrap/>
            <w:vAlign w:val="center"/>
            <w:hideMark/>
          </w:tcPr>
          <w:p w14:paraId="4F9A2A36" w14:textId="77777777" w:rsidR="00A33758" w:rsidRPr="00E21223" w:rsidRDefault="00A33758" w:rsidP="00A33758">
            <w:pPr>
              <w:spacing w:after="0" w:line="240" w:lineRule="auto"/>
              <w:rPr>
                <w:rFonts w:ascii="Times New Roman" w:eastAsia="Times New Roman" w:hAnsi="Times New Roman" w:cs="Times New Roman"/>
                <w:sz w:val="18"/>
                <w:szCs w:val="24"/>
                <w:lang w:eastAsia="pt-BR"/>
              </w:rPr>
            </w:pPr>
          </w:p>
        </w:tc>
        <w:tc>
          <w:tcPr>
            <w:tcW w:w="54" w:type="pct"/>
            <w:tcBorders>
              <w:top w:val="nil"/>
              <w:left w:val="nil"/>
              <w:bottom w:val="nil"/>
              <w:right w:val="nil"/>
            </w:tcBorders>
            <w:shd w:val="clear" w:color="auto" w:fill="auto"/>
            <w:noWrap/>
            <w:vAlign w:val="center"/>
            <w:hideMark/>
          </w:tcPr>
          <w:p w14:paraId="68524630" w14:textId="77777777" w:rsidR="00A33758" w:rsidRPr="00E21223" w:rsidRDefault="00A33758" w:rsidP="00A33758">
            <w:pPr>
              <w:spacing w:after="0" w:line="240" w:lineRule="auto"/>
              <w:rPr>
                <w:rFonts w:ascii="Times New Roman" w:eastAsia="Times New Roman" w:hAnsi="Times New Roman" w:cs="Times New Roman"/>
                <w:sz w:val="18"/>
                <w:szCs w:val="20"/>
                <w:lang w:eastAsia="pt-BR"/>
              </w:rPr>
            </w:pPr>
          </w:p>
        </w:tc>
        <w:tc>
          <w:tcPr>
            <w:tcW w:w="606" w:type="pct"/>
            <w:gridSpan w:val="2"/>
            <w:tcBorders>
              <w:top w:val="nil"/>
              <w:left w:val="nil"/>
              <w:bottom w:val="nil"/>
              <w:right w:val="nil"/>
            </w:tcBorders>
            <w:shd w:val="clear" w:color="auto" w:fill="auto"/>
            <w:vAlign w:val="center"/>
            <w:hideMark/>
          </w:tcPr>
          <w:p w14:paraId="375B80D8" w14:textId="77777777" w:rsidR="00A33758" w:rsidRPr="00E21223" w:rsidRDefault="00A33758" w:rsidP="00A33758">
            <w:pPr>
              <w:spacing w:after="0" w:line="240" w:lineRule="auto"/>
              <w:jc w:val="center"/>
              <w:rPr>
                <w:rFonts w:ascii="Verdana" w:eastAsia="Times New Roman" w:hAnsi="Verdana" w:cs="Calibri"/>
                <w:b/>
                <w:bCs/>
                <w:sz w:val="18"/>
                <w:szCs w:val="20"/>
                <w:lang w:eastAsia="pt-BR"/>
              </w:rPr>
            </w:pPr>
            <w:r w:rsidRPr="00E21223">
              <w:rPr>
                <w:rFonts w:ascii="Verdana" w:eastAsia="Times New Roman" w:hAnsi="Verdana" w:cs="Calibri"/>
                <w:b/>
                <w:bCs/>
                <w:sz w:val="18"/>
                <w:szCs w:val="20"/>
                <w:lang w:eastAsia="pt-BR"/>
              </w:rPr>
              <w:t>Capital Social</w:t>
            </w:r>
          </w:p>
        </w:tc>
        <w:tc>
          <w:tcPr>
            <w:tcW w:w="561" w:type="pct"/>
            <w:tcBorders>
              <w:top w:val="nil"/>
              <w:left w:val="nil"/>
              <w:bottom w:val="nil"/>
              <w:right w:val="nil"/>
            </w:tcBorders>
            <w:shd w:val="clear" w:color="auto" w:fill="auto"/>
            <w:vAlign w:val="center"/>
            <w:hideMark/>
          </w:tcPr>
          <w:p w14:paraId="4C6ABD67" w14:textId="77777777" w:rsidR="00A33758" w:rsidRPr="00E21223" w:rsidRDefault="00A33758" w:rsidP="00A33758">
            <w:pPr>
              <w:spacing w:after="0" w:line="240" w:lineRule="auto"/>
              <w:jc w:val="center"/>
              <w:rPr>
                <w:rFonts w:ascii="Verdana" w:eastAsia="Times New Roman" w:hAnsi="Verdana" w:cs="Calibri"/>
                <w:b/>
                <w:bCs/>
                <w:sz w:val="18"/>
                <w:szCs w:val="20"/>
                <w:lang w:eastAsia="pt-BR"/>
              </w:rPr>
            </w:pPr>
            <w:r w:rsidRPr="00E21223">
              <w:rPr>
                <w:rFonts w:ascii="Verdana" w:eastAsia="Times New Roman" w:hAnsi="Verdana" w:cs="Calibri"/>
                <w:b/>
                <w:bCs/>
                <w:sz w:val="18"/>
                <w:szCs w:val="20"/>
                <w:lang w:eastAsia="pt-BR"/>
              </w:rPr>
              <w:t>Lucros acumulados</w:t>
            </w:r>
          </w:p>
        </w:tc>
        <w:tc>
          <w:tcPr>
            <w:tcW w:w="52" w:type="pct"/>
            <w:tcBorders>
              <w:top w:val="nil"/>
              <w:left w:val="nil"/>
              <w:bottom w:val="nil"/>
              <w:right w:val="nil"/>
            </w:tcBorders>
            <w:shd w:val="clear" w:color="auto" w:fill="auto"/>
            <w:vAlign w:val="center"/>
            <w:hideMark/>
          </w:tcPr>
          <w:p w14:paraId="35F0F794" w14:textId="77777777" w:rsidR="00A33758" w:rsidRPr="00E21223" w:rsidRDefault="00A33758" w:rsidP="00A33758">
            <w:pPr>
              <w:spacing w:after="0" w:line="240" w:lineRule="auto"/>
              <w:jc w:val="center"/>
              <w:rPr>
                <w:rFonts w:ascii="Verdana" w:eastAsia="Times New Roman" w:hAnsi="Verdana" w:cs="Calibri"/>
                <w:b/>
                <w:bCs/>
                <w:sz w:val="18"/>
                <w:szCs w:val="20"/>
                <w:lang w:eastAsia="pt-BR"/>
              </w:rPr>
            </w:pPr>
          </w:p>
        </w:tc>
        <w:tc>
          <w:tcPr>
            <w:tcW w:w="559" w:type="pct"/>
            <w:tcBorders>
              <w:top w:val="nil"/>
              <w:left w:val="nil"/>
              <w:bottom w:val="nil"/>
              <w:right w:val="nil"/>
            </w:tcBorders>
            <w:shd w:val="clear" w:color="auto" w:fill="auto"/>
            <w:vAlign w:val="center"/>
            <w:hideMark/>
          </w:tcPr>
          <w:p w14:paraId="7856B677" w14:textId="77777777" w:rsidR="00A33758" w:rsidRPr="00E21223" w:rsidRDefault="00A33758" w:rsidP="00A33758">
            <w:pPr>
              <w:spacing w:after="0" w:line="240" w:lineRule="auto"/>
              <w:jc w:val="center"/>
              <w:rPr>
                <w:rFonts w:ascii="Verdana" w:eastAsia="Times New Roman" w:hAnsi="Verdana" w:cs="Calibri"/>
                <w:b/>
                <w:bCs/>
                <w:sz w:val="18"/>
                <w:szCs w:val="20"/>
                <w:lang w:eastAsia="pt-BR"/>
              </w:rPr>
            </w:pPr>
            <w:r w:rsidRPr="00E21223">
              <w:rPr>
                <w:rFonts w:ascii="Verdana" w:eastAsia="Times New Roman" w:hAnsi="Verdana" w:cs="Calibri"/>
                <w:b/>
                <w:bCs/>
                <w:sz w:val="18"/>
                <w:szCs w:val="20"/>
                <w:lang w:eastAsia="pt-BR"/>
              </w:rPr>
              <w:t>Outros resultados abrangentes</w:t>
            </w:r>
          </w:p>
        </w:tc>
        <w:tc>
          <w:tcPr>
            <w:tcW w:w="52" w:type="pct"/>
            <w:tcBorders>
              <w:top w:val="nil"/>
              <w:left w:val="nil"/>
              <w:bottom w:val="nil"/>
              <w:right w:val="nil"/>
            </w:tcBorders>
            <w:shd w:val="clear" w:color="auto" w:fill="auto"/>
            <w:vAlign w:val="center"/>
            <w:hideMark/>
          </w:tcPr>
          <w:p w14:paraId="31A2DAEF" w14:textId="77777777" w:rsidR="00A33758" w:rsidRPr="00E21223" w:rsidRDefault="00A33758" w:rsidP="00A33758">
            <w:pPr>
              <w:spacing w:after="0" w:line="240" w:lineRule="auto"/>
              <w:jc w:val="center"/>
              <w:rPr>
                <w:rFonts w:ascii="Verdana" w:eastAsia="Times New Roman" w:hAnsi="Verdana" w:cs="Calibri"/>
                <w:b/>
                <w:bCs/>
                <w:sz w:val="18"/>
                <w:szCs w:val="20"/>
                <w:lang w:eastAsia="pt-BR"/>
              </w:rPr>
            </w:pPr>
          </w:p>
        </w:tc>
        <w:tc>
          <w:tcPr>
            <w:tcW w:w="546" w:type="pct"/>
            <w:tcBorders>
              <w:top w:val="nil"/>
              <w:left w:val="nil"/>
              <w:bottom w:val="nil"/>
              <w:right w:val="nil"/>
            </w:tcBorders>
            <w:shd w:val="clear" w:color="auto" w:fill="auto"/>
            <w:vAlign w:val="center"/>
            <w:hideMark/>
          </w:tcPr>
          <w:p w14:paraId="4FB5C549" w14:textId="77777777" w:rsidR="00A33758" w:rsidRPr="00E21223" w:rsidRDefault="00A33758" w:rsidP="00A33758">
            <w:pPr>
              <w:spacing w:after="0" w:line="240" w:lineRule="auto"/>
              <w:jc w:val="center"/>
              <w:rPr>
                <w:rFonts w:ascii="Verdana" w:eastAsia="Times New Roman" w:hAnsi="Verdana" w:cs="Calibri"/>
                <w:b/>
                <w:bCs/>
                <w:sz w:val="18"/>
                <w:szCs w:val="20"/>
                <w:lang w:eastAsia="pt-BR"/>
              </w:rPr>
            </w:pPr>
            <w:r w:rsidRPr="00E21223">
              <w:rPr>
                <w:rFonts w:ascii="Verdana" w:eastAsia="Times New Roman" w:hAnsi="Verdana" w:cs="Calibri"/>
                <w:b/>
                <w:bCs/>
                <w:sz w:val="18"/>
                <w:szCs w:val="20"/>
                <w:lang w:eastAsia="pt-BR"/>
              </w:rPr>
              <w:t xml:space="preserve">Total </w:t>
            </w:r>
            <w:proofErr w:type="spellStart"/>
            <w:r w:rsidRPr="00E21223">
              <w:rPr>
                <w:rFonts w:ascii="Verdana" w:eastAsia="Times New Roman" w:hAnsi="Verdana" w:cs="Calibri"/>
                <w:b/>
                <w:bCs/>
                <w:sz w:val="18"/>
                <w:szCs w:val="20"/>
                <w:lang w:eastAsia="pt-BR"/>
              </w:rPr>
              <w:t>ENBPar</w:t>
            </w:r>
            <w:proofErr w:type="spellEnd"/>
          </w:p>
        </w:tc>
        <w:tc>
          <w:tcPr>
            <w:tcW w:w="52" w:type="pct"/>
            <w:tcBorders>
              <w:top w:val="nil"/>
              <w:left w:val="nil"/>
              <w:bottom w:val="nil"/>
              <w:right w:val="nil"/>
            </w:tcBorders>
            <w:shd w:val="clear" w:color="auto" w:fill="auto"/>
            <w:vAlign w:val="center"/>
            <w:hideMark/>
          </w:tcPr>
          <w:p w14:paraId="0B5E5FC8" w14:textId="77777777" w:rsidR="00A33758" w:rsidRPr="00E21223" w:rsidRDefault="00A33758" w:rsidP="00A33758">
            <w:pPr>
              <w:spacing w:after="0" w:line="240" w:lineRule="auto"/>
              <w:jc w:val="center"/>
              <w:rPr>
                <w:rFonts w:ascii="Verdana" w:eastAsia="Times New Roman" w:hAnsi="Verdana" w:cs="Calibri"/>
                <w:b/>
                <w:bCs/>
                <w:sz w:val="18"/>
                <w:szCs w:val="20"/>
                <w:lang w:eastAsia="pt-BR"/>
              </w:rPr>
            </w:pPr>
          </w:p>
        </w:tc>
        <w:tc>
          <w:tcPr>
            <w:tcW w:w="651" w:type="pct"/>
            <w:tcBorders>
              <w:top w:val="nil"/>
              <w:left w:val="nil"/>
              <w:bottom w:val="nil"/>
              <w:right w:val="nil"/>
            </w:tcBorders>
            <w:shd w:val="clear" w:color="auto" w:fill="auto"/>
            <w:vAlign w:val="center"/>
            <w:hideMark/>
          </w:tcPr>
          <w:p w14:paraId="3E8D4277" w14:textId="77777777" w:rsidR="00A33758" w:rsidRPr="00E21223" w:rsidRDefault="00A33758" w:rsidP="00A33758">
            <w:pPr>
              <w:spacing w:after="0" w:line="240" w:lineRule="auto"/>
              <w:jc w:val="center"/>
              <w:rPr>
                <w:rFonts w:ascii="Verdana" w:eastAsia="Times New Roman" w:hAnsi="Verdana" w:cs="Calibri"/>
                <w:b/>
                <w:bCs/>
                <w:sz w:val="18"/>
                <w:szCs w:val="20"/>
                <w:lang w:eastAsia="pt-BR"/>
              </w:rPr>
            </w:pPr>
            <w:r w:rsidRPr="00E21223">
              <w:rPr>
                <w:rFonts w:ascii="Verdana" w:eastAsia="Times New Roman" w:hAnsi="Verdana" w:cs="Calibri"/>
                <w:b/>
                <w:bCs/>
                <w:sz w:val="18"/>
                <w:szCs w:val="20"/>
                <w:lang w:eastAsia="pt-BR"/>
              </w:rPr>
              <w:t>Participação não controladores</w:t>
            </w:r>
          </w:p>
        </w:tc>
        <w:tc>
          <w:tcPr>
            <w:tcW w:w="52" w:type="pct"/>
            <w:tcBorders>
              <w:top w:val="nil"/>
              <w:left w:val="nil"/>
              <w:bottom w:val="nil"/>
              <w:right w:val="nil"/>
            </w:tcBorders>
            <w:shd w:val="clear" w:color="auto" w:fill="auto"/>
            <w:vAlign w:val="center"/>
            <w:hideMark/>
          </w:tcPr>
          <w:p w14:paraId="4C3B9BA8" w14:textId="77777777" w:rsidR="00A33758" w:rsidRPr="00E21223" w:rsidRDefault="00A33758" w:rsidP="00A33758">
            <w:pPr>
              <w:spacing w:after="0" w:line="240" w:lineRule="auto"/>
              <w:jc w:val="center"/>
              <w:rPr>
                <w:rFonts w:ascii="Verdana" w:eastAsia="Times New Roman" w:hAnsi="Verdana" w:cs="Calibri"/>
                <w:b/>
                <w:bCs/>
                <w:sz w:val="18"/>
                <w:szCs w:val="20"/>
                <w:lang w:eastAsia="pt-BR"/>
              </w:rPr>
            </w:pPr>
          </w:p>
        </w:tc>
        <w:tc>
          <w:tcPr>
            <w:tcW w:w="536" w:type="pct"/>
            <w:tcBorders>
              <w:top w:val="nil"/>
              <w:left w:val="nil"/>
              <w:bottom w:val="nil"/>
              <w:right w:val="nil"/>
            </w:tcBorders>
            <w:shd w:val="clear" w:color="auto" w:fill="auto"/>
            <w:vAlign w:val="center"/>
            <w:hideMark/>
          </w:tcPr>
          <w:p w14:paraId="25CF605D" w14:textId="77777777" w:rsidR="00A33758" w:rsidRPr="00E21223" w:rsidRDefault="00A33758" w:rsidP="00A33758">
            <w:pPr>
              <w:spacing w:after="0" w:line="240" w:lineRule="auto"/>
              <w:jc w:val="center"/>
              <w:rPr>
                <w:rFonts w:ascii="Verdana" w:eastAsia="Times New Roman" w:hAnsi="Verdana" w:cs="Calibri"/>
                <w:b/>
                <w:bCs/>
                <w:sz w:val="18"/>
                <w:szCs w:val="20"/>
                <w:lang w:eastAsia="pt-BR"/>
              </w:rPr>
            </w:pPr>
            <w:r w:rsidRPr="00E21223">
              <w:rPr>
                <w:rFonts w:ascii="Verdana" w:eastAsia="Times New Roman" w:hAnsi="Verdana" w:cs="Calibri"/>
                <w:b/>
                <w:bCs/>
                <w:sz w:val="18"/>
                <w:szCs w:val="20"/>
                <w:lang w:eastAsia="pt-BR"/>
              </w:rPr>
              <w:t>Total</w:t>
            </w:r>
          </w:p>
        </w:tc>
      </w:tr>
      <w:tr w:rsidR="00F7132F" w:rsidRPr="00E21223" w14:paraId="21ACC12C" w14:textId="77777777" w:rsidTr="00385A93">
        <w:trPr>
          <w:trHeight w:val="20"/>
        </w:trPr>
        <w:tc>
          <w:tcPr>
            <w:tcW w:w="1280" w:type="pct"/>
            <w:tcBorders>
              <w:top w:val="nil"/>
              <w:left w:val="nil"/>
              <w:bottom w:val="nil"/>
              <w:right w:val="nil"/>
            </w:tcBorders>
            <w:shd w:val="clear" w:color="auto" w:fill="auto"/>
            <w:noWrap/>
            <w:vAlign w:val="center"/>
            <w:hideMark/>
          </w:tcPr>
          <w:p w14:paraId="52E784A8" w14:textId="77777777" w:rsidR="00A33758" w:rsidRPr="00E21223" w:rsidRDefault="00A33758" w:rsidP="00A33758">
            <w:pPr>
              <w:spacing w:after="0" w:line="240" w:lineRule="auto"/>
              <w:jc w:val="center"/>
              <w:rPr>
                <w:rFonts w:ascii="Verdana" w:eastAsia="Times New Roman" w:hAnsi="Verdana" w:cs="Calibri"/>
                <w:b/>
                <w:bCs/>
                <w:sz w:val="18"/>
                <w:szCs w:val="20"/>
                <w:lang w:eastAsia="pt-BR"/>
              </w:rPr>
            </w:pPr>
          </w:p>
        </w:tc>
        <w:tc>
          <w:tcPr>
            <w:tcW w:w="54" w:type="pct"/>
            <w:tcBorders>
              <w:top w:val="nil"/>
              <w:left w:val="nil"/>
              <w:bottom w:val="nil"/>
              <w:right w:val="nil"/>
            </w:tcBorders>
            <w:shd w:val="clear" w:color="auto" w:fill="auto"/>
            <w:noWrap/>
            <w:vAlign w:val="center"/>
            <w:hideMark/>
          </w:tcPr>
          <w:p w14:paraId="16D8FD59" w14:textId="77777777" w:rsidR="00A33758" w:rsidRPr="00E21223" w:rsidRDefault="00A33758" w:rsidP="00A33758">
            <w:pPr>
              <w:spacing w:after="0" w:line="240" w:lineRule="auto"/>
              <w:rPr>
                <w:rFonts w:ascii="Times New Roman" w:eastAsia="Times New Roman" w:hAnsi="Times New Roman" w:cs="Times New Roman"/>
                <w:sz w:val="18"/>
                <w:szCs w:val="20"/>
                <w:lang w:eastAsia="pt-BR"/>
              </w:rPr>
            </w:pPr>
          </w:p>
        </w:tc>
        <w:tc>
          <w:tcPr>
            <w:tcW w:w="555" w:type="pct"/>
            <w:tcBorders>
              <w:top w:val="nil"/>
              <w:left w:val="nil"/>
              <w:bottom w:val="single" w:sz="4" w:space="0" w:color="auto"/>
              <w:right w:val="nil"/>
            </w:tcBorders>
            <w:shd w:val="clear" w:color="auto" w:fill="auto"/>
            <w:vAlign w:val="center"/>
            <w:hideMark/>
          </w:tcPr>
          <w:p w14:paraId="1D7BEA6B" w14:textId="77777777" w:rsidR="00A33758" w:rsidRPr="00E21223" w:rsidRDefault="00A33758" w:rsidP="00A33758">
            <w:pPr>
              <w:spacing w:after="0" w:line="240" w:lineRule="auto"/>
              <w:jc w:val="center"/>
              <w:rPr>
                <w:rFonts w:ascii="Verdana" w:eastAsia="Times New Roman" w:hAnsi="Verdana" w:cs="Calibri"/>
                <w:b/>
                <w:bCs/>
                <w:sz w:val="18"/>
                <w:szCs w:val="16"/>
                <w:lang w:eastAsia="pt-BR"/>
              </w:rPr>
            </w:pPr>
            <w:r w:rsidRPr="00E21223">
              <w:rPr>
                <w:rFonts w:ascii="Verdana" w:eastAsia="Times New Roman" w:hAnsi="Verdana" w:cs="Calibri"/>
                <w:b/>
                <w:bCs/>
                <w:sz w:val="18"/>
                <w:szCs w:val="16"/>
                <w:lang w:eastAsia="pt-BR"/>
              </w:rPr>
              <w:t> </w:t>
            </w:r>
          </w:p>
        </w:tc>
        <w:tc>
          <w:tcPr>
            <w:tcW w:w="52" w:type="pct"/>
            <w:tcBorders>
              <w:top w:val="nil"/>
              <w:left w:val="nil"/>
              <w:bottom w:val="nil"/>
              <w:right w:val="nil"/>
            </w:tcBorders>
            <w:shd w:val="clear" w:color="auto" w:fill="auto"/>
            <w:vAlign w:val="center"/>
            <w:hideMark/>
          </w:tcPr>
          <w:p w14:paraId="35DCCF5B" w14:textId="77777777" w:rsidR="00A33758" w:rsidRPr="00E21223" w:rsidRDefault="00A33758" w:rsidP="00A33758">
            <w:pPr>
              <w:spacing w:after="0" w:line="240" w:lineRule="auto"/>
              <w:jc w:val="center"/>
              <w:rPr>
                <w:rFonts w:ascii="Verdana" w:eastAsia="Times New Roman" w:hAnsi="Verdana" w:cs="Calibri"/>
                <w:b/>
                <w:bCs/>
                <w:sz w:val="18"/>
                <w:szCs w:val="16"/>
                <w:lang w:eastAsia="pt-BR"/>
              </w:rPr>
            </w:pPr>
          </w:p>
        </w:tc>
        <w:tc>
          <w:tcPr>
            <w:tcW w:w="561" w:type="pct"/>
            <w:tcBorders>
              <w:top w:val="nil"/>
              <w:left w:val="nil"/>
              <w:bottom w:val="single" w:sz="4" w:space="0" w:color="auto"/>
              <w:right w:val="nil"/>
            </w:tcBorders>
            <w:shd w:val="clear" w:color="auto" w:fill="auto"/>
            <w:vAlign w:val="center"/>
            <w:hideMark/>
          </w:tcPr>
          <w:p w14:paraId="730BB0A5" w14:textId="77777777" w:rsidR="00A33758" w:rsidRPr="00E21223" w:rsidRDefault="00A33758" w:rsidP="00A33758">
            <w:pPr>
              <w:spacing w:after="0" w:line="240" w:lineRule="auto"/>
              <w:jc w:val="center"/>
              <w:rPr>
                <w:rFonts w:ascii="Verdana" w:eastAsia="Times New Roman" w:hAnsi="Verdana" w:cs="Calibri"/>
                <w:b/>
                <w:bCs/>
                <w:sz w:val="18"/>
                <w:szCs w:val="16"/>
                <w:lang w:eastAsia="pt-BR"/>
              </w:rPr>
            </w:pPr>
            <w:r w:rsidRPr="00E21223">
              <w:rPr>
                <w:rFonts w:ascii="Verdana" w:eastAsia="Times New Roman" w:hAnsi="Verdana" w:cs="Calibri"/>
                <w:b/>
                <w:bCs/>
                <w:sz w:val="18"/>
                <w:szCs w:val="16"/>
                <w:lang w:eastAsia="pt-BR"/>
              </w:rPr>
              <w:t> </w:t>
            </w:r>
          </w:p>
        </w:tc>
        <w:tc>
          <w:tcPr>
            <w:tcW w:w="52" w:type="pct"/>
            <w:tcBorders>
              <w:top w:val="nil"/>
              <w:left w:val="nil"/>
              <w:bottom w:val="nil"/>
              <w:right w:val="nil"/>
            </w:tcBorders>
            <w:shd w:val="clear" w:color="auto" w:fill="auto"/>
            <w:vAlign w:val="center"/>
            <w:hideMark/>
          </w:tcPr>
          <w:p w14:paraId="22849AEF" w14:textId="77777777" w:rsidR="00A33758" w:rsidRPr="00E21223" w:rsidRDefault="00A33758" w:rsidP="00A33758">
            <w:pPr>
              <w:spacing w:after="0" w:line="240" w:lineRule="auto"/>
              <w:jc w:val="center"/>
              <w:rPr>
                <w:rFonts w:ascii="Verdana" w:eastAsia="Times New Roman" w:hAnsi="Verdana" w:cs="Calibri"/>
                <w:b/>
                <w:bCs/>
                <w:sz w:val="18"/>
                <w:szCs w:val="16"/>
                <w:lang w:eastAsia="pt-BR"/>
              </w:rPr>
            </w:pPr>
          </w:p>
        </w:tc>
        <w:tc>
          <w:tcPr>
            <w:tcW w:w="559" w:type="pct"/>
            <w:tcBorders>
              <w:top w:val="nil"/>
              <w:left w:val="nil"/>
              <w:bottom w:val="single" w:sz="4" w:space="0" w:color="auto"/>
              <w:right w:val="nil"/>
            </w:tcBorders>
            <w:shd w:val="clear" w:color="auto" w:fill="auto"/>
            <w:vAlign w:val="center"/>
            <w:hideMark/>
          </w:tcPr>
          <w:p w14:paraId="5438995E" w14:textId="77777777" w:rsidR="00A33758" w:rsidRPr="00E21223" w:rsidRDefault="00A33758" w:rsidP="00A33758">
            <w:pPr>
              <w:spacing w:after="0" w:line="240" w:lineRule="auto"/>
              <w:jc w:val="center"/>
              <w:rPr>
                <w:rFonts w:ascii="Verdana" w:eastAsia="Times New Roman" w:hAnsi="Verdana" w:cs="Calibri"/>
                <w:b/>
                <w:bCs/>
                <w:sz w:val="18"/>
                <w:szCs w:val="16"/>
                <w:lang w:eastAsia="pt-BR"/>
              </w:rPr>
            </w:pPr>
            <w:r w:rsidRPr="00E21223">
              <w:rPr>
                <w:rFonts w:ascii="Verdana" w:eastAsia="Times New Roman" w:hAnsi="Verdana" w:cs="Calibri"/>
                <w:b/>
                <w:bCs/>
                <w:sz w:val="18"/>
                <w:szCs w:val="16"/>
                <w:lang w:eastAsia="pt-BR"/>
              </w:rPr>
              <w:t> </w:t>
            </w:r>
          </w:p>
        </w:tc>
        <w:tc>
          <w:tcPr>
            <w:tcW w:w="52" w:type="pct"/>
            <w:tcBorders>
              <w:top w:val="nil"/>
              <w:left w:val="nil"/>
              <w:bottom w:val="nil"/>
              <w:right w:val="nil"/>
            </w:tcBorders>
            <w:shd w:val="clear" w:color="auto" w:fill="auto"/>
            <w:vAlign w:val="center"/>
            <w:hideMark/>
          </w:tcPr>
          <w:p w14:paraId="1A607D1F" w14:textId="77777777" w:rsidR="00A33758" w:rsidRPr="00E21223" w:rsidRDefault="00A33758" w:rsidP="00A33758">
            <w:pPr>
              <w:spacing w:after="0" w:line="240" w:lineRule="auto"/>
              <w:jc w:val="center"/>
              <w:rPr>
                <w:rFonts w:ascii="Verdana" w:eastAsia="Times New Roman" w:hAnsi="Verdana" w:cs="Calibri"/>
                <w:b/>
                <w:bCs/>
                <w:sz w:val="18"/>
                <w:szCs w:val="16"/>
                <w:lang w:eastAsia="pt-BR"/>
              </w:rPr>
            </w:pPr>
          </w:p>
        </w:tc>
        <w:tc>
          <w:tcPr>
            <w:tcW w:w="546" w:type="pct"/>
            <w:tcBorders>
              <w:top w:val="nil"/>
              <w:left w:val="nil"/>
              <w:bottom w:val="single" w:sz="4" w:space="0" w:color="auto"/>
              <w:right w:val="nil"/>
            </w:tcBorders>
            <w:shd w:val="clear" w:color="auto" w:fill="auto"/>
            <w:vAlign w:val="center"/>
            <w:hideMark/>
          </w:tcPr>
          <w:p w14:paraId="02ACDD2A" w14:textId="77777777" w:rsidR="00A33758" w:rsidRPr="00E21223" w:rsidRDefault="00A33758" w:rsidP="00A33758">
            <w:pPr>
              <w:spacing w:after="0" w:line="240" w:lineRule="auto"/>
              <w:jc w:val="center"/>
              <w:rPr>
                <w:rFonts w:ascii="Verdana" w:eastAsia="Times New Roman" w:hAnsi="Verdana" w:cs="Calibri"/>
                <w:b/>
                <w:bCs/>
                <w:sz w:val="18"/>
                <w:szCs w:val="16"/>
                <w:lang w:eastAsia="pt-BR"/>
              </w:rPr>
            </w:pPr>
            <w:r w:rsidRPr="00E21223">
              <w:rPr>
                <w:rFonts w:ascii="Verdana" w:eastAsia="Times New Roman" w:hAnsi="Verdana" w:cs="Calibri"/>
                <w:b/>
                <w:bCs/>
                <w:sz w:val="18"/>
                <w:szCs w:val="16"/>
                <w:lang w:eastAsia="pt-BR"/>
              </w:rPr>
              <w:t> </w:t>
            </w:r>
          </w:p>
        </w:tc>
        <w:tc>
          <w:tcPr>
            <w:tcW w:w="52" w:type="pct"/>
            <w:tcBorders>
              <w:top w:val="nil"/>
              <w:left w:val="nil"/>
              <w:bottom w:val="nil"/>
              <w:right w:val="nil"/>
            </w:tcBorders>
            <w:shd w:val="clear" w:color="auto" w:fill="auto"/>
            <w:vAlign w:val="center"/>
            <w:hideMark/>
          </w:tcPr>
          <w:p w14:paraId="3CAD5200" w14:textId="77777777" w:rsidR="00A33758" w:rsidRPr="00E21223" w:rsidRDefault="00A33758" w:rsidP="00A33758">
            <w:pPr>
              <w:spacing w:after="0" w:line="240" w:lineRule="auto"/>
              <w:jc w:val="center"/>
              <w:rPr>
                <w:rFonts w:ascii="Verdana" w:eastAsia="Times New Roman" w:hAnsi="Verdana" w:cs="Calibri"/>
                <w:b/>
                <w:bCs/>
                <w:sz w:val="18"/>
                <w:szCs w:val="16"/>
                <w:lang w:eastAsia="pt-BR"/>
              </w:rPr>
            </w:pPr>
          </w:p>
        </w:tc>
        <w:tc>
          <w:tcPr>
            <w:tcW w:w="651" w:type="pct"/>
            <w:tcBorders>
              <w:top w:val="nil"/>
              <w:left w:val="nil"/>
              <w:bottom w:val="single" w:sz="4" w:space="0" w:color="auto"/>
              <w:right w:val="nil"/>
            </w:tcBorders>
            <w:shd w:val="clear" w:color="auto" w:fill="auto"/>
            <w:vAlign w:val="center"/>
            <w:hideMark/>
          </w:tcPr>
          <w:p w14:paraId="602F9740" w14:textId="77777777" w:rsidR="00A33758" w:rsidRPr="00E21223" w:rsidRDefault="00A33758" w:rsidP="00A33758">
            <w:pPr>
              <w:spacing w:after="0" w:line="240" w:lineRule="auto"/>
              <w:jc w:val="center"/>
              <w:rPr>
                <w:rFonts w:ascii="Verdana" w:eastAsia="Times New Roman" w:hAnsi="Verdana" w:cs="Calibri"/>
                <w:b/>
                <w:bCs/>
                <w:sz w:val="18"/>
                <w:szCs w:val="16"/>
                <w:lang w:eastAsia="pt-BR"/>
              </w:rPr>
            </w:pPr>
            <w:r w:rsidRPr="00E21223">
              <w:rPr>
                <w:rFonts w:ascii="Verdana" w:eastAsia="Times New Roman" w:hAnsi="Verdana" w:cs="Calibri"/>
                <w:b/>
                <w:bCs/>
                <w:sz w:val="18"/>
                <w:szCs w:val="16"/>
                <w:lang w:eastAsia="pt-BR"/>
              </w:rPr>
              <w:t> </w:t>
            </w:r>
          </w:p>
        </w:tc>
        <w:tc>
          <w:tcPr>
            <w:tcW w:w="52" w:type="pct"/>
            <w:tcBorders>
              <w:top w:val="nil"/>
              <w:left w:val="nil"/>
              <w:bottom w:val="nil"/>
              <w:right w:val="nil"/>
            </w:tcBorders>
            <w:shd w:val="clear" w:color="auto" w:fill="auto"/>
            <w:vAlign w:val="center"/>
            <w:hideMark/>
          </w:tcPr>
          <w:p w14:paraId="1CCA6D82" w14:textId="77777777" w:rsidR="00A33758" w:rsidRPr="00E21223" w:rsidRDefault="00A33758" w:rsidP="00A33758">
            <w:pPr>
              <w:spacing w:after="0" w:line="240" w:lineRule="auto"/>
              <w:jc w:val="center"/>
              <w:rPr>
                <w:rFonts w:ascii="Verdana" w:eastAsia="Times New Roman" w:hAnsi="Verdana" w:cs="Calibri"/>
                <w:b/>
                <w:bCs/>
                <w:sz w:val="18"/>
                <w:szCs w:val="16"/>
                <w:lang w:eastAsia="pt-BR"/>
              </w:rPr>
            </w:pPr>
          </w:p>
        </w:tc>
        <w:tc>
          <w:tcPr>
            <w:tcW w:w="536" w:type="pct"/>
            <w:tcBorders>
              <w:top w:val="nil"/>
              <w:left w:val="nil"/>
              <w:bottom w:val="single" w:sz="4" w:space="0" w:color="auto"/>
              <w:right w:val="nil"/>
            </w:tcBorders>
            <w:shd w:val="clear" w:color="auto" w:fill="auto"/>
            <w:vAlign w:val="center"/>
            <w:hideMark/>
          </w:tcPr>
          <w:p w14:paraId="1CD7E65A" w14:textId="77777777" w:rsidR="00A33758" w:rsidRPr="00E21223" w:rsidRDefault="00A33758" w:rsidP="00A33758">
            <w:pPr>
              <w:spacing w:after="0" w:line="240" w:lineRule="auto"/>
              <w:jc w:val="center"/>
              <w:rPr>
                <w:rFonts w:ascii="Verdana" w:eastAsia="Times New Roman" w:hAnsi="Verdana" w:cs="Calibri"/>
                <w:b/>
                <w:bCs/>
                <w:sz w:val="18"/>
                <w:szCs w:val="16"/>
                <w:lang w:eastAsia="pt-BR"/>
              </w:rPr>
            </w:pPr>
            <w:r w:rsidRPr="00E21223">
              <w:rPr>
                <w:rFonts w:ascii="Verdana" w:eastAsia="Times New Roman" w:hAnsi="Verdana" w:cs="Calibri"/>
                <w:b/>
                <w:bCs/>
                <w:sz w:val="18"/>
                <w:szCs w:val="16"/>
                <w:lang w:eastAsia="pt-BR"/>
              </w:rPr>
              <w:t> </w:t>
            </w:r>
          </w:p>
        </w:tc>
      </w:tr>
      <w:tr w:rsidR="00A33758" w:rsidRPr="00E21223" w14:paraId="11E56379" w14:textId="77777777" w:rsidTr="00F7132F">
        <w:trPr>
          <w:trHeight w:val="20"/>
        </w:trPr>
        <w:tc>
          <w:tcPr>
            <w:tcW w:w="1280" w:type="pct"/>
            <w:tcBorders>
              <w:top w:val="nil"/>
              <w:left w:val="nil"/>
              <w:bottom w:val="nil"/>
              <w:right w:val="nil"/>
            </w:tcBorders>
            <w:shd w:val="clear" w:color="auto" w:fill="auto"/>
            <w:noWrap/>
            <w:vAlign w:val="bottom"/>
            <w:hideMark/>
          </w:tcPr>
          <w:p w14:paraId="7B7B6A7B" w14:textId="77777777" w:rsidR="00A33758" w:rsidRPr="00E21223" w:rsidRDefault="00A33758" w:rsidP="00A33758">
            <w:pPr>
              <w:spacing w:after="0" w:line="240" w:lineRule="auto"/>
              <w:jc w:val="center"/>
              <w:rPr>
                <w:rFonts w:ascii="Verdana" w:eastAsia="Times New Roman" w:hAnsi="Verdana" w:cs="Calibri"/>
                <w:b/>
                <w:bCs/>
                <w:sz w:val="18"/>
                <w:szCs w:val="16"/>
                <w:lang w:eastAsia="pt-BR"/>
              </w:rPr>
            </w:pPr>
          </w:p>
        </w:tc>
        <w:tc>
          <w:tcPr>
            <w:tcW w:w="54" w:type="pct"/>
            <w:tcBorders>
              <w:top w:val="nil"/>
              <w:left w:val="nil"/>
              <w:bottom w:val="nil"/>
              <w:right w:val="nil"/>
            </w:tcBorders>
            <w:shd w:val="clear" w:color="auto" w:fill="auto"/>
            <w:noWrap/>
            <w:vAlign w:val="bottom"/>
            <w:hideMark/>
          </w:tcPr>
          <w:p w14:paraId="48B0E50C" w14:textId="77777777" w:rsidR="00A33758" w:rsidRPr="00E21223" w:rsidRDefault="00A33758" w:rsidP="00A33758">
            <w:pPr>
              <w:spacing w:after="0" w:line="240" w:lineRule="auto"/>
              <w:rPr>
                <w:rFonts w:ascii="Times New Roman" w:eastAsia="Times New Roman" w:hAnsi="Times New Roman" w:cs="Times New Roman"/>
                <w:sz w:val="18"/>
                <w:szCs w:val="20"/>
                <w:lang w:eastAsia="pt-BR"/>
              </w:rPr>
            </w:pPr>
          </w:p>
        </w:tc>
        <w:tc>
          <w:tcPr>
            <w:tcW w:w="555" w:type="pct"/>
            <w:tcBorders>
              <w:top w:val="nil"/>
              <w:left w:val="nil"/>
              <w:bottom w:val="nil"/>
              <w:right w:val="nil"/>
            </w:tcBorders>
            <w:shd w:val="clear" w:color="auto" w:fill="auto"/>
            <w:noWrap/>
            <w:vAlign w:val="bottom"/>
            <w:hideMark/>
          </w:tcPr>
          <w:p w14:paraId="454FDAA5" w14:textId="77777777" w:rsidR="00A33758" w:rsidRPr="00E21223" w:rsidRDefault="00A33758" w:rsidP="00A33758">
            <w:pPr>
              <w:spacing w:after="0" w:line="240" w:lineRule="auto"/>
              <w:rPr>
                <w:rFonts w:ascii="Times New Roman" w:eastAsia="Times New Roman" w:hAnsi="Times New Roman" w:cs="Times New Roman"/>
                <w:sz w:val="18"/>
                <w:szCs w:val="20"/>
                <w:lang w:eastAsia="pt-BR"/>
              </w:rPr>
            </w:pPr>
          </w:p>
        </w:tc>
        <w:tc>
          <w:tcPr>
            <w:tcW w:w="52" w:type="pct"/>
            <w:tcBorders>
              <w:top w:val="nil"/>
              <w:left w:val="nil"/>
              <w:bottom w:val="nil"/>
              <w:right w:val="nil"/>
            </w:tcBorders>
            <w:shd w:val="clear" w:color="auto" w:fill="auto"/>
            <w:noWrap/>
            <w:vAlign w:val="bottom"/>
            <w:hideMark/>
          </w:tcPr>
          <w:p w14:paraId="2383CB41" w14:textId="77777777" w:rsidR="00A33758" w:rsidRPr="00E21223" w:rsidRDefault="00A33758" w:rsidP="00A33758">
            <w:pPr>
              <w:spacing w:after="0" w:line="240" w:lineRule="auto"/>
              <w:rPr>
                <w:rFonts w:ascii="Times New Roman" w:eastAsia="Times New Roman" w:hAnsi="Times New Roman" w:cs="Times New Roman"/>
                <w:sz w:val="18"/>
                <w:szCs w:val="20"/>
                <w:lang w:eastAsia="pt-BR"/>
              </w:rPr>
            </w:pPr>
          </w:p>
        </w:tc>
        <w:tc>
          <w:tcPr>
            <w:tcW w:w="561" w:type="pct"/>
            <w:tcBorders>
              <w:top w:val="nil"/>
              <w:left w:val="nil"/>
              <w:bottom w:val="nil"/>
              <w:right w:val="nil"/>
            </w:tcBorders>
            <w:shd w:val="clear" w:color="auto" w:fill="auto"/>
            <w:noWrap/>
            <w:vAlign w:val="bottom"/>
            <w:hideMark/>
          </w:tcPr>
          <w:p w14:paraId="121931E4" w14:textId="77777777" w:rsidR="00A33758" w:rsidRPr="00E21223" w:rsidRDefault="00A33758" w:rsidP="00A33758">
            <w:pPr>
              <w:spacing w:after="0" w:line="240" w:lineRule="auto"/>
              <w:rPr>
                <w:rFonts w:ascii="Times New Roman" w:eastAsia="Times New Roman" w:hAnsi="Times New Roman" w:cs="Times New Roman"/>
                <w:sz w:val="18"/>
                <w:szCs w:val="20"/>
                <w:lang w:eastAsia="pt-BR"/>
              </w:rPr>
            </w:pPr>
          </w:p>
        </w:tc>
        <w:tc>
          <w:tcPr>
            <w:tcW w:w="52" w:type="pct"/>
            <w:tcBorders>
              <w:top w:val="nil"/>
              <w:left w:val="nil"/>
              <w:bottom w:val="nil"/>
              <w:right w:val="nil"/>
            </w:tcBorders>
            <w:shd w:val="clear" w:color="auto" w:fill="auto"/>
            <w:noWrap/>
            <w:vAlign w:val="bottom"/>
            <w:hideMark/>
          </w:tcPr>
          <w:p w14:paraId="6B9BB0EC" w14:textId="77777777" w:rsidR="00A33758" w:rsidRPr="00E21223" w:rsidRDefault="00A33758" w:rsidP="00A33758">
            <w:pPr>
              <w:spacing w:after="0" w:line="240" w:lineRule="auto"/>
              <w:rPr>
                <w:rFonts w:ascii="Times New Roman" w:eastAsia="Times New Roman" w:hAnsi="Times New Roman" w:cs="Times New Roman"/>
                <w:sz w:val="18"/>
                <w:szCs w:val="20"/>
                <w:lang w:eastAsia="pt-BR"/>
              </w:rPr>
            </w:pPr>
          </w:p>
        </w:tc>
        <w:tc>
          <w:tcPr>
            <w:tcW w:w="559" w:type="pct"/>
            <w:tcBorders>
              <w:top w:val="nil"/>
              <w:left w:val="nil"/>
              <w:bottom w:val="nil"/>
              <w:right w:val="nil"/>
            </w:tcBorders>
            <w:shd w:val="clear" w:color="auto" w:fill="auto"/>
            <w:noWrap/>
            <w:vAlign w:val="bottom"/>
            <w:hideMark/>
          </w:tcPr>
          <w:p w14:paraId="4EDF374F" w14:textId="77777777" w:rsidR="00A33758" w:rsidRPr="00E21223" w:rsidRDefault="00A33758" w:rsidP="00A33758">
            <w:pPr>
              <w:spacing w:after="0" w:line="240" w:lineRule="auto"/>
              <w:rPr>
                <w:rFonts w:ascii="Times New Roman" w:eastAsia="Times New Roman" w:hAnsi="Times New Roman" w:cs="Times New Roman"/>
                <w:sz w:val="18"/>
                <w:szCs w:val="20"/>
                <w:lang w:eastAsia="pt-BR"/>
              </w:rPr>
            </w:pPr>
          </w:p>
        </w:tc>
        <w:tc>
          <w:tcPr>
            <w:tcW w:w="52" w:type="pct"/>
            <w:tcBorders>
              <w:top w:val="nil"/>
              <w:left w:val="nil"/>
              <w:bottom w:val="nil"/>
              <w:right w:val="nil"/>
            </w:tcBorders>
            <w:shd w:val="clear" w:color="auto" w:fill="auto"/>
            <w:noWrap/>
            <w:vAlign w:val="bottom"/>
            <w:hideMark/>
          </w:tcPr>
          <w:p w14:paraId="6459A8FD" w14:textId="77777777" w:rsidR="00A33758" w:rsidRPr="00E21223" w:rsidRDefault="00A33758" w:rsidP="00A33758">
            <w:pPr>
              <w:spacing w:after="0" w:line="240" w:lineRule="auto"/>
              <w:rPr>
                <w:rFonts w:ascii="Times New Roman" w:eastAsia="Times New Roman" w:hAnsi="Times New Roman" w:cs="Times New Roman"/>
                <w:sz w:val="18"/>
                <w:szCs w:val="20"/>
                <w:lang w:eastAsia="pt-BR"/>
              </w:rPr>
            </w:pPr>
          </w:p>
        </w:tc>
        <w:tc>
          <w:tcPr>
            <w:tcW w:w="546" w:type="pct"/>
            <w:tcBorders>
              <w:top w:val="nil"/>
              <w:left w:val="nil"/>
              <w:bottom w:val="nil"/>
              <w:right w:val="nil"/>
            </w:tcBorders>
            <w:shd w:val="clear" w:color="auto" w:fill="auto"/>
            <w:noWrap/>
            <w:vAlign w:val="bottom"/>
            <w:hideMark/>
          </w:tcPr>
          <w:p w14:paraId="5EB4E333" w14:textId="77777777" w:rsidR="00A33758" w:rsidRPr="00E21223" w:rsidRDefault="00A33758" w:rsidP="00A33758">
            <w:pPr>
              <w:spacing w:after="0" w:line="240" w:lineRule="auto"/>
              <w:rPr>
                <w:rFonts w:ascii="Times New Roman" w:eastAsia="Times New Roman" w:hAnsi="Times New Roman" w:cs="Times New Roman"/>
                <w:sz w:val="18"/>
                <w:szCs w:val="20"/>
                <w:lang w:eastAsia="pt-BR"/>
              </w:rPr>
            </w:pPr>
          </w:p>
        </w:tc>
        <w:tc>
          <w:tcPr>
            <w:tcW w:w="52" w:type="pct"/>
            <w:tcBorders>
              <w:top w:val="nil"/>
              <w:left w:val="nil"/>
              <w:bottom w:val="nil"/>
              <w:right w:val="nil"/>
            </w:tcBorders>
            <w:shd w:val="clear" w:color="auto" w:fill="auto"/>
            <w:noWrap/>
            <w:vAlign w:val="bottom"/>
            <w:hideMark/>
          </w:tcPr>
          <w:p w14:paraId="5C7D0DF1" w14:textId="77777777" w:rsidR="00A33758" w:rsidRPr="00E21223" w:rsidRDefault="00A33758" w:rsidP="00A33758">
            <w:pPr>
              <w:spacing w:after="0" w:line="240" w:lineRule="auto"/>
              <w:rPr>
                <w:rFonts w:ascii="Times New Roman" w:eastAsia="Times New Roman" w:hAnsi="Times New Roman" w:cs="Times New Roman"/>
                <w:sz w:val="18"/>
                <w:szCs w:val="20"/>
                <w:lang w:eastAsia="pt-BR"/>
              </w:rPr>
            </w:pPr>
          </w:p>
        </w:tc>
        <w:tc>
          <w:tcPr>
            <w:tcW w:w="651" w:type="pct"/>
            <w:tcBorders>
              <w:top w:val="nil"/>
              <w:left w:val="nil"/>
              <w:bottom w:val="nil"/>
              <w:right w:val="nil"/>
            </w:tcBorders>
            <w:shd w:val="clear" w:color="auto" w:fill="auto"/>
            <w:noWrap/>
            <w:vAlign w:val="bottom"/>
            <w:hideMark/>
          </w:tcPr>
          <w:p w14:paraId="448CBE67" w14:textId="77777777" w:rsidR="00A33758" w:rsidRPr="00E21223" w:rsidRDefault="00A33758" w:rsidP="00A33758">
            <w:pPr>
              <w:spacing w:after="0" w:line="240" w:lineRule="auto"/>
              <w:rPr>
                <w:rFonts w:ascii="Times New Roman" w:eastAsia="Times New Roman" w:hAnsi="Times New Roman" w:cs="Times New Roman"/>
                <w:sz w:val="18"/>
                <w:szCs w:val="20"/>
                <w:lang w:eastAsia="pt-BR"/>
              </w:rPr>
            </w:pPr>
          </w:p>
        </w:tc>
        <w:tc>
          <w:tcPr>
            <w:tcW w:w="52" w:type="pct"/>
            <w:tcBorders>
              <w:top w:val="nil"/>
              <w:left w:val="nil"/>
              <w:bottom w:val="nil"/>
              <w:right w:val="nil"/>
            </w:tcBorders>
            <w:shd w:val="clear" w:color="auto" w:fill="auto"/>
            <w:noWrap/>
            <w:vAlign w:val="bottom"/>
            <w:hideMark/>
          </w:tcPr>
          <w:p w14:paraId="667145D0" w14:textId="77777777" w:rsidR="00A33758" w:rsidRPr="00E21223" w:rsidRDefault="00A33758" w:rsidP="00A33758">
            <w:pPr>
              <w:spacing w:after="0" w:line="240" w:lineRule="auto"/>
              <w:rPr>
                <w:rFonts w:ascii="Times New Roman" w:eastAsia="Times New Roman" w:hAnsi="Times New Roman" w:cs="Times New Roman"/>
                <w:sz w:val="18"/>
                <w:szCs w:val="20"/>
                <w:lang w:eastAsia="pt-BR"/>
              </w:rPr>
            </w:pPr>
          </w:p>
        </w:tc>
        <w:tc>
          <w:tcPr>
            <w:tcW w:w="536" w:type="pct"/>
            <w:tcBorders>
              <w:top w:val="nil"/>
              <w:left w:val="nil"/>
              <w:bottom w:val="nil"/>
              <w:right w:val="nil"/>
            </w:tcBorders>
            <w:shd w:val="clear" w:color="auto" w:fill="auto"/>
            <w:noWrap/>
            <w:vAlign w:val="bottom"/>
            <w:hideMark/>
          </w:tcPr>
          <w:p w14:paraId="229038F2" w14:textId="77777777" w:rsidR="00A33758" w:rsidRPr="00E21223" w:rsidRDefault="00A33758" w:rsidP="00A33758">
            <w:pPr>
              <w:spacing w:after="0" w:line="240" w:lineRule="auto"/>
              <w:rPr>
                <w:rFonts w:ascii="Times New Roman" w:eastAsia="Times New Roman" w:hAnsi="Times New Roman" w:cs="Times New Roman"/>
                <w:sz w:val="18"/>
                <w:szCs w:val="20"/>
                <w:lang w:eastAsia="pt-BR"/>
              </w:rPr>
            </w:pPr>
          </w:p>
        </w:tc>
      </w:tr>
      <w:tr w:rsidR="00A33758" w:rsidRPr="00E21223" w14:paraId="7EDEA7BB" w14:textId="77777777" w:rsidTr="00F7132F">
        <w:trPr>
          <w:trHeight w:val="20"/>
        </w:trPr>
        <w:tc>
          <w:tcPr>
            <w:tcW w:w="1280" w:type="pct"/>
            <w:tcBorders>
              <w:top w:val="nil"/>
              <w:left w:val="nil"/>
              <w:bottom w:val="nil"/>
              <w:right w:val="nil"/>
            </w:tcBorders>
            <w:shd w:val="clear" w:color="auto" w:fill="auto"/>
            <w:noWrap/>
            <w:vAlign w:val="center"/>
            <w:hideMark/>
          </w:tcPr>
          <w:p w14:paraId="2825DE58" w14:textId="77777777" w:rsidR="00A33758" w:rsidRPr="00E21223" w:rsidRDefault="00A33758" w:rsidP="00A33758">
            <w:pPr>
              <w:spacing w:after="0" w:line="240" w:lineRule="auto"/>
              <w:rPr>
                <w:rFonts w:ascii="Verdana" w:eastAsia="Times New Roman" w:hAnsi="Verdana" w:cs="Calibri"/>
                <w:b/>
                <w:bCs/>
                <w:sz w:val="18"/>
                <w:szCs w:val="20"/>
                <w:lang w:eastAsia="pt-BR"/>
              </w:rPr>
            </w:pPr>
            <w:r w:rsidRPr="00E21223">
              <w:rPr>
                <w:rFonts w:ascii="Verdana" w:eastAsia="Times New Roman" w:hAnsi="Verdana" w:cs="Calibri"/>
                <w:b/>
                <w:bCs/>
                <w:sz w:val="18"/>
                <w:szCs w:val="20"/>
                <w:lang w:eastAsia="pt-BR"/>
              </w:rPr>
              <w:t xml:space="preserve"> Em 04 de janeiro de 2022 </w:t>
            </w:r>
          </w:p>
        </w:tc>
        <w:tc>
          <w:tcPr>
            <w:tcW w:w="54" w:type="pct"/>
            <w:tcBorders>
              <w:top w:val="nil"/>
              <w:left w:val="nil"/>
              <w:bottom w:val="nil"/>
              <w:right w:val="nil"/>
            </w:tcBorders>
            <w:shd w:val="clear" w:color="auto" w:fill="auto"/>
            <w:noWrap/>
            <w:vAlign w:val="center"/>
            <w:hideMark/>
          </w:tcPr>
          <w:p w14:paraId="4FCF9116" w14:textId="77777777" w:rsidR="00A33758" w:rsidRPr="00E21223" w:rsidRDefault="00A33758" w:rsidP="00A33758">
            <w:pPr>
              <w:spacing w:after="0" w:line="240" w:lineRule="auto"/>
              <w:rPr>
                <w:rFonts w:ascii="Verdana" w:eastAsia="Times New Roman" w:hAnsi="Verdana" w:cs="Calibri"/>
                <w:b/>
                <w:bCs/>
                <w:sz w:val="18"/>
                <w:szCs w:val="20"/>
                <w:lang w:eastAsia="pt-BR"/>
              </w:rPr>
            </w:pPr>
          </w:p>
        </w:tc>
        <w:tc>
          <w:tcPr>
            <w:tcW w:w="555" w:type="pct"/>
            <w:tcBorders>
              <w:top w:val="nil"/>
              <w:left w:val="nil"/>
              <w:bottom w:val="nil"/>
              <w:right w:val="nil"/>
            </w:tcBorders>
            <w:shd w:val="clear" w:color="auto" w:fill="auto"/>
            <w:noWrap/>
            <w:vAlign w:val="center"/>
            <w:hideMark/>
          </w:tcPr>
          <w:p w14:paraId="68FDDEE4" w14:textId="77777777" w:rsidR="00A33758" w:rsidRPr="00E21223" w:rsidRDefault="00A33758" w:rsidP="00F7132F">
            <w:pPr>
              <w:spacing w:after="0" w:line="240" w:lineRule="auto"/>
              <w:jc w:val="right"/>
              <w:rPr>
                <w:rFonts w:ascii="Verdana" w:eastAsia="Times New Roman" w:hAnsi="Verdana" w:cs="Calibri"/>
                <w:b/>
                <w:bCs/>
                <w:sz w:val="18"/>
                <w:szCs w:val="20"/>
                <w:lang w:eastAsia="pt-BR"/>
              </w:rPr>
            </w:pPr>
            <w:r w:rsidRPr="00E21223">
              <w:rPr>
                <w:rFonts w:ascii="Verdana" w:eastAsia="Times New Roman" w:hAnsi="Verdana" w:cs="Calibri"/>
                <w:b/>
                <w:bCs/>
                <w:sz w:val="18"/>
                <w:szCs w:val="20"/>
                <w:lang w:eastAsia="pt-BR"/>
              </w:rPr>
              <w:t>-</w:t>
            </w:r>
          </w:p>
        </w:tc>
        <w:tc>
          <w:tcPr>
            <w:tcW w:w="52" w:type="pct"/>
            <w:tcBorders>
              <w:top w:val="nil"/>
              <w:left w:val="nil"/>
              <w:bottom w:val="nil"/>
              <w:right w:val="nil"/>
            </w:tcBorders>
            <w:shd w:val="clear" w:color="auto" w:fill="auto"/>
            <w:noWrap/>
            <w:vAlign w:val="center"/>
            <w:hideMark/>
          </w:tcPr>
          <w:p w14:paraId="6E5CD23A" w14:textId="77777777" w:rsidR="00A33758" w:rsidRPr="00E21223" w:rsidRDefault="00A33758" w:rsidP="00F7132F">
            <w:pPr>
              <w:spacing w:after="0" w:line="240" w:lineRule="auto"/>
              <w:jc w:val="right"/>
              <w:rPr>
                <w:rFonts w:ascii="Verdana" w:eastAsia="Times New Roman" w:hAnsi="Verdana" w:cs="Calibri"/>
                <w:b/>
                <w:bCs/>
                <w:sz w:val="18"/>
                <w:szCs w:val="20"/>
                <w:lang w:eastAsia="pt-BR"/>
              </w:rPr>
            </w:pPr>
          </w:p>
        </w:tc>
        <w:tc>
          <w:tcPr>
            <w:tcW w:w="561" w:type="pct"/>
            <w:tcBorders>
              <w:top w:val="nil"/>
              <w:left w:val="nil"/>
              <w:bottom w:val="nil"/>
              <w:right w:val="nil"/>
            </w:tcBorders>
            <w:shd w:val="clear" w:color="auto" w:fill="auto"/>
            <w:noWrap/>
            <w:vAlign w:val="center"/>
            <w:hideMark/>
          </w:tcPr>
          <w:p w14:paraId="79F9EF81" w14:textId="77777777" w:rsidR="00A33758" w:rsidRPr="00E21223" w:rsidRDefault="00A33758" w:rsidP="00F7132F">
            <w:pPr>
              <w:spacing w:after="0" w:line="240" w:lineRule="auto"/>
              <w:jc w:val="right"/>
              <w:rPr>
                <w:rFonts w:ascii="Verdana" w:eastAsia="Times New Roman" w:hAnsi="Verdana" w:cs="Calibri"/>
                <w:b/>
                <w:bCs/>
                <w:sz w:val="18"/>
                <w:szCs w:val="20"/>
                <w:lang w:eastAsia="pt-BR"/>
              </w:rPr>
            </w:pPr>
            <w:r w:rsidRPr="00E21223">
              <w:rPr>
                <w:rFonts w:ascii="Verdana" w:eastAsia="Times New Roman" w:hAnsi="Verdana" w:cs="Calibri"/>
                <w:b/>
                <w:bCs/>
                <w:sz w:val="18"/>
                <w:szCs w:val="20"/>
                <w:lang w:eastAsia="pt-BR"/>
              </w:rPr>
              <w:t>-</w:t>
            </w:r>
          </w:p>
        </w:tc>
        <w:tc>
          <w:tcPr>
            <w:tcW w:w="52" w:type="pct"/>
            <w:tcBorders>
              <w:top w:val="nil"/>
              <w:left w:val="nil"/>
              <w:bottom w:val="nil"/>
              <w:right w:val="nil"/>
            </w:tcBorders>
            <w:shd w:val="clear" w:color="auto" w:fill="auto"/>
            <w:noWrap/>
            <w:vAlign w:val="center"/>
            <w:hideMark/>
          </w:tcPr>
          <w:p w14:paraId="0466328F" w14:textId="77777777" w:rsidR="00A33758" w:rsidRPr="00E21223" w:rsidRDefault="00A33758" w:rsidP="00F7132F">
            <w:pPr>
              <w:spacing w:after="0" w:line="240" w:lineRule="auto"/>
              <w:jc w:val="right"/>
              <w:rPr>
                <w:rFonts w:ascii="Verdana" w:eastAsia="Times New Roman" w:hAnsi="Verdana" w:cs="Calibri"/>
                <w:b/>
                <w:bCs/>
                <w:sz w:val="18"/>
                <w:szCs w:val="20"/>
                <w:lang w:eastAsia="pt-BR"/>
              </w:rPr>
            </w:pPr>
          </w:p>
        </w:tc>
        <w:tc>
          <w:tcPr>
            <w:tcW w:w="559" w:type="pct"/>
            <w:tcBorders>
              <w:top w:val="nil"/>
              <w:left w:val="nil"/>
              <w:bottom w:val="nil"/>
              <w:right w:val="nil"/>
            </w:tcBorders>
            <w:shd w:val="clear" w:color="auto" w:fill="auto"/>
            <w:noWrap/>
            <w:vAlign w:val="center"/>
            <w:hideMark/>
          </w:tcPr>
          <w:p w14:paraId="5FAE53D1" w14:textId="77777777" w:rsidR="00A33758" w:rsidRPr="00E21223" w:rsidRDefault="00A33758" w:rsidP="00F7132F">
            <w:pPr>
              <w:spacing w:after="0" w:line="240" w:lineRule="auto"/>
              <w:jc w:val="right"/>
              <w:rPr>
                <w:rFonts w:ascii="Verdana" w:eastAsia="Times New Roman" w:hAnsi="Verdana" w:cs="Calibri"/>
                <w:b/>
                <w:bCs/>
                <w:sz w:val="18"/>
                <w:szCs w:val="20"/>
                <w:lang w:eastAsia="pt-BR"/>
              </w:rPr>
            </w:pPr>
            <w:r w:rsidRPr="00E21223">
              <w:rPr>
                <w:rFonts w:ascii="Verdana" w:eastAsia="Times New Roman" w:hAnsi="Verdana" w:cs="Calibri"/>
                <w:b/>
                <w:bCs/>
                <w:sz w:val="18"/>
                <w:szCs w:val="20"/>
                <w:lang w:eastAsia="pt-BR"/>
              </w:rPr>
              <w:t>-</w:t>
            </w:r>
          </w:p>
        </w:tc>
        <w:tc>
          <w:tcPr>
            <w:tcW w:w="52" w:type="pct"/>
            <w:tcBorders>
              <w:top w:val="nil"/>
              <w:left w:val="nil"/>
              <w:bottom w:val="nil"/>
              <w:right w:val="nil"/>
            </w:tcBorders>
            <w:shd w:val="clear" w:color="auto" w:fill="auto"/>
            <w:noWrap/>
            <w:vAlign w:val="center"/>
            <w:hideMark/>
          </w:tcPr>
          <w:p w14:paraId="3DD257C9" w14:textId="77777777" w:rsidR="00A33758" w:rsidRPr="00E21223" w:rsidRDefault="00A33758" w:rsidP="00F7132F">
            <w:pPr>
              <w:spacing w:after="0" w:line="240" w:lineRule="auto"/>
              <w:jc w:val="right"/>
              <w:rPr>
                <w:rFonts w:ascii="Verdana" w:eastAsia="Times New Roman" w:hAnsi="Verdana" w:cs="Calibri"/>
                <w:b/>
                <w:bCs/>
                <w:sz w:val="18"/>
                <w:szCs w:val="20"/>
                <w:lang w:eastAsia="pt-BR"/>
              </w:rPr>
            </w:pPr>
          </w:p>
        </w:tc>
        <w:tc>
          <w:tcPr>
            <w:tcW w:w="546" w:type="pct"/>
            <w:tcBorders>
              <w:top w:val="nil"/>
              <w:left w:val="nil"/>
              <w:bottom w:val="nil"/>
              <w:right w:val="nil"/>
            </w:tcBorders>
            <w:shd w:val="clear" w:color="auto" w:fill="auto"/>
            <w:noWrap/>
            <w:vAlign w:val="center"/>
            <w:hideMark/>
          </w:tcPr>
          <w:p w14:paraId="497E9236" w14:textId="77777777" w:rsidR="00A33758" w:rsidRPr="00E21223" w:rsidRDefault="00A33758" w:rsidP="00F7132F">
            <w:pPr>
              <w:spacing w:after="0" w:line="240" w:lineRule="auto"/>
              <w:jc w:val="right"/>
              <w:rPr>
                <w:rFonts w:ascii="Verdana" w:eastAsia="Times New Roman" w:hAnsi="Verdana" w:cs="Calibri"/>
                <w:b/>
                <w:bCs/>
                <w:sz w:val="18"/>
                <w:szCs w:val="20"/>
                <w:lang w:eastAsia="pt-BR"/>
              </w:rPr>
            </w:pPr>
            <w:r w:rsidRPr="00E21223">
              <w:rPr>
                <w:rFonts w:ascii="Verdana" w:eastAsia="Times New Roman" w:hAnsi="Verdana" w:cs="Calibri"/>
                <w:b/>
                <w:bCs/>
                <w:sz w:val="18"/>
                <w:szCs w:val="20"/>
                <w:lang w:eastAsia="pt-BR"/>
              </w:rPr>
              <w:t>-</w:t>
            </w:r>
          </w:p>
        </w:tc>
        <w:tc>
          <w:tcPr>
            <w:tcW w:w="52" w:type="pct"/>
            <w:tcBorders>
              <w:top w:val="nil"/>
              <w:left w:val="nil"/>
              <w:bottom w:val="nil"/>
              <w:right w:val="nil"/>
            </w:tcBorders>
            <w:shd w:val="clear" w:color="auto" w:fill="auto"/>
            <w:noWrap/>
            <w:vAlign w:val="center"/>
            <w:hideMark/>
          </w:tcPr>
          <w:p w14:paraId="17BBF371" w14:textId="77777777" w:rsidR="00A33758" w:rsidRPr="00E21223" w:rsidRDefault="00A33758" w:rsidP="00F7132F">
            <w:pPr>
              <w:spacing w:after="0" w:line="240" w:lineRule="auto"/>
              <w:jc w:val="right"/>
              <w:rPr>
                <w:rFonts w:ascii="Verdana" w:eastAsia="Times New Roman" w:hAnsi="Verdana" w:cs="Calibri"/>
                <w:b/>
                <w:bCs/>
                <w:sz w:val="18"/>
                <w:szCs w:val="20"/>
                <w:lang w:eastAsia="pt-BR"/>
              </w:rPr>
            </w:pPr>
          </w:p>
        </w:tc>
        <w:tc>
          <w:tcPr>
            <w:tcW w:w="651" w:type="pct"/>
            <w:tcBorders>
              <w:top w:val="nil"/>
              <w:left w:val="nil"/>
              <w:bottom w:val="nil"/>
              <w:right w:val="nil"/>
            </w:tcBorders>
            <w:shd w:val="clear" w:color="auto" w:fill="auto"/>
            <w:noWrap/>
            <w:vAlign w:val="center"/>
            <w:hideMark/>
          </w:tcPr>
          <w:p w14:paraId="2076F704" w14:textId="77777777" w:rsidR="00A33758" w:rsidRPr="00E21223" w:rsidRDefault="00A33758" w:rsidP="00F7132F">
            <w:pPr>
              <w:spacing w:after="0" w:line="240" w:lineRule="auto"/>
              <w:jc w:val="right"/>
              <w:rPr>
                <w:rFonts w:ascii="Verdana" w:eastAsia="Times New Roman" w:hAnsi="Verdana" w:cs="Calibri"/>
                <w:b/>
                <w:bCs/>
                <w:sz w:val="18"/>
                <w:szCs w:val="20"/>
                <w:lang w:eastAsia="pt-BR"/>
              </w:rPr>
            </w:pPr>
            <w:r w:rsidRPr="00E21223">
              <w:rPr>
                <w:rFonts w:ascii="Verdana" w:eastAsia="Times New Roman" w:hAnsi="Verdana" w:cs="Calibri"/>
                <w:b/>
                <w:bCs/>
                <w:sz w:val="18"/>
                <w:szCs w:val="20"/>
                <w:lang w:eastAsia="pt-BR"/>
              </w:rPr>
              <w:t>-</w:t>
            </w:r>
          </w:p>
        </w:tc>
        <w:tc>
          <w:tcPr>
            <w:tcW w:w="52" w:type="pct"/>
            <w:tcBorders>
              <w:top w:val="nil"/>
              <w:left w:val="nil"/>
              <w:bottom w:val="nil"/>
              <w:right w:val="nil"/>
            </w:tcBorders>
            <w:shd w:val="clear" w:color="auto" w:fill="auto"/>
            <w:noWrap/>
            <w:vAlign w:val="center"/>
            <w:hideMark/>
          </w:tcPr>
          <w:p w14:paraId="0EEF1A71" w14:textId="77777777" w:rsidR="00A33758" w:rsidRPr="00E21223" w:rsidRDefault="00A33758" w:rsidP="00F7132F">
            <w:pPr>
              <w:spacing w:after="0" w:line="240" w:lineRule="auto"/>
              <w:jc w:val="right"/>
              <w:rPr>
                <w:rFonts w:ascii="Verdana" w:eastAsia="Times New Roman" w:hAnsi="Verdana" w:cs="Calibri"/>
                <w:b/>
                <w:bCs/>
                <w:sz w:val="18"/>
                <w:szCs w:val="20"/>
                <w:lang w:eastAsia="pt-BR"/>
              </w:rPr>
            </w:pPr>
          </w:p>
        </w:tc>
        <w:tc>
          <w:tcPr>
            <w:tcW w:w="536" w:type="pct"/>
            <w:tcBorders>
              <w:top w:val="nil"/>
              <w:left w:val="nil"/>
              <w:bottom w:val="nil"/>
              <w:right w:val="nil"/>
            </w:tcBorders>
            <w:shd w:val="clear" w:color="auto" w:fill="auto"/>
            <w:noWrap/>
            <w:vAlign w:val="center"/>
            <w:hideMark/>
          </w:tcPr>
          <w:p w14:paraId="05D60731" w14:textId="77777777" w:rsidR="00A33758" w:rsidRPr="00E21223" w:rsidRDefault="00A33758" w:rsidP="00F7132F">
            <w:pPr>
              <w:spacing w:after="0" w:line="240" w:lineRule="auto"/>
              <w:jc w:val="right"/>
              <w:rPr>
                <w:rFonts w:ascii="Verdana" w:eastAsia="Times New Roman" w:hAnsi="Verdana" w:cs="Calibri"/>
                <w:b/>
                <w:bCs/>
                <w:sz w:val="18"/>
                <w:szCs w:val="20"/>
                <w:lang w:eastAsia="pt-BR"/>
              </w:rPr>
            </w:pPr>
            <w:r w:rsidRPr="00E21223">
              <w:rPr>
                <w:rFonts w:ascii="Verdana" w:eastAsia="Times New Roman" w:hAnsi="Verdana" w:cs="Calibri"/>
                <w:b/>
                <w:bCs/>
                <w:sz w:val="18"/>
                <w:szCs w:val="20"/>
                <w:lang w:eastAsia="pt-BR"/>
              </w:rPr>
              <w:t>-</w:t>
            </w:r>
          </w:p>
        </w:tc>
      </w:tr>
      <w:tr w:rsidR="00A33758" w:rsidRPr="00E21223" w14:paraId="366DFEFD" w14:textId="77777777" w:rsidTr="00F7132F">
        <w:trPr>
          <w:trHeight w:val="20"/>
        </w:trPr>
        <w:tc>
          <w:tcPr>
            <w:tcW w:w="1280" w:type="pct"/>
            <w:tcBorders>
              <w:top w:val="nil"/>
              <w:left w:val="nil"/>
              <w:bottom w:val="nil"/>
              <w:right w:val="nil"/>
            </w:tcBorders>
            <w:shd w:val="clear" w:color="auto" w:fill="auto"/>
            <w:noWrap/>
            <w:vAlign w:val="center"/>
            <w:hideMark/>
          </w:tcPr>
          <w:p w14:paraId="3ED5B555" w14:textId="77777777" w:rsidR="00A33758" w:rsidRPr="00E21223" w:rsidRDefault="00A33758" w:rsidP="00A33758">
            <w:pPr>
              <w:spacing w:after="0" w:line="240" w:lineRule="auto"/>
              <w:rPr>
                <w:rFonts w:ascii="Verdana" w:eastAsia="Times New Roman" w:hAnsi="Verdana" w:cs="Calibri"/>
                <w:b/>
                <w:bCs/>
                <w:sz w:val="18"/>
                <w:szCs w:val="16"/>
                <w:lang w:eastAsia="pt-BR"/>
              </w:rPr>
            </w:pPr>
          </w:p>
        </w:tc>
        <w:tc>
          <w:tcPr>
            <w:tcW w:w="54" w:type="pct"/>
            <w:tcBorders>
              <w:top w:val="nil"/>
              <w:left w:val="nil"/>
              <w:bottom w:val="nil"/>
              <w:right w:val="nil"/>
            </w:tcBorders>
            <w:shd w:val="clear" w:color="auto" w:fill="auto"/>
            <w:noWrap/>
            <w:vAlign w:val="center"/>
            <w:hideMark/>
          </w:tcPr>
          <w:p w14:paraId="279A5639" w14:textId="77777777" w:rsidR="00A33758" w:rsidRPr="00E21223" w:rsidRDefault="00A33758" w:rsidP="00A33758">
            <w:pPr>
              <w:spacing w:after="0" w:line="240" w:lineRule="auto"/>
              <w:rPr>
                <w:rFonts w:ascii="Times New Roman" w:eastAsia="Times New Roman" w:hAnsi="Times New Roman" w:cs="Times New Roman"/>
                <w:sz w:val="18"/>
                <w:szCs w:val="16"/>
                <w:lang w:eastAsia="pt-BR"/>
              </w:rPr>
            </w:pPr>
          </w:p>
        </w:tc>
        <w:tc>
          <w:tcPr>
            <w:tcW w:w="555" w:type="pct"/>
            <w:tcBorders>
              <w:top w:val="nil"/>
              <w:left w:val="nil"/>
              <w:bottom w:val="nil"/>
              <w:right w:val="nil"/>
            </w:tcBorders>
            <w:shd w:val="clear" w:color="auto" w:fill="auto"/>
            <w:noWrap/>
            <w:vAlign w:val="center"/>
            <w:hideMark/>
          </w:tcPr>
          <w:p w14:paraId="66EA821A" w14:textId="77777777" w:rsidR="00A33758" w:rsidRPr="00E21223" w:rsidRDefault="00A33758" w:rsidP="00F7132F">
            <w:pPr>
              <w:spacing w:after="0" w:line="240" w:lineRule="auto"/>
              <w:jc w:val="right"/>
              <w:rPr>
                <w:rFonts w:ascii="Times New Roman" w:eastAsia="Times New Roman" w:hAnsi="Times New Roman" w:cs="Times New Roman"/>
                <w:sz w:val="18"/>
                <w:szCs w:val="16"/>
                <w:lang w:eastAsia="pt-BR"/>
              </w:rPr>
            </w:pPr>
          </w:p>
        </w:tc>
        <w:tc>
          <w:tcPr>
            <w:tcW w:w="52" w:type="pct"/>
            <w:tcBorders>
              <w:top w:val="nil"/>
              <w:left w:val="nil"/>
              <w:bottom w:val="nil"/>
              <w:right w:val="nil"/>
            </w:tcBorders>
            <w:shd w:val="clear" w:color="auto" w:fill="auto"/>
            <w:noWrap/>
            <w:vAlign w:val="center"/>
            <w:hideMark/>
          </w:tcPr>
          <w:p w14:paraId="4D8DFE87" w14:textId="77777777" w:rsidR="00A33758" w:rsidRPr="00E21223" w:rsidRDefault="00A33758" w:rsidP="00F7132F">
            <w:pPr>
              <w:spacing w:after="0" w:line="240" w:lineRule="auto"/>
              <w:jc w:val="right"/>
              <w:rPr>
                <w:rFonts w:ascii="Times New Roman" w:eastAsia="Times New Roman" w:hAnsi="Times New Roman" w:cs="Times New Roman"/>
                <w:sz w:val="18"/>
                <w:szCs w:val="16"/>
                <w:lang w:eastAsia="pt-BR"/>
              </w:rPr>
            </w:pPr>
          </w:p>
        </w:tc>
        <w:tc>
          <w:tcPr>
            <w:tcW w:w="561" w:type="pct"/>
            <w:tcBorders>
              <w:top w:val="nil"/>
              <w:left w:val="nil"/>
              <w:bottom w:val="nil"/>
              <w:right w:val="nil"/>
            </w:tcBorders>
            <w:shd w:val="clear" w:color="auto" w:fill="auto"/>
            <w:noWrap/>
            <w:vAlign w:val="center"/>
            <w:hideMark/>
          </w:tcPr>
          <w:p w14:paraId="5B6A6E23" w14:textId="77777777" w:rsidR="00A33758" w:rsidRPr="00E21223" w:rsidRDefault="00A33758" w:rsidP="00F7132F">
            <w:pPr>
              <w:spacing w:after="0" w:line="240" w:lineRule="auto"/>
              <w:jc w:val="right"/>
              <w:rPr>
                <w:rFonts w:ascii="Times New Roman" w:eastAsia="Times New Roman" w:hAnsi="Times New Roman" w:cs="Times New Roman"/>
                <w:sz w:val="18"/>
                <w:szCs w:val="16"/>
                <w:lang w:eastAsia="pt-BR"/>
              </w:rPr>
            </w:pPr>
          </w:p>
        </w:tc>
        <w:tc>
          <w:tcPr>
            <w:tcW w:w="52" w:type="pct"/>
            <w:tcBorders>
              <w:top w:val="nil"/>
              <w:left w:val="nil"/>
              <w:bottom w:val="nil"/>
              <w:right w:val="nil"/>
            </w:tcBorders>
            <w:shd w:val="clear" w:color="auto" w:fill="auto"/>
            <w:noWrap/>
            <w:vAlign w:val="center"/>
            <w:hideMark/>
          </w:tcPr>
          <w:p w14:paraId="1D10208A" w14:textId="77777777" w:rsidR="00A33758" w:rsidRPr="00E21223" w:rsidRDefault="00A33758" w:rsidP="00F7132F">
            <w:pPr>
              <w:spacing w:after="0" w:line="240" w:lineRule="auto"/>
              <w:jc w:val="right"/>
              <w:rPr>
                <w:rFonts w:ascii="Times New Roman" w:eastAsia="Times New Roman" w:hAnsi="Times New Roman" w:cs="Times New Roman"/>
                <w:sz w:val="18"/>
                <w:szCs w:val="16"/>
                <w:lang w:eastAsia="pt-BR"/>
              </w:rPr>
            </w:pPr>
          </w:p>
        </w:tc>
        <w:tc>
          <w:tcPr>
            <w:tcW w:w="559" w:type="pct"/>
            <w:tcBorders>
              <w:top w:val="nil"/>
              <w:left w:val="nil"/>
              <w:bottom w:val="nil"/>
              <w:right w:val="nil"/>
            </w:tcBorders>
            <w:shd w:val="clear" w:color="auto" w:fill="auto"/>
            <w:noWrap/>
            <w:vAlign w:val="center"/>
            <w:hideMark/>
          </w:tcPr>
          <w:p w14:paraId="0EBD1039" w14:textId="77777777" w:rsidR="00A33758" w:rsidRPr="00E21223" w:rsidRDefault="00A33758" w:rsidP="00F7132F">
            <w:pPr>
              <w:spacing w:after="0" w:line="240" w:lineRule="auto"/>
              <w:jc w:val="right"/>
              <w:rPr>
                <w:rFonts w:ascii="Times New Roman" w:eastAsia="Times New Roman" w:hAnsi="Times New Roman" w:cs="Times New Roman"/>
                <w:sz w:val="18"/>
                <w:szCs w:val="16"/>
                <w:lang w:eastAsia="pt-BR"/>
              </w:rPr>
            </w:pPr>
          </w:p>
        </w:tc>
        <w:tc>
          <w:tcPr>
            <w:tcW w:w="52" w:type="pct"/>
            <w:tcBorders>
              <w:top w:val="nil"/>
              <w:left w:val="nil"/>
              <w:bottom w:val="nil"/>
              <w:right w:val="nil"/>
            </w:tcBorders>
            <w:shd w:val="clear" w:color="auto" w:fill="auto"/>
            <w:noWrap/>
            <w:vAlign w:val="center"/>
            <w:hideMark/>
          </w:tcPr>
          <w:p w14:paraId="06241621" w14:textId="77777777" w:rsidR="00A33758" w:rsidRPr="00E21223" w:rsidRDefault="00A33758" w:rsidP="00F7132F">
            <w:pPr>
              <w:spacing w:after="0" w:line="240" w:lineRule="auto"/>
              <w:jc w:val="right"/>
              <w:rPr>
                <w:rFonts w:ascii="Times New Roman" w:eastAsia="Times New Roman" w:hAnsi="Times New Roman" w:cs="Times New Roman"/>
                <w:sz w:val="18"/>
                <w:szCs w:val="16"/>
                <w:lang w:eastAsia="pt-BR"/>
              </w:rPr>
            </w:pPr>
          </w:p>
        </w:tc>
        <w:tc>
          <w:tcPr>
            <w:tcW w:w="546" w:type="pct"/>
            <w:tcBorders>
              <w:top w:val="nil"/>
              <w:left w:val="nil"/>
              <w:bottom w:val="nil"/>
              <w:right w:val="nil"/>
            </w:tcBorders>
            <w:shd w:val="clear" w:color="auto" w:fill="auto"/>
            <w:noWrap/>
            <w:vAlign w:val="center"/>
            <w:hideMark/>
          </w:tcPr>
          <w:p w14:paraId="3171A50A" w14:textId="77777777" w:rsidR="00A33758" w:rsidRPr="00E21223" w:rsidRDefault="00A33758" w:rsidP="00F7132F">
            <w:pPr>
              <w:spacing w:after="0" w:line="240" w:lineRule="auto"/>
              <w:jc w:val="right"/>
              <w:rPr>
                <w:rFonts w:ascii="Times New Roman" w:eastAsia="Times New Roman" w:hAnsi="Times New Roman" w:cs="Times New Roman"/>
                <w:sz w:val="18"/>
                <w:szCs w:val="16"/>
                <w:lang w:eastAsia="pt-BR"/>
              </w:rPr>
            </w:pPr>
          </w:p>
        </w:tc>
        <w:tc>
          <w:tcPr>
            <w:tcW w:w="52" w:type="pct"/>
            <w:tcBorders>
              <w:top w:val="nil"/>
              <w:left w:val="nil"/>
              <w:bottom w:val="nil"/>
              <w:right w:val="nil"/>
            </w:tcBorders>
            <w:shd w:val="clear" w:color="auto" w:fill="auto"/>
            <w:noWrap/>
            <w:vAlign w:val="center"/>
            <w:hideMark/>
          </w:tcPr>
          <w:p w14:paraId="6FD53B2F" w14:textId="77777777" w:rsidR="00A33758" w:rsidRPr="00E21223" w:rsidRDefault="00A33758" w:rsidP="00F7132F">
            <w:pPr>
              <w:spacing w:after="0" w:line="240" w:lineRule="auto"/>
              <w:jc w:val="right"/>
              <w:rPr>
                <w:rFonts w:ascii="Times New Roman" w:eastAsia="Times New Roman" w:hAnsi="Times New Roman" w:cs="Times New Roman"/>
                <w:sz w:val="18"/>
                <w:szCs w:val="16"/>
                <w:lang w:eastAsia="pt-BR"/>
              </w:rPr>
            </w:pPr>
          </w:p>
        </w:tc>
        <w:tc>
          <w:tcPr>
            <w:tcW w:w="651" w:type="pct"/>
            <w:tcBorders>
              <w:top w:val="nil"/>
              <w:left w:val="nil"/>
              <w:bottom w:val="nil"/>
              <w:right w:val="nil"/>
            </w:tcBorders>
            <w:shd w:val="clear" w:color="auto" w:fill="auto"/>
            <w:noWrap/>
            <w:vAlign w:val="center"/>
            <w:hideMark/>
          </w:tcPr>
          <w:p w14:paraId="624C7002" w14:textId="77777777" w:rsidR="00A33758" w:rsidRPr="00E21223" w:rsidRDefault="00A33758" w:rsidP="00F7132F">
            <w:pPr>
              <w:spacing w:after="0" w:line="240" w:lineRule="auto"/>
              <w:jc w:val="right"/>
              <w:rPr>
                <w:rFonts w:ascii="Times New Roman" w:eastAsia="Times New Roman" w:hAnsi="Times New Roman" w:cs="Times New Roman"/>
                <w:sz w:val="18"/>
                <w:szCs w:val="16"/>
                <w:lang w:eastAsia="pt-BR"/>
              </w:rPr>
            </w:pPr>
          </w:p>
        </w:tc>
        <w:tc>
          <w:tcPr>
            <w:tcW w:w="52" w:type="pct"/>
            <w:tcBorders>
              <w:top w:val="nil"/>
              <w:left w:val="nil"/>
              <w:bottom w:val="nil"/>
              <w:right w:val="nil"/>
            </w:tcBorders>
            <w:shd w:val="clear" w:color="auto" w:fill="auto"/>
            <w:noWrap/>
            <w:vAlign w:val="center"/>
            <w:hideMark/>
          </w:tcPr>
          <w:p w14:paraId="2971F956" w14:textId="77777777" w:rsidR="00A33758" w:rsidRPr="00E21223" w:rsidRDefault="00A33758" w:rsidP="00F7132F">
            <w:pPr>
              <w:spacing w:after="0" w:line="240" w:lineRule="auto"/>
              <w:jc w:val="right"/>
              <w:rPr>
                <w:rFonts w:ascii="Times New Roman" w:eastAsia="Times New Roman" w:hAnsi="Times New Roman" w:cs="Times New Roman"/>
                <w:sz w:val="18"/>
                <w:szCs w:val="16"/>
                <w:lang w:eastAsia="pt-BR"/>
              </w:rPr>
            </w:pPr>
          </w:p>
        </w:tc>
        <w:tc>
          <w:tcPr>
            <w:tcW w:w="536" w:type="pct"/>
            <w:tcBorders>
              <w:top w:val="nil"/>
              <w:left w:val="nil"/>
              <w:bottom w:val="nil"/>
              <w:right w:val="nil"/>
            </w:tcBorders>
            <w:shd w:val="clear" w:color="auto" w:fill="auto"/>
            <w:noWrap/>
            <w:vAlign w:val="center"/>
            <w:hideMark/>
          </w:tcPr>
          <w:p w14:paraId="14770E58" w14:textId="77777777" w:rsidR="00A33758" w:rsidRPr="00E21223" w:rsidRDefault="00A33758" w:rsidP="00F7132F">
            <w:pPr>
              <w:spacing w:after="0" w:line="240" w:lineRule="auto"/>
              <w:jc w:val="right"/>
              <w:rPr>
                <w:rFonts w:ascii="Times New Roman" w:eastAsia="Times New Roman" w:hAnsi="Times New Roman" w:cs="Times New Roman"/>
                <w:sz w:val="18"/>
                <w:szCs w:val="16"/>
                <w:lang w:eastAsia="pt-BR"/>
              </w:rPr>
            </w:pPr>
          </w:p>
        </w:tc>
      </w:tr>
      <w:tr w:rsidR="00A33758" w:rsidRPr="00E21223" w14:paraId="00165A01" w14:textId="77777777" w:rsidTr="00F7132F">
        <w:trPr>
          <w:trHeight w:val="20"/>
        </w:trPr>
        <w:tc>
          <w:tcPr>
            <w:tcW w:w="1280" w:type="pct"/>
            <w:tcBorders>
              <w:top w:val="nil"/>
              <w:left w:val="nil"/>
              <w:bottom w:val="nil"/>
              <w:right w:val="nil"/>
            </w:tcBorders>
            <w:shd w:val="clear" w:color="auto" w:fill="auto"/>
            <w:noWrap/>
            <w:vAlign w:val="center"/>
            <w:hideMark/>
          </w:tcPr>
          <w:p w14:paraId="34DC1284" w14:textId="77777777" w:rsidR="00A33758" w:rsidRPr="00E21223" w:rsidRDefault="00A33758" w:rsidP="00A33758">
            <w:pPr>
              <w:spacing w:after="0" w:line="240" w:lineRule="auto"/>
              <w:rPr>
                <w:rFonts w:ascii="Verdana" w:eastAsia="Times New Roman" w:hAnsi="Verdana" w:cs="Calibri"/>
                <w:sz w:val="18"/>
                <w:szCs w:val="20"/>
                <w:lang w:eastAsia="pt-BR"/>
              </w:rPr>
            </w:pPr>
            <w:r w:rsidRPr="00E21223">
              <w:rPr>
                <w:rFonts w:ascii="Verdana" w:eastAsia="Times New Roman" w:hAnsi="Verdana" w:cs="Calibri"/>
                <w:sz w:val="18"/>
                <w:szCs w:val="20"/>
                <w:lang w:eastAsia="pt-BR"/>
              </w:rPr>
              <w:t xml:space="preserve"> Aporte de capital </w:t>
            </w:r>
          </w:p>
        </w:tc>
        <w:tc>
          <w:tcPr>
            <w:tcW w:w="54" w:type="pct"/>
            <w:tcBorders>
              <w:top w:val="nil"/>
              <w:left w:val="nil"/>
              <w:bottom w:val="nil"/>
              <w:right w:val="nil"/>
            </w:tcBorders>
            <w:shd w:val="clear" w:color="auto" w:fill="auto"/>
            <w:noWrap/>
            <w:vAlign w:val="center"/>
            <w:hideMark/>
          </w:tcPr>
          <w:p w14:paraId="79BF2D4A" w14:textId="77777777" w:rsidR="00A33758" w:rsidRPr="00E21223" w:rsidRDefault="00A33758" w:rsidP="00A33758">
            <w:pPr>
              <w:spacing w:after="0" w:line="240" w:lineRule="auto"/>
              <w:rPr>
                <w:rFonts w:ascii="Verdana" w:eastAsia="Times New Roman" w:hAnsi="Verdana" w:cs="Calibri"/>
                <w:sz w:val="18"/>
                <w:szCs w:val="20"/>
                <w:lang w:eastAsia="pt-BR"/>
              </w:rPr>
            </w:pPr>
          </w:p>
        </w:tc>
        <w:tc>
          <w:tcPr>
            <w:tcW w:w="555" w:type="pct"/>
            <w:tcBorders>
              <w:top w:val="nil"/>
              <w:left w:val="nil"/>
              <w:bottom w:val="nil"/>
              <w:right w:val="nil"/>
            </w:tcBorders>
            <w:shd w:val="clear" w:color="auto" w:fill="auto"/>
            <w:noWrap/>
            <w:vAlign w:val="center"/>
            <w:hideMark/>
          </w:tcPr>
          <w:p w14:paraId="363959D5" w14:textId="77777777" w:rsidR="00A33758" w:rsidRPr="00E21223" w:rsidRDefault="00A33758" w:rsidP="00F7132F">
            <w:pPr>
              <w:spacing w:after="0" w:line="240" w:lineRule="auto"/>
              <w:jc w:val="right"/>
              <w:rPr>
                <w:rFonts w:ascii="Verdana" w:eastAsia="Times New Roman" w:hAnsi="Verdana" w:cs="Calibri"/>
                <w:sz w:val="18"/>
                <w:szCs w:val="20"/>
                <w:lang w:eastAsia="pt-BR"/>
              </w:rPr>
            </w:pPr>
            <w:r w:rsidRPr="00E21223">
              <w:rPr>
                <w:rFonts w:ascii="Verdana" w:eastAsia="Times New Roman" w:hAnsi="Verdana" w:cs="Calibri"/>
                <w:sz w:val="18"/>
                <w:szCs w:val="20"/>
                <w:lang w:eastAsia="pt-BR"/>
              </w:rPr>
              <w:t>4.000.000</w:t>
            </w:r>
          </w:p>
        </w:tc>
        <w:tc>
          <w:tcPr>
            <w:tcW w:w="52" w:type="pct"/>
            <w:tcBorders>
              <w:top w:val="nil"/>
              <w:left w:val="nil"/>
              <w:bottom w:val="nil"/>
              <w:right w:val="nil"/>
            </w:tcBorders>
            <w:shd w:val="clear" w:color="auto" w:fill="auto"/>
            <w:noWrap/>
            <w:vAlign w:val="center"/>
            <w:hideMark/>
          </w:tcPr>
          <w:p w14:paraId="51381439" w14:textId="77777777" w:rsidR="00A33758" w:rsidRPr="00E21223" w:rsidRDefault="00A33758" w:rsidP="00F7132F">
            <w:pPr>
              <w:spacing w:after="0" w:line="240" w:lineRule="auto"/>
              <w:jc w:val="right"/>
              <w:rPr>
                <w:rFonts w:ascii="Verdana" w:eastAsia="Times New Roman" w:hAnsi="Verdana" w:cs="Calibri"/>
                <w:sz w:val="18"/>
                <w:szCs w:val="20"/>
                <w:lang w:eastAsia="pt-BR"/>
              </w:rPr>
            </w:pPr>
          </w:p>
        </w:tc>
        <w:tc>
          <w:tcPr>
            <w:tcW w:w="561" w:type="pct"/>
            <w:tcBorders>
              <w:top w:val="nil"/>
              <w:left w:val="nil"/>
              <w:bottom w:val="nil"/>
              <w:right w:val="nil"/>
            </w:tcBorders>
            <w:shd w:val="clear" w:color="auto" w:fill="auto"/>
            <w:noWrap/>
            <w:vAlign w:val="center"/>
            <w:hideMark/>
          </w:tcPr>
          <w:p w14:paraId="6F6CB25C" w14:textId="77777777" w:rsidR="00A33758" w:rsidRPr="00E21223" w:rsidRDefault="00A33758" w:rsidP="00F7132F">
            <w:pPr>
              <w:spacing w:after="0" w:line="240" w:lineRule="auto"/>
              <w:jc w:val="right"/>
              <w:rPr>
                <w:rFonts w:ascii="Verdana" w:eastAsia="Times New Roman" w:hAnsi="Verdana" w:cs="Calibri"/>
                <w:sz w:val="18"/>
                <w:szCs w:val="20"/>
                <w:lang w:eastAsia="pt-BR"/>
              </w:rPr>
            </w:pPr>
            <w:r w:rsidRPr="00E21223">
              <w:rPr>
                <w:rFonts w:ascii="Verdana" w:eastAsia="Times New Roman" w:hAnsi="Verdana" w:cs="Calibri"/>
                <w:sz w:val="18"/>
                <w:szCs w:val="20"/>
                <w:lang w:eastAsia="pt-BR"/>
              </w:rPr>
              <w:t>-</w:t>
            </w:r>
          </w:p>
        </w:tc>
        <w:tc>
          <w:tcPr>
            <w:tcW w:w="52" w:type="pct"/>
            <w:tcBorders>
              <w:top w:val="nil"/>
              <w:left w:val="nil"/>
              <w:bottom w:val="nil"/>
              <w:right w:val="nil"/>
            </w:tcBorders>
            <w:shd w:val="clear" w:color="auto" w:fill="auto"/>
            <w:noWrap/>
            <w:vAlign w:val="center"/>
            <w:hideMark/>
          </w:tcPr>
          <w:p w14:paraId="38036397" w14:textId="77777777" w:rsidR="00A33758" w:rsidRPr="00E21223" w:rsidRDefault="00A33758" w:rsidP="00F7132F">
            <w:pPr>
              <w:spacing w:after="0" w:line="240" w:lineRule="auto"/>
              <w:jc w:val="right"/>
              <w:rPr>
                <w:rFonts w:ascii="Verdana" w:eastAsia="Times New Roman" w:hAnsi="Verdana" w:cs="Calibri"/>
                <w:sz w:val="18"/>
                <w:szCs w:val="20"/>
                <w:lang w:eastAsia="pt-BR"/>
              </w:rPr>
            </w:pPr>
          </w:p>
        </w:tc>
        <w:tc>
          <w:tcPr>
            <w:tcW w:w="559" w:type="pct"/>
            <w:tcBorders>
              <w:top w:val="nil"/>
              <w:left w:val="nil"/>
              <w:bottom w:val="nil"/>
              <w:right w:val="nil"/>
            </w:tcBorders>
            <w:shd w:val="clear" w:color="auto" w:fill="auto"/>
            <w:noWrap/>
            <w:vAlign w:val="center"/>
            <w:hideMark/>
          </w:tcPr>
          <w:p w14:paraId="75106E8B" w14:textId="77777777" w:rsidR="00A33758" w:rsidRPr="00E21223" w:rsidRDefault="00A33758" w:rsidP="00F7132F">
            <w:pPr>
              <w:spacing w:after="0" w:line="240" w:lineRule="auto"/>
              <w:jc w:val="right"/>
              <w:rPr>
                <w:rFonts w:ascii="Verdana" w:eastAsia="Times New Roman" w:hAnsi="Verdana" w:cs="Calibri"/>
                <w:sz w:val="18"/>
                <w:szCs w:val="20"/>
                <w:lang w:eastAsia="pt-BR"/>
              </w:rPr>
            </w:pPr>
            <w:r w:rsidRPr="00E21223">
              <w:rPr>
                <w:rFonts w:ascii="Verdana" w:eastAsia="Times New Roman" w:hAnsi="Verdana" w:cs="Calibri"/>
                <w:sz w:val="18"/>
                <w:szCs w:val="20"/>
                <w:lang w:eastAsia="pt-BR"/>
              </w:rPr>
              <w:t>-</w:t>
            </w:r>
          </w:p>
        </w:tc>
        <w:tc>
          <w:tcPr>
            <w:tcW w:w="52" w:type="pct"/>
            <w:tcBorders>
              <w:top w:val="nil"/>
              <w:left w:val="nil"/>
              <w:bottom w:val="nil"/>
              <w:right w:val="nil"/>
            </w:tcBorders>
            <w:shd w:val="clear" w:color="auto" w:fill="auto"/>
            <w:noWrap/>
            <w:vAlign w:val="center"/>
            <w:hideMark/>
          </w:tcPr>
          <w:p w14:paraId="126DD0C5" w14:textId="77777777" w:rsidR="00A33758" w:rsidRPr="00E21223" w:rsidRDefault="00A33758" w:rsidP="00F7132F">
            <w:pPr>
              <w:spacing w:after="0" w:line="240" w:lineRule="auto"/>
              <w:jc w:val="right"/>
              <w:rPr>
                <w:rFonts w:ascii="Verdana" w:eastAsia="Times New Roman" w:hAnsi="Verdana" w:cs="Calibri"/>
                <w:sz w:val="18"/>
                <w:szCs w:val="20"/>
                <w:lang w:eastAsia="pt-BR"/>
              </w:rPr>
            </w:pPr>
          </w:p>
        </w:tc>
        <w:tc>
          <w:tcPr>
            <w:tcW w:w="546" w:type="pct"/>
            <w:tcBorders>
              <w:top w:val="nil"/>
              <w:left w:val="nil"/>
              <w:bottom w:val="nil"/>
              <w:right w:val="nil"/>
            </w:tcBorders>
            <w:shd w:val="clear" w:color="auto" w:fill="auto"/>
            <w:noWrap/>
            <w:vAlign w:val="center"/>
            <w:hideMark/>
          </w:tcPr>
          <w:p w14:paraId="19EEDC3A" w14:textId="77777777" w:rsidR="00A33758" w:rsidRPr="00E21223" w:rsidRDefault="00A33758" w:rsidP="00F7132F">
            <w:pPr>
              <w:spacing w:after="0" w:line="240" w:lineRule="auto"/>
              <w:jc w:val="right"/>
              <w:rPr>
                <w:rFonts w:ascii="Verdana" w:eastAsia="Times New Roman" w:hAnsi="Verdana" w:cs="Calibri"/>
                <w:sz w:val="18"/>
                <w:szCs w:val="20"/>
                <w:lang w:eastAsia="pt-BR"/>
              </w:rPr>
            </w:pPr>
            <w:r w:rsidRPr="00E21223">
              <w:rPr>
                <w:rFonts w:ascii="Verdana" w:eastAsia="Times New Roman" w:hAnsi="Verdana" w:cs="Calibri"/>
                <w:sz w:val="18"/>
                <w:szCs w:val="20"/>
                <w:lang w:eastAsia="pt-BR"/>
              </w:rPr>
              <w:t>4.000.000</w:t>
            </w:r>
          </w:p>
        </w:tc>
        <w:tc>
          <w:tcPr>
            <w:tcW w:w="52" w:type="pct"/>
            <w:tcBorders>
              <w:top w:val="nil"/>
              <w:left w:val="nil"/>
              <w:bottom w:val="nil"/>
              <w:right w:val="nil"/>
            </w:tcBorders>
            <w:shd w:val="clear" w:color="auto" w:fill="auto"/>
            <w:noWrap/>
            <w:vAlign w:val="center"/>
            <w:hideMark/>
          </w:tcPr>
          <w:p w14:paraId="7B835B8F" w14:textId="77777777" w:rsidR="00A33758" w:rsidRPr="00E21223" w:rsidRDefault="00A33758" w:rsidP="00F7132F">
            <w:pPr>
              <w:spacing w:after="0" w:line="240" w:lineRule="auto"/>
              <w:jc w:val="right"/>
              <w:rPr>
                <w:rFonts w:ascii="Verdana" w:eastAsia="Times New Roman" w:hAnsi="Verdana" w:cs="Calibri"/>
                <w:sz w:val="18"/>
                <w:szCs w:val="20"/>
                <w:lang w:eastAsia="pt-BR"/>
              </w:rPr>
            </w:pPr>
          </w:p>
        </w:tc>
        <w:tc>
          <w:tcPr>
            <w:tcW w:w="651" w:type="pct"/>
            <w:tcBorders>
              <w:top w:val="nil"/>
              <w:left w:val="nil"/>
              <w:bottom w:val="nil"/>
              <w:right w:val="nil"/>
            </w:tcBorders>
            <w:shd w:val="clear" w:color="auto" w:fill="auto"/>
            <w:noWrap/>
            <w:vAlign w:val="center"/>
            <w:hideMark/>
          </w:tcPr>
          <w:p w14:paraId="795C6984" w14:textId="77777777" w:rsidR="00A33758" w:rsidRPr="00E21223" w:rsidRDefault="00A33758" w:rsidP="00F7132F">
            <w:pPr>
              <w:spacing w:after="0" w:line="240" w:lineRule="auto"/>
              <w:jc w:val="right"/>
              <w:rPr>
                <w:rFonts w:ascii="Verdana" w:eastAsia="Times New Roman" w:hAnsi="Verdana" w:cs="Calibri"/>
                <w:sz w:val="18"/>
                <w:szCs w:val="20"/>
                <w:lang w:eastAsia="pt-BR"/>
              </w:rPr>
            </w:pPr>
            <w:r w:rsidRPr="00E21223">
              <w:rPr>
                <w:rFonts w:ascii="Verdana" w:eastAsia="Times New Roman" w:hAnsi="Verdana" w:cs="Calibri"/>
                <w:sz w:val="18"/>
                <w:szCs w:val="20"/>
                <w:lang w:eastAsia="pt-BR"/>
              </w:rPr>
              <w:t>-</w:t>
            </w:r>
          </w:p>
        </w:tc>
        <w:tc>
          <w:tcPr>
            <w:tcW w:w="52" w:type="pct"/>
            <w:tcBorders>
              <w:top w:val="nil"/>
              <w:left w:val="nil"/>
              <w:bottom w:val="nil"/>
              <w:right w:val="nil"/>
            </w:tcBorders>
            <w:shd w:val="clear" w:color="auto" w:fill="auto"/>
            <w:noWrap/>
            <w:vAlign w:val="center"/>
            <w:hideMark/>
          </w:tcPr>
          <w:p w14:paraId="6948F4CC" w14:textId="77777777" w:rsidR="00A33758" w:rsidRPr="00E21223" w:rsidRDefault="00A33758" w:rsidP="00F7132F">
            <w:pPr>
              <w:spacing w:after="0" w:line="240" w:lineRule="auto"/>
              <w:jc w:val="right"/>
              <w:rPr>
                <w:rFonts w:ascii="Verdana" w:eastAsia="Times New Roman" w:hAnsi="Verdana" w:cs="Calibri"/>
                <w:sz w:val="18"/>
                <w:szCs w:val="20"/>
                <w:lang w:eastAsia="pt-BR"/>
              </w:rPr>
            </w:pPr>
          </w:p>
        </w:tc>
        <w:tc>
          <w:tcPr>
            <w:tcW w:w="536" w:type="pct"/>
            <w:tcBorders>
              <w:top w:val="nil"/>
              <w:left w:val="nil"/>
              <w:bottom w:val="nil"/>
              <w:right w:val="nil"/>
            </w:tcBorders>
            <w:shd w:val="clear" w:color="auto" w:fill="auto"/>
            <w:noWrap/>
            <w:vAlign w:val="center"/>
            <w:hideMark/>
          </w:tcPr>
          <w:p w14:paraId="2EE41C17" w14:textId="77777777" w:rsidR="00A33758" w:rsidRPr="00E21223" w:rsidRDefault="00A33758" w:rsidP="00F7132F">
            <w:pPr>
              <w:spacing w:after="0" w:line="240" w:lineRule="auto"/>
              <w:jc w:val="right"/>
              <w:rPr>
                <w:rFonts w:ascii="Verdana" w:eastAsia="Times New Roman" w:hAnsi="Verdana" w:cs="Calibri"/>
                <w:sz w:val="18"/>
                <w:szCs w:val="20"/>
                <w:lang w:eastAsia="pt-BR"/>
              </w:rPr>
            </w:pPr>
            <w:r w:rsidRPr="00E21223">
              <w:rPr>
                <w:rFonts w:ascii="Verdana" w:eastAsia="Times New Roman" w:hAnsi="Verdana" w:cs="Calibri"/>
                <w:sz w:val="18"/>
                <w:szCs w:val="20"/>
                <w:lang w:eastAsia="pt-BR"/>
              </w:rPr>
              <w:t>4.000.000</w:t>
            </w:r>
          </w:p>
        </w:tc>
      </w:tr>
      <w:tr w:rsidR="00A33758" w:rsidRPr="00E21223" w14:paraId="6DC27B88" w14:textId="77777777" w:rsidTr="00F7132F">
        <w:trPr>
          <w:trHeight w:val="20"/>
        </w:trPr>
        <w:tc>
          <w:tcPr>
            <w:tcW w:w="1280" w:type="pct"/>
            <w:tcBorders>
              <w:top w:val="nil"/>
              <w:left w:val="nil"/>
              <w:bottom w:val="nil"/>
              <w:right w:val="nil"/>
            </w:tcBorders>
            <w:shd w:val="clear" w:color="auto" w:fill="auto"/>
            <w:noWrap/>
            <w:vAlign w:val="center"/>
            <w:hideMark/>
          </w:tcPr>
          <w:p w14:paraId="74877BF4" w14:textId="77777777" w:rsidR="00A33758" w:rsidRPr="00E21223" w:rsidRDefault="00A33758" w:rsidP="00A33758">
            <w:pPr>
              <w:spacing w:after="0" w:line="240" w:lineRule="auto"/>
              <w:rPr>
                <w:rFonts w:ascii="Verdana" w:eastAsia="Times New Roman" w:hAnsi="Verdana" w:cs="Calibri"/>
                <w:sz w:val="18"/>
                <w:szCs w:val="20"/>
                <w:lang w:eastAsia="pt-BR"/>
              </w:rPr>
            </w:pPr>
            <w:r w:rsidRPr="00E21223">
              <w:rPr>
                <w:rFonts w:ascii="Verdana" w:eastAsia="Times New Roman" w:hAnsi="Verdana" w:cs="Calibri"/>
                <w:sz w:val="18"/>
                <w:szCs w:val="20"/>
                <w:lang w:eastAsia="pt-BR"/>
              </w:rPr>
              <w:t xml:space="preserve"> Ajustes acumulados de conversão </w:t>
            </w:r>
          </w:p>
        </w:tc>
        <w:tc>
          <w:tcPr>
            <w:tcW w:w="54" w:type="pct"/>
            <w:tcBorders>
              <w:top w:val="nil"/>
              <w:left w:val="nil"/>
              <w:bottom w:val="nil"/>
              <w:right w:val="nil"/>
            </w:tcBorders>
            <w:shd w:val="clear" w:color="auto" w:fill="auto"/>
            <w:noWrap/>
            <w:vAlign w:val="center"/>
            <w:hideMark/>
          </w:tcPr>
          <w:p w14:paraId="0CAB2433" w14:textId="77777777" w:rsidR="00A33758" w:rsidRPr="00E21223" w:rsidRDefault="00A33758" w:rsidP="00A33758">
            <w:pPr>
              <w:spacing w:after="0" w:line="240" w:lineRule="auto"/>
              <w:rPr>
                <w:rFonts w:ascii="Verdana" w:eastAsia="Times New Roman" w:hAnsi="Verdana" w:cs="Calibri"/>
                <w:sz w:val="18"/>
                <w:szCs w:val="20"/>
                <w:lang w:eastAsia="pt-BR"/>
              </w:rPr>
            </w:pPr>
          </w:p>
        </w:tc>
        <w:tc>
          <w:tcPr>
            <w:tcW w:w="555" w:type="pct"/>
            <w:tcBorders>
              <w:top w:val="nil"/>
              <w:left w:val="nil"/>
              <w:bottom w:val="nil"/>
              <w:right w:val="nil"/>
            </w:tcBorders>
            <w:shd w:val="clear" w:color="auto" w:fill="auto"/>
            <w:noWrap/>
            <w:vAlign w:val="center"/>
            <w:hideMark/>
          </w:tcPr>
          <w:p w14:paraId="1C9870A7" w14:textId="77777777" w:rsidR="00A33758" w:rsidRPr="00E21223" w:rsidRDefault="00A33758" w:rsidP="00F7132F">
            <w:pPr>
              <w:spacing w:after="0" w:line="240" w:lineRule="auto"/>
              <w:jc w:val="right"/>
              <w:rPr>
                <w:rFonts w:ascii="Verdana" w:eastAsia="Times New Roman" w:hAnsi="Verdana" w:cs="Calibri"/>
                <w:sz w:val="18"/>
                <w:szCs w:val="20"/>
                <w:lang w:eastAsia="pt-BR"/>
              </w:rPr>
            </w:pPr>
            <w:r w:rsidRPr="00E21223">
              <w:rPr>
                <w:rFonts w:ascii="Verdana" w:eastAsia="Times New Roman" w:hAnsi="Verdana" w:cs="Calibri"/>
                <w:sz w:val="18"/>
                <w:szCs w:val="20"/>
                <w:lang w:eastAsia="pt-BR"/>
              </w:rPr>
              <w:t>-</w:t>
            </w:r>
          </w:p>
        </w:tc>
        <w:tc>
          <w:tcPr>
            <w:tcW w:w="52" w:type="pct"/>
            <w:tcBorders>
              <w:top w:val="nil"/>
              <w:left w:val="nil"/>
              <w:bottom w:val="nil"/>
              <w:right w:val="nil"/>
            </w:tcBorders>
            <w:shd w:val="clear" w:color="auto" w:fill="auto"/>
            <w:noWrap/>
            <w:vAlign w:val="center"/>
            <w:hideMark/>
          </w:tcPr>
          <w:p w14:paraId="1F266C05" w14:textId="77777777" w:rsidR="00A33758" w:rsidRPr="00E21223" w:rsidRDefault="00A33758" w:rsidP="00F7132F">
            <w:pPr>
              <w:spacing w:after="0" w:line="240" w:lineRule="auto"/>
              <w:jc w:val="right"/>
              <w:rPr>
                <w:rFonts w:ascii="Verdana" w:eastAsia="Times New Roman" w:hAnsi="Verdana" w:cs="Calibri"/>
                <w:sz w:val="18"/>
                <w:szCs w:val="20"/>
                <w:lang w:eastAsia="pt-BR"/>
              </w:rPr>
            </w:pPr>
          </w:p>
        </w:tc>
        <w:tc>
          <w:tcPr>
            <w:tcW w:w="561" w:type="pct"/>
            <w:tcBorders>
              <w:top w:val="nil"/>
              <w:left w:val="nil"/>
              <w:bottom w:val="nil"/>
              <w:right w:val="nil"/>
            </w:tcBorders>
            <w:shd w:val="clear" w:color="auto" w:fill="auto"/>
            <w:noWrap/>
            <w:vAlign w:val="center"/>
            <w:hideMark/>
          </w:tcPr>
          <w:p w14:paraId="200ABBE2" w14:textId="77777777" w:rsidR="00A33758" w:rsidRPr="00E21223" w:rsidRDefault="00A33758" w:rsidP="00F7132F">
            <w:pPr>
              <w:spacing w:after="0" w:line="240" w:lineRule="auto"/>
              <w:jc w:val="right"/>
              <w:rPr>
                <w:rFonts w:ascii="Verdana" w:eastAsia="Times New Roman" w:hAnsi="Verdana" w:cs="Calibri"/>
                <w:sz w:val="18"/>
                <w:szCs w:val="20"/>
                <w:lang w:eastAsia="pt-BR"/>
              </w:rPr>
            </w:pPr>
            <w:r w:rsidRPr="00E21223">
              <w:rPr>
                <w:rFonts w:ascii="Verdana" w:eastAsia="Times New Roman" w:hAnsi="Verdana" w:cs="Calibri"/>
                <w:sz w:val="18"/>
                <w:szCs w:val="20"/>
                <w:lang w:eastAsia="pt-BR"/>
              </w:rPr>
              <w:t>-</w:t>
            </w:r>
          </w:p>
        </w:tc>
        <w:tc>
          <w:tcPr>
            <w:tcW w:w="52" w:type="pct"/>
            <w:tcBorders>
              <w:top w:val="nil"/>
              <w:left w:val="nil"/>
              <w:bottom w:val="nil"/>
              <w:right w:val="nil"/>
            </w:tcBorders>
            <w:shd w:val="clear" w:color="auto" w:fill="auto"/>
            <w:noWrap/>
            <w:vAlign w:val="center"/>
            <w:hideMark/>
          </w:tcPr>
          <w:p w14:paraId="56D68C31" w14:textId="77777777" w:rsidR="00A33758" w:rsidRPr="00E21223" w:rsidRDefault="00A33758" w:rsidP="00F7132F">
            <w:pPr>
              <w:spacing w:after="0" w:line="240" w:lineRule="auto"/>
              <w:jc w:val="right"/>
              <w:rPr>
                <w:rFonts w:ascii="Verdana" w:eastAsia="Times New Roman" w:hAnsi="Verdana" w:cs="Calibri"/>
                <w:sz w:val="18"/>
                <w:szCs w:val="20"/>
                <w:lang w:eastAsia="pt-BR"/>
              </w:rPr>
            </w:pPr>
          </w:p>
        </w:tc>
        <w:tc>
          <w:tcPr>
            <w:tcW w:w="559" w:type="pct"/>
            <w:tcBorders>
              <w:top w:val="nil"/>
              <w:left w:val="nil"/>
              <w:bottom w:val="nil"/>
              <w:right w:val="nil"/>
            </w:tcBorders>
            <w:shd w:val="clear" w:color="auto" w:fill="auto"/>
            <w:noWrap/>
            <w:vAlign w:val="center"/>
            <w:hideMark/>
          </w:tcPr>
          <w:p w14:paraId="7FCD0B63" w14:textId="77777777" w:rsidR="00A33758" w:rsidRPr="00E21223" w:rsidRDefault="00A33758" w:rsidP="00F7132F">
            <w:pPr>
              <w:spacing w:after="0" w:line="240" w:lineRule="auto"/>
              <w:jc w:val="right"/>
              <w:rPr>
                <w:rFonts w:ascii="Verdana" w:eastAsia="Times New Roman" w:hAnsi="Verdana" w:cs="Calibri"/>
                <w:sz w:val="18"/>
                <w:szCs w:val="20"/>
                <w:lang w:eastAsia="pt-BR"/>
              </w:rPr>
            </w:pPr>
            <w:r w:rsidRPr="00E21223">
              <w:rPr>
                <w:rFonts w:ascii="Verdana" w:eastAsia="Times New Roman" w:hAnsi="Verdana" w:cs="Calibri"/>
                <w:sz w:val="18"/>
                <w:szCs w:val="20"/>
                <w:lang w:eastAsia="pt-BR"/>
              </w:rPr>
              <w:t>6.305</w:t>
            </w:r>
          </w:p>
        </w:tc>
        <w:tc>
          <w:tcPr>
            <w:tcW w:w="52" w:type="pct"/>
            <w:tcBorders>
              <w:top w:val="nil"/>
              <w:left w:val="nil"/>
              <w:bottom w:val="nil"/>
              <w:right w:val="nil"/>
            </w:tcBorders>
            <w:shd w:val="clear" w:color="auto" w:fill="auto"/>
            <w:noWrap/>
            <w:vAlign w:val="center"/>
            <w:hideMark/>
          </w:tcPr>
          <w:p w14:paraId="783AE220" w14:textId="77777777" w:rsidR="00A33758" w:rsidRPr="00E21223" w:rsidRDefault="00A33758" w:rsidP="00F7132F">
            <w:pPr>
              <w:spacing w:after="0" w:line="240" w:lineRule="auto"/>
              <w:jc w:val="right"/>
              <w:rPr>
                <w:rFonts w:ascii="Verdana" w:eastAsia="Times New Roman" w:hAnsi="Verdana" w:cs="Calibri"/>
                <w:sz w:val="18"/>
                <w:szCs w:val="20"/>
                <w:lang w:eastAsia="pt-BR"/>
              </w:rPr>
            </w:pPr>
          </w:p>
        </w:tc>
        <w:tc>
          <w:tcPr>
            <w:tcW w:w="546" w:type="pct"/>
            <w:tcBorders>
              <w:top w:val="nil"/>
              <w:left w:val="nil"/>
              <w:bottom w:val="nil"/>
              <w:right w:val="nil"/>
            </w:tcBorders>
            <w:shd w:val="clear" w:color="auto" w:fill="auto"/>
            <w:noWrap/>
            <w:vAlign w:val="center"/>
            <w:hideMark/>
          </w:tcPr>
          <w:p w14:paraId="0601EDEC" w14:textId="77777777" w:rsidR="00A33758" w:rsidRPr="00E21223" w:rsidRDefault="00A33758" w:rsidP="00F7132F">
            <w:pPr>
              <w:spacing w:after="0" w:line="240" w:lineRule="auto"/>
              <w:jc w:val="right"/>
              <w:rPr>
                <w:rFonts w:ascii="Verdana" w:eastAsia="Times New Roman" w:hAnsi="Verdana" w:cs="Calibri"/>
                <w:sz w:val="18"/>
                <w:szCs w:val="20"/>
                <w:lang w:eastAsia="pt-BR"/>
              </w:rPr>
            </w:pPr>
            <w:r w:rsidRPr="00E21223">
              <w:rPr>
                <w:rFonts w:ascii="Verdana" w:eastAsia="Times New Roman" w:hAnsi="Verdana" w:cs="Calibri"/>
                <w:sz w:val="18"/>
                <w:szCs w:val="20"/>
                <w:lang w:eastAsia="pt-BR"/>
              </w:rPr>
              <w:t>6.305</w:t>
            </w:r>
          </w:p>
        </w:tc>
        <w:tc>
          <w:tcPr>
            <w:tcW w:w="52" w:type="pct"/>
            <w:tcBorders>
              <w:top w:val="nil"/>
              <w:left w:val="nil"/>
              <w:bottom w:val="nil"/>
              <w:right w:val="nil"/>
            </w:tcBorders>
            <w:shd w:val="clear" w:color="auto" w:fill="auto"/>
            <w:noWrap/>
            <w:vAlign w:val="center"/>
            <w:hideMark/>
          </w:tcPr>
          <w:p w14:paraId="131139CC" w14:textId="77777777" w:rsidR="00A33758" w:rsidRPr="00E21223" w:rsidRDefault="00A33758" w:rsidP="00F7132F">
            <w:pPr>
              <w:spacing w:after="0" w:line="240" w:lineRule="auto"/>
              <w:jc w:val="right"/>
              <w:rPr>
                <w:rFonts w:ascii="Verdana" w:eastAsia="Times New Roman" w:hAnsi="Verdana" w:cs="Calibri"/>
                <w:sz w:val="18"/>
                <w:szCs w:val="20"/>
                <w:lang w:eastAsia="pt-BR"/>
              </w:rPr>
            </w:pPr>
          </w:p>
        </w:tc>
        <w:tc>
          <w:tcPr>
            <w:tcW w:w="651" w:type="pct"/>
            <w:tcBorders>
              <w:top w:val="nil"/>
              <w:left w:val="nil"/>
              <w:bottom w:val="nil"/>
              <w:right w:val="nil"/>
            </w:tcBorders>
            <w:shd w:val="clear" w:color="auto" w:fill="auto"/>
            <w:noWrap/>
            <w:vAlign w:val="center"/>
            <w:hideMark/>
          </w:tcPr>
          <w:p w14:paraId="16E31064" w14:textId="77777777" w:rsidR="00A33758" w:rsidRPr="00E21223" w:rsidRDefault="00A33758" w:rsidP="00F7132F">
            <w:pPr>
              <w:spacing w:after="0" w:line="240" w:lineRule="auto"/>
              <w:jc w:val="right"/>
              <w:rPr>
                <w:rFonts w:ascii="Verdana" w:eastAsia="Times New Roman" w:hAnsi="Verdana" w:cs="Calibri"/>
                <w:sz w:val="18"/>
                <w:szCs w:val="20"/>
                <w:lang w:eastAsia="pt-BR"/>
              </w:rPr>
            </w:pPr>
            <w:r w:rsidRPr="00E21223">
              <w:rPr>
                <w:rFonts w:ascii="Verdana" w:eastAsia="Times New Roman" w:hAnsi="Verdana" w:cs="Calibri"/>
                <w:sz w:val="18"/>
                <w:szCs w:val="20"/>
                <w:lang w:eastAsia="pt-BR"/>
              </w:rPr>
              <w:t>-</w:t>
            </w:r>
          </w:p>
        </w:tc>
        <w:tc>
          <w:tcPr>
            <w:tcW w:w="52" w:type="pct"/>
            <w:tcBorders>
              <w:top w:val="nil"/>
              <w:left w:val="nil"/>
              <w:bottom w:val="nil"/>
              <w:right w:val="nil"/>
            </w:tcBorders>
            <w:shd w:val="clear" w:color="auto" w:fill="auto"/>
            <w:noWrap/>
            <w:vAlign w:val="center"/>
            <w:hideMark/>
          </w:tcPr>
          <w:p w14:paraId="1FF89888" w14:textId="77777777" w:rsidR="00A33758" w:rsidRPr="00E21223" w:rsidRDefault="00A33758" w:rsidP="00F7132F">
            <w:pPr>
              <w:spacing w:after="0" w:line="240" w:lineRule="auto"/>
              <w:jc w:val="right"/>
              <w:rPr>
                <w:rFonts w:ascii="Verdana" w:eastAsia="Times New Roman" w:hAnsi="Verdana" w:cs="Calibri"/>
                <w:sz w:val="18"/>
                <w:szCs w:val="20"/>
                <w:lang w:eastAsia="pt-BR"/>
              </w:rPr>
            </w:pPr>
          </w:p>
        </w:tc>
        <w:tc>
          <w:tcPr>
            <w:tcW w:w="536" w:type="pct"/>
            <w:tcBorders>
              <w:top w:val="nil"/>
              <w:left w:val="nil"/>
              <w:bottom w:val="nil"/>
              <w:right w:val="nil"/>
            </w:tcBorders>
            <w:shd w:val="clear" w:color="auto" w:fill="auto"/>
            <w:noWrap/>
            <w:vAlign w:val="center"/>
            <w:hideMark/>
          </w:tcPr>
          <w:p w14:paraId="1F0068D5" w14:textId="77777777" w:rsidR="00A33758" w:rsidRPr="00E21223" w:rsidRDefault="00A33758" w:rsidP="00F7132F">
            <w:pPr>
              <w:spacing w:after="0" w:line="240" w:lineRule="auto"/>
              <w:jc w:val="right"/>
              <w:rPr>
                <w:rFonts w:ascii="Verdana" w:eastAsia="Times New Roman" w:hAnsi="Verdana" w:cs="Calibri"/>
                <w:sz w:val="18"/>
                <w:szCs w:val="20"/>
                <w:lang w:eastAsia="pt-BR"/>
              </w:rPr>
            </w:pPr>
            <w:r w:rsidRPr="00E21223">
              <w:rPr>
                <w:rFonts w:ascii="Verdana" w:eastAsia="Times New Roman" w:hAnsi="Verdana" w:cs="Calibri"/>
                <w:sz w:val="18"/>
                <w:szCs w:val="20"/>
                <w:lang w:eastAsia="pt-BR"/>
              </w:rPr>
              <w:t>6.305</w:t>
            </w:r>
          </w:p>
        </w:tc>
      </w:tr>
      <w:tr w:rsidR="00A33758" w:rsidRPr="00E21223" w14:paraId="0E23074E" w14:textId="77777777" w:rsidTr="00F7132F">
        <w:trPr>
          <w:trHeight w:val="20"/>
        </w:trPr>
        <w:tc>
          <w:tcPr>
            <w:tcW w:w="1280" w:type="pct"/>
            <w:tcBorders>
              <w:top w:val="nil"/>
              <w:left w:val="nil"/>
              <w:bottom w:val="nil"/>
              <w:right w:val="nil"/>
            </w:tcBorders>
            <w:shd w:val="clear" w:color="auto" w:fill="auto"/>
            <w:noWrap/>
            <w:vAlign w:val="center"/>
            <w:hideMark/>
          </w:tcPr>
          <w:p w14:paraId="590A0D89" w14:textId="77777777" w:rsidR="00A33758" w:rsidRPr="00E21223" w:rsidRDefault="00A33758" w:rsidP="00A33758">
            <w:pPr>
              <w:spacing w:after="0" w:line="240" w:lineRule="auto"/>
              <w:rPr>
                <w:rFonts w:ascii="Verdana" w:eastAsia="Times New Roman" w:hAnsi="Verdana" w:cs="Calibri"/>
                <w:sz w:val="18"/>
                <w:szCs w:val="20"/>
                <w:lang w:eastAsia="pt-BR"/>
              </w:rPr>
            </w:pPr>
            <w:r w:rsidRPr="00E21223">
              <w:rPr>
                <w:rFonts w:ascii="Verdana" w:eastAsia="Times New Roman" w:hAnsi="Verdana" w:cs="Calibri"/>
                <w:sz w:val="18"/>
                <w:szCs w:val="20"/>
                <w:lang w:eastAsia="pt-BR"/>
              </w:rPr>
              <w:t xml:space="preserve"> Lucro do período </w:t>
            </w:r>
          </w:p>
        </w:tc>
        <w:tc>
          <w:tcPr>
            <w:tcW w:w="54" w:type="pct"/>
            <w:tcBorders>
              <w:top w:val="nil"/>
              <w:left w:val="nil"/>
              <w:bottom w:val="nil"/>
              <w:right w:val="nil"/>
            </w:tcBorders>
            <w:shd w:val="clear" w:color="auto" w:fill="auto"/>
            <w:noWrap/>
            <w:vAlign w:val="center"/>
            <w:hideMark/>
          </w:tcPr>
          <w:p w14:paraId="71B627CB" w14:textId="77777777" w:rsidR="00A33758" w:rsidRPr="00E21223" w:rsidRDefault="00A33758" w:rsidP="00A33758">
            <w:pPr>
              <w:spacing w:after="0" w:line="240" w:lineRule="auto"/>
              <w:rPr>
                <w:rFonts w:ascii="Verdana" w:eastAsia="Times New Roman" w:hAnsi="Verdana" w:cs="Calibri"/>
                <w:sz w:val="18"/>
                <w:szCs w:val="20"/>
                <w:lang w:eastAsia="pt-BR"/>
              </w:rPr>
            </w:pPr>
          </w:p>
        </w:tc>
        <w:tc>
          <w:tcPr>
            <w:tcW w:w="555" w:type="pct"/>
            <w:tcBorders>
              <w:top w:val="nil"/>
              <w:left w:val="nil"/>
              <w:bottom w:val="nil"/>
              <w:right w:val="nil"/>
            </w:tcBorders>
            <w:shd w:val="clear" w:color="auto" w:fill="auto"/>
            <w:noWrap/>
            <w:vAlign w:val="center"/>
            <w:hideMark/>
          </w:tcPr>
          <w:p w14:paraId="74218D94" w14:textId="77777777" w:rsidR="00A33758" w:rsidRPr="00E21223" w:rsidRDefault="00A33758" w:rsidP="00F7132F">
            <w:pPr>
              <w:spacing w:after="0" w:line="240" w:lineRule="auto"/>
              <w:jc w:val="right"/>
              <w:rPr>
                <w:rFonts w:ascii="Verdana" w:eastAsia="Times New Roman" w:hAnsi="Verdana" w:cs="Calibri"/>
                <w:sz w:val="18"/>
                <w:szCs w:val="20"/>
                <w:lang w:eastAsia="pt-BR"/>
              </w:rPr>
            </w:pPr>
            <w:r w:rsidRPr="00E21223">
              <w:rPr>
                <w:rFonts w:ascii="Verdana" w:eastAsia="Times New Roman" w:hAnsi="Verdana" w:cs="Calibri"/>
                <w:sz w:val="18"/>
                <w:szCs w:val="20"/>
                <w:lang w:eastAsia="pt-BR"/>
              </w:rPr>
              <w:t>-</w:t>
            </w:r>
          </w:p>
        </w:tc>
        <w:tc>
          <w:tcPr>
            <w:tcW w:w="52" w:type="pct"/>
            <w:tcBorders>
              <w:top w:val="nil"/>
              <w:left w:val="nil"/>
              <w:bottom w:val="nil"/>
              <w:right w:val="nil"/>
            </w:tcBorders>
            <w:shd w:val="clear" w:color="auto" w:fill="auto"/>
            <w:noWrap/>
            <w:vAlign w:val="center"/>
            <w:hideMark/>
          </w:tcPr>
          <w:p w14:paraId="46416A44" w14:textId="77777777" w:rsidR="00A33758" w:rsidRPr="00E21223" w:rsidRDefault="00A33758" w:rsidP="00F7132F">
            <w:pPr>
              <w:spacing w:after="0" w:line="240" w:lineRule="auto"/>
              <w:jc w:val="right"/>
              <w:rPr>
                <w:rFonts w:ascii="Verdana" w:eastAsia="Times New Roman" w:hAnsi="Verdana" w:cs="Calibri"/>
                <w:sz w:val="18"/>
                <w:szCs w:val="20"/>
                <w:lang w:eastAsia="pt-BR"/>
              </w:rPr>
            </w:pPr>
          </w:p>
        </w:tc>
        <w:tc>
          <w:tcPr>
            <w:tcW w:w="561" w:type="pct"/>
            <w:tcBorders>
              <w:top w:val="nil"/>
              <w:left w:val="nil"/>
              <w:bottom w:val="nil"/>
              <w:right w:val="nil"/>
            </w:tcBorders>
            <w:shd w:val="clear" w:color="auto" w:fill="auto"/>
            <w:noWrap/>
            <w:vAlign w:val="center"/>
            <w:hideMark/>
          </w:tcPr>
          <w:p w14:paraId="56968426" w14:textId="77777777" w:rsidR="00A33758" w:rsidRPr="00E21223" w:rsidRDefault="00A33758" w:rsidP="00F7132F">
            <w:pPr>
              <w:spacing w:after="0" w:line="240" w:lineRule="auto"/>
              <w:jc w:val="right"/>
              <w:rPr>
                <w:rFonts w:ascii="Verdana" w:eastAsia="Times New Roman" w:hAnsi="Verdana" w:cs="Calibri"/>
                <w:sz w:val="18"/>
                <w:szCs w:val="20"/>
                <w:lang w:eastAsia="pt-BR"/>
              </w:rPr>
            </w:pPr>
            <w:r w:rsidRPr="00E21223">
              <w:rPr>
                <w:rFonts w:ascii="Verdana" w:eastAsia="Times New Roman" w:hAnsi="Verdana" w:cs="Calibri"/>
                <w:sz w:val="18"/>
                <w:szCs w:val="20"/>
                <w:lang w:eastAsia="pt-BR"/>
              </w:rPr>
              <w:t>56.131</w:t>
            </w:r>
          </w:p>
        </w:tc>
        <w:tc>
          <w:tcPr>
            <w:tcW w:w="52" w:type="pct"/>
            <w:tcBorders>
              <w:top w:val="nil"/>
              <w:left w:val="nil"/>
              <w:bottom w:val="nil"/>
              <w:right w:val="nil"/>
            </w:tcBorders>
            <w:shd w:val="clear" w:color="auto" w:fill="auto"/>
            <w:noWrap/>
            <w:vAlign w:val="center"/>
            <w:hideMark/>
          </w:tcPr>
          <w:p w14:paraId="675890A6" w14:textId="77777777" w:rsidR="00A33758" w:rsidRPr="00E21223" w:rsidRDefault="00A33758" w:rsidP="00F7132F">
            <w:pPr>
              <w:spacing w:after="0" w:line="240" w:lineRule="auto"/>
              <w:jc w:val="right"/>
              <w:rPr>
                <w:rFonts w:ascii="Verdana" w:eastAsia="Times New Roman" w:hAnsi="Verdana" w:cs="Calibri"/>
                <w:sz w:val="18"/>
                <w:szCs w:val="20"/>
                <w:lang w:eastAsia="pt-BR"/>
              </w:rPr>
            </w:pPr>
          </w:p>
        </w:tc>
        <w:tc>
          <w:tcPr>
            <w:tcW w:w="559" w:type="pct"/>
            <w:tcBorders>
              <w:top w:val="nil"/>
              <w:left w:val="nil"/>
              <w:bottom w:val="nil"/>
              <w:right w:val="nil"/>
            </w:tcBorders>
            <w:shd w:val="clear" w:color="auto" w:fill="auto"/>
            <w:noWrap/>
            <w:vAlign w:val="center"/>
            <w:hideMark/>
          </w:tcPr>
          <w:p w14:paraId="4BB23142" w14:textId="77777777" w:rsidR="00A33758" w:rsidRPr="00E21223" w:rsidRDefault="00A33758" w:rsidP="00F7132F">
            <w:pPr>
              <w:spacing w:after="0" w:line="240" w:lineRule="auto"/>
              <w:jc w:val="right"/>
              <w:rPr>
                <w:rFonts w:ascii="Verdana" w:eastAsia="Times New Roman" w:hAnsi="Verdana" w:cs="Calibri"/>
                <w:sz w:val="18"/>
                <w:szCs w:val="20"/>
                <w:lang w:eastAsia="pt-BR"/>
              </w:rPr>
            </w:pPr>
            <w:r w:rsidRPr="00E21223">
              <w:rPr>
                <w:rFonts w:ascii="Verdana" w:eastAsia="Times New Roman" w:hAnsi="Verdana" w:cs="Calibri"/>
                <w:sz w:val="18"/>
                <w:szCs w:val="20"/>
                <w:lang w:eastAsia="pt-BR"/>
              </w:rPr>
              <w:t>-</w:t>
            </w:r>
          </w:p>
        </w:tc>
        <w:tc>
          <w:tcPr>
            <w:tcW w:w="52" w:type="pct"/>
            <w:tcBorders>
              <w:top w:val="nil"/>
              <w:left w:val="nil"/>
              <w:bottom w:val="nil"/>
              <w:right w:val="nil"/>
            </w:tcBorders>
            <w:shd w:val="clear" w:color="auto" w:fill="auto"/>
            <w:noWrap/>
            <w:vAlign w:val="center"/>
            <w:hideMark/>
          </w:tcPr>
          <w:p w14:paraId="0E187B9C" w14:textId="77777777" w:rsidR="00A33758" w:rsidRPr="00E21223" w:rsidRDefault="00A33758" w:rsidP="00F7132F">
            <w:pPr>
              <w:spacing w:after="0" w:line="240" w:lineRule="auto"/>
              <w:jc w:val="right"/>
              <w:rPr>
                <w:rFonts w:ascii="Verdana" w:eastAsia="Times New Roman" w:hAnsi="Verdana" w:cs="Calibri"/>
                <w:sz w:val="18"/>
                <w:szCs w:val="20"/>
                <w:lang w:eastAsia="pt-BR"/>
              </w:rPr>
            </w:pPr>
          </w:p>
        </w:tc>
        <w:tc>
          <w:tcPr>
            <w:tcW w:w="546" w:type="pct"/>
            <w:tcBorders>
              <w:top w:val="nil"/>
              <w:left w:val="nil"/>
              <w:bottom w:val="nil"/>
              <w:right w:val="nil"/>
            </w:tcBorders>
            <w:shd w:val="clear" w:color="auto" w:fill="auto"/>
            <w:noWrap/>
            <w:vAlign w:val="center"/>
            <w:hideMark/>
          </w:tcPr>
          <w:p w14:paraId="5C4ABFD9" w14:textId="77777777" w:rsidR="00A33758" w:rsidRPr="00E21223" w:rsidRDefault="00A33758" w:rsidP="00F7132F">
            <w:pPr>
              <w:spacing w:after="0" w:line="240" w:lineRule="auto"/>
              <w:jc w:val="right"/>
              <w:rPr>
                <w:rFonts w:ascii="Verdana" w:eastAsia="Times New Roman" w:hAnsi="Verdana" w:cs="Calibri"/>
                <w:sz w:val="18"/>
                <w:szCs w:val="20"/>
                <w:lang w:eastAsia="pt-BR"/>
              </w:rPr>
            </w:pPr>
            <w:r w:rsidRPr="00E21223">
              <w:rPr>
                <w:rFonts w:ascii="Verdana" w:eastAsia="Times New Roman" w:hAnsi="Verdana" w:cs="Calibri"/>
                <w:sz w:val="18"/>
                <w:szCs w:val="20"/>
                <w:lang w:eastAsia="pt-BR"/>
              </w:rPr>
              <w:t>56.131</w:t>
            </w:r>
          </w:p>
        </w:tc>
        <w:tc>
          <w:tcPr>
            <w:tcW w:w="52" w:type="pct"/>
            <w:tcBorders>
              <w:top w:val="nil"/>
              <w:left w:val="nil"/>
              <w:bottom w:val="nil"/>
              <w:right w:val="nil"/>
            </w:tcBorders>
            <w:shd w:val="clear" w:color="auto" w:fill="auto"/>
            <w:noWrap/>
            <w:vAlign w:val="center"/>
            <w:hideMark/>
          </w:tcPr>
          <w:p w14:paraId="3AAEE02B" w14:textId="77777777" w:rsidR="00A33758" w:rsidRPr="00E21223" w:rsidRDefault="00A33758" w:rsidP="00F7132F">
            <w:pPr>
              <w:spacing w:after="0" w:line="240" w:lineRule="auto"/>
              <w:jc w:val="right"/>
              <w:rPr>
                <w:rFonts w:ascii="Verdana" w:eastAsia="Times New Roman" w:hAnsi="Verdana" w:cs="Calibri"/>
                <w:sz w:val="18"/>
                <w:szCs w:val="20"/>
                <w:lang w:eastAsia="pt-BR"/>
              </w:rPr>
            </w:pPr>
          </w:p>
        </w:tc>
        <w:tc>
          <w:tcPr>
            <w:tcW w:w="651" w:type="pct"/>
            <w:tcBorders>
              <w:top w:val="nil"/>
              <w:left w:val="nil"/>
              <w:bottom w:val="nil"/>
              <w:right w:val="nil"/>
            </w:tcBorders>
            <w:shd w:val="clear" w:color="auto" w:fill="auto"/>
            <w:noWrap/>
            <w:vAlign w:val="center"/>
            <w:hideMark/>
          </w:tcPr>
          <w:p w14:paraId="61DAA085" w14:textId="64FA61CF" w:rsidR="00A33758" w:rsidRPr="00CA5D73" w:rsidRDefault="003072B4" w:rsidP="00F7132F">
            <w:pPr>
              <w:spacing w:after="0" w:line="240" w:lineRule="auto"/>
              <w:jc w:val="right"/>
              <w:rPr>
                <w:rFonts w:ascii="Verdana" w:eastAsia="Times New Roman" w:hAnsi="Verdana" w:cs="Calibri"/>
                <w:sz w:val="18"/>
                <w:szCs w:val="20"/>
                <w:highlight w:val="yellow"/>
                <w:lang w:eastAsia="pt-BR"/>
              </w:rPr>
            </w:pPr>
            <w:r w:rsidRPr="003072B4">
              <w:rPr>
                <w:rFonts w:ascii="Verdana" w:eastAsia="Times New Roman" w:hAnsi="Verdana" w:cs="Calibri"/>
                <w:sz w:val="18"/>
                <w:szCs w:val="20"/>
                <w:lang w:eastAsia="pt-BR"/>
              </w:rPr>
              <w:t>16.446</w:t>
            </w:r>
          </w:p>
        </w:tc>
        <w:tc>
          <w:tcPr>
            <w:tcW w:w="52" w:type="pct"/>
            <w:tcBorders>
              <w:top w:val="nil"/>
              <w:left w:val="nil"/>
              <w:bottom w:val="nil"/>
              <w:right w:val="nil"/>
            </w:tcBorders>
            <w:shd w:val="clear" w:color="auto" w:fill="auto"/>
            <w:noWrap/>
            <w:vAlign w:val="center"/>
            <w:hideMark/>
          </w:tcPr>
          <w:p w14:paraId="1B4CF26C" w14:textId="77777777" w:rsidR="00A33758" w:rsidRPr="00CA5D73" w:rsidRDefault="00A33758" w:rsidP="00F7132F">
            <w:pPr>
              <w:spacing w:after="0" w:line="240" w:lineRule="auto"/>
              <w:jc w:val="right"/>
              <w:rPr>
                <w:rFonts w:ascii="Verdana" w:eastAsia="Times New Roman" w:hAnsi="Verdana" w:cs="Calibri"/>
                <w:sz w:val="18"/>
                <w:szCs w:val="20"/>
                <w:highlight w:val="yellow"/>
                <w:lang w:eastAsia="pt-BR"/>
              </w:rPr>
            </w:pPr>
          </w:p>
        </w:tc>
        <w:tc>
          <w:tcPr>
            <w:tcW w:w="536" w:type="pct"/>
            <w:tcBorders>
              <w:top w:val="nil"/>
              <w:left w:val="nil"/>
              <w:bottom w:val="nil"/>
              <w:right w:val="nil"/>
            </w:tcBorders>
            <w:shd w:val="clear" w:color="auto" w:fill="auto"/>
            <w:noWrap/>
            <w:vAlign w:val="center"/>
            <w:hideMark/>
          </w:tcPr>
          <w:p w14:paraId="71FCE67C" w14:textId="77777777" w:rsidR="00A33758" w:rsidRPr="00E21223" w:rsidRDefault="00A33758" w:rsidP="00F7132F">
            <w:pPr>
              <w:spacing w:after="0" w:line="240" w:lineRule="auto"/>
              <w:jc w:val="right"/>
              <w:rPr>
                <w:rFonts w:ascii="Verdana" w:eastAsia="Times New Roman" w:hAnsi="Verdana" w:cs="Calibri"/>
                <w:sz w:val="18"/>
                <w:szCs w:val="20"/>
                <w:lang w:eastAsia="pt-BR"/>
              </w:rPr>
            </w:pPr>
            <w:r w:rsidRPr="00E21223">
              <w:rPr>
                <w:rFonts w:ascii="Verdana" w:eastAsia="Times New Roman" w:hAnsi="Verdana" w:cs="Calibri"/>
                <w:sz w:val="18"/>
                <w:szCs w:val="20"/>
                <w:lang w:eastAsia="pt-BR"/>
              </w:rPr>
              <w:t>72.578</w:t>
            </w:r>
          </w:p>
        </w:tc>
      </w:tr>
      <w:tr w:rsidR="00A33758" w:rsidRPr="00E21223" w14:paraId="6BE81A35" w14:textId="77777777" w:rsidTr="00F7132F">
        <w:trPr>
          <w:trHeight w:val="20"/>
        </w:trPr>
        <w:tc>
          <w:tcPr>
            <w:tcW w:w="1280" w:type="pct"/>
            <w:tcBorders>
              <w:top w:val="nil"/>
              <w:left w:val="nil"/>
              <w:bottom w:val="nil"/>
              <w:right w:val="nil"/>
            </w:tcBorders>
            <w:shd w:val="clear" w:color="auto" w:fill="auto"/>
            <w:noWrap/>
            <w:vAlign w:val="center"/>
            <w:hideMark/>
          </w:tcPr>
          <w:p w14:paraId="70DBF04F" w14:textId="77777777" w:rsidR="00A33758" w:rsidRPr="00E21223" w:rsidRDefault="00A33758" w:rsidP="00A33758">
            <w:pPr>
              <w:spacing w:after="0" w:line="240" w:lineRule="auto"/>
              <w:rPr>
                <w:rFonts w:ascii="Verdana" w:eastAsia="Times New Roman" w:hAnsi="Verdana" w:cs="Calibri"/>
                <w:sz w:val="18"/>
                <w:szCs w:val="16"/>
                <w:lang w:eastAsia="pt-BR"/>
              </w:rPr>
            </w:pPr>
          </w:p>
        </w:tc>
        <w:tc>
          <w:tcPr>
            <w:tcW w:w="54" w:type="pct"/>
            <w:tcBorders>
              <w:top w:val="nil"/>
              <w:left w:val="nil"/>
              <w:bottom w:val="nil"/>
              <w:right w:val="nil"/>
            </w:tcBorders>
            <w:shd w:val="clear" w:color="auto" w:fill="auto"/>
            <w:noWrap/>
            <w:vAlign w:val="center"/>
            <w:hideMark/>
          </w:tcPr>
          <w:p w14:paraId="409EF0A6" w14:textId="77777777" w:rsidR="00A33758" w:rsidRPr="00E21223" w:rsidRDefault="00A33758" w:rsidP="00A33758">
            <w:pPr>
              <w:spacing w:after="0" w:line="240" w:lineRule="auto"/>
              <w:rPr>
                <w:rFonts w:ascii="Times New Roman" w:eastAsia="Times New Roman" w:hAnsi="Times New Roman" w:cs="Times New Roman"/>
                <w:sz w:val="18"/>
                <w:szCs w:val="16"/>
                <w:lang w:eastAsia="pt-BR"/>
              </w:rPr>
            </w:pPr>
          </w:p>
        </w:tc>
        <w:tc>
          <w:tcPr>
            <w:tcW w:w="555" w:type="pct"/>
            <w:tcBorders>
              <w:top w:val="nil"/>
              <w:left w:val="nil"/>
              <w:bottom w:val="nil"/>
              <w:right w:val="nil"/>
            </w:tcBorders>
            <w:shd w:val="clear" w:color="auto" w:fill="auto"/>
            <w:noWrap/>
            <w:vAlign w:val="center"/>
            <w:hideMark/>
          </w:tcPr>
          <w:p w14:paraId="2C82E427" w14:textId="77777777" w:rsidR="00A33758" w:rsidRPr="00E21223" w:rsidRDefault="00A33758" w:rsidP="00F7132F">
            <w:pPr>
              <w:spacing w:after="0" w:line="240" w:lineRule="auto"/>
              <w:jc w:val="right"/>
              <w:rPr>
                <w:rFonts w:ascii="Times New Roman" w:eastAsia="Times New Roman" w:hAnsi="Times New Roman" w:cs="Times New Roman"/>
                <w:sz w:val="18"/>
                <w:szCs w:val="16"/>
                <w:lang w:eastAsia="pt-BR"/>
              </w:rPr>
            </w:pPr>
          </w:p>
        </w:tc>
        <w:tc>
          <w:tcPr>
            <w:tcW w:w="52" w:type="pct"/>
            <w:tcBorders>
              <w:top w:val="nil"/>
              <w:left w:val="nil"/>
              <w:bottom w:val="nil"/>
              <w:right w:val="nil"/>
            </w:tcBorders>
            <w:shd w:val="clear" w:color="auto" w:fill="auto"/>
            <w:noWrap/>
            <w:vAlign w:val="center"/>
            <w:hideMark/>
          </w:tcPr>
          <w:p w14:paraId="34776976" w14:textId="77777777" w:rsidR="00A33758" w:rsidRPr="00E21223" w:rsidRDefault="00A33758" w:rsidP="00F7132F">
            <w:pPr>
              <w:spacing w:after="0" w:line="240" w:lineRule="auto"/>
              <w:jc w:val="right"/>
              <w:rPr>
                <w:rFonts w:ascii="Times New Roman" w:eastAsia="Times New Roman" w:hAnsi="Times New Roman" w:cs="Times New Roman"/>
                <w:sz w:val="18"/>
                <w:szCs w:val="16"/>
                <w:lang w:eastAsia="pt-BR"/>
              </w:rPr>
            </w:pPr>
          </w:p>
        </w:tc>
        <w:tc>
          <w:tcPr>
            <w:tcW w:w="561" w:type="pct"/>
            <w:tcBorders>
              <w:top w:val="nil"/>
              <w:left w:val="nil"/>
              <w:bottom w:val="nil"/>
              <w:right w:val="nil"/>
            </w:tcBorders>
            <w:shd w:val="clear" w:color="auto" w:fill="auto"/>
            <w:noWrap/>
            <w:vAlign w:val="center"/>
            <w:hideMark/>
          </w:tcPr>
          <w:p w14:paraId="64159DAB" w14:textId="77777777" w:rsidR="00A33758" w:rsidRPr="00E21223" w:rsidRDefault="00A33758" w:rsidP="00F7132F">
            <w:pPr>
              <w:spacing w:after="0" w:line="240" w:lineRule="auto"/>
              <w:jc w:val="right"/>
              <w:rPr>
                <w:rFonts w:ascii="Times New Roman" w:eastAsia="Times New Roman" w:hAnsi="Times New Roman" w:cs="Times New Roman"/>
                <w:sz w:val="18"/>
                <w:szCs w:val="16"/>
                <w:lang w:eastAsia="pt-BR"/>
              </w:rPr>
            </w:pPr>
          </w:p>
        </w:tc>
        <w:tc>
          <w:tcPr>
            <w:tcW w:w="52" w:type="pct"/>
            <w:tcBorders>
              <w:top w:val="nil"/>
              <w:left w:val="nil"/>
              <w:bottom w:val="nil"/>
              <w:right w:val="nil"/>
            </w:tcBorders>
            <w:shd w:val="clear" w:color="auto" w:fill="auto"/>
            <w:noWrap/>
            <w:vAlign w:val="center"/>
            <w:hideMark/>
          </w:tcPr>
          <w:p w14:paraId="2C4EA61A" w14:textId="77777777" w:rsidR="00A33758" w:rsidRPr="00E21223" w:rsidRDefault="00A33758" w:rsidP="00F7132F">
            <w:pPr>
              <w:spacing w:after="0" w:line="240" w:lineRule="auto"/>
              <w:jc w:val="right"/>
              <w:rPr>
                <w:rFonts w:ascii="Times New Roman" w:eastAsia="Times New Roman" w:hAnsi="Times New Roman" w:cs="Times New Roman"/>
                <w:sz w:val="18"/>
                <w:szCs w:val="16"/>
                <w:lang w:eastAsia="pt-BR"/>
              </w:rPr>
            </w:pPr>
          </w:p>
        </w:tc>
        <w:tc>
          <w:tcPr>
            <w:tcW w:w="559" w:type="pct"/>
            <w:tcBorders>
              <w:top w:val="nil"/>
              <w:left w:val="nil"/>
              <w:bottom w:val="nil"/>
              <w:right w:val="nil"/>
            </w:tcBorders>
            <w:shd w:val="clear" w:color="auto" w:fill="auto"/>
            <w:noWrap/>
            <w:vAlign w:val="center"/>
            <w:hideMark/>
          </w:tcPr>
          <w:p w14:paraId="60470C62" w14:textId="77777777" w:rsidR="00A33758" w:rsidRPr="00E21223" w:rsidRDefault="00A33758" w:rsidP="00F7132F">
            <w:pPr>
              <w:spacing w:after="0" w:line="240" w:lineRule="auto"/>
              <w:jc w:val="right"/>
              <w:rPr>
                <w:rFonts w:ascii="Times New Roman" w:eastAsia="Times New Roman" w:hAnsi="Times New Roman" w:cs="Times New Roman"/>
                <w:sz w:val="18"/>
                <w:szCs w:val="16"/>
                <w:lang w:eastAsia="pt-BR"/>
              </w:rPr>
            </w:pPr>
          </w:p>
        </w:tc>
        <w:tc>
          <w:tcPr>
            <w:tcW w:w="52" w:type="pct"/>
            <w:tcBorders>
              <w:top w:val="nil"/>
              <w:left w:val="nil"/>
              <w:bottom w:val="nil"/>
              <w:right w:val="nil"/>
            </w:tcBorders>
            <w:shd w:val="clear" w:color="auto" w:fill="auto"/>
            <w:noWrap/>
            <w:vAlign w:val="center"/>
            <w:hideMark/>
          </w:tcPr>
          <w:p w14:paraId="20B2FCBF" w14:textId="77777777" w:rsidR="00A33758" w:rsidRPr="00E21223" w:rsidRDefault="00A33758" w:rsidP="00F7132F">
            <w:pPr>
              <w:spacing w:after="0" w:line="240" w:lineRule="auto"/>
              <w:jc w:val="right"/>
              <w:rPr>
                <w:rFonts w:ascii="Times New Roman" w:eastAsia="Times New Roman" w:hAnsi="Times New Roman" w:cs="Times New Roman"/>
                <w:sz w:val="18"/>
                <w:szCs w:val="16"/>
                <w:lang w:eastAsia="pt-BR"/>
              </w:rPr>
            </w:pPr>
          </w:p>
        </w:tc>
        <w:tc>
          <w:tcPr>
            <w:tcW w:w="546" w:type="pct"/>
            <w:tcBorders>
              <w:top w:val="nil"/>
              <w:left w:val="nil"/>
              <w:bottom w:val="nil"/>
              <w:right w:val="nil"/>
            </w:tcBorders>
            <w:shd w:val="clear" w:color="auto" w:fill="auto"/>
            <w:noWrap/>
            <w:vAlign w:val="center"/>
            <w:hideMark/>
          </w:tcPr>
          <w:p w14:paraId="0D96E981" w14:textId="77777777" w:rsidR="00A33758" w:rsidRPr="00E21223" w:rsidRDefault="00A33758" w:rsidP="00F7132F">
            <w:pPr>
              <w:spacing w:after="0" w:line="240" w:lineRule="auto"/>
              <w:jc w:val="right"/>
              <w:rPr>
                <w:rFonts w:ascii="Times New Roman" w:eastAsia="Times New Roman" w:hAnsi="Times New Roman" w:cs="Times New Roman"/>
                <w:sz w:val="18"/>
                <w:szCs w:val="16"/>
                <w:lang w:eastAsia="pt-BR"/>
              </w:rPr>
            </w:pPr>
          </w:p>
        </w:tc>
        <w:tc>
          <w:tcPr>
            <w:tcW w:w="52" w:type="pct"/>
            <w:tcBorders>
              <w:top w:val="nil"/>
              <w:left w:val="nil"/>
              <w:bottom w:val="nil"/>
              <w:right w:val="nil"/>
            </w:tcBorders>
            <w:shd w:val="clear" w:color="auto" w:fill="auto"/>
            <w:noWrap/>
            <w:vAlign w:val="center"/>
            <w:hideMark/>
          </w:tcPr>
          <w:p w14:paraId="7188C397" w14:textId="77777777" w:rsidR="00A33758" w:rsidRPr="00E21223" w:rsidRDefault="00A33758" w:rsidP="00F7132F">
            <w:pPr>
              <w:spacing w:after="0" w:line="240" w:lineRule="auto"/>
              <w:jc w:val="right"/>
              <w:rPr>
                <w:rFonts w:ascii="Times New Roman" w:eastAsia="Times New Roman" w:hAnsi="Times New Roman" w:cs="Times New Roman"/>
                <w:sz w:val="18"/>
                <w:szCs w:val="16"/>
                <w:lang w:eastAsia="pt-BR"/>
              </w:rPr>
            </w:pPr>
          </w:p>
        </w:tc>
        <w:tc>
          <w:tcPr>
            <w:tcW w:w="651" w:type="pct"/>
            <w:tcBorders>
              <w:top w:val="nil"/>
              <w:left w:val="nil"/>
              <w:bottom w:val="nil"/>
              <w:right w:val="nil"/>
            </w:tcBorders>
            <w:shd w:val="clear" w:color="auto" w:fill="auto"/>
            <w:noWrap/>
            <w:vAlign w:val="center"/>
            <w:hideMark/>
          </w:tcPr>
          <w:p w14:paraId="26C46DDF" w14:textId="77777777" w:rsidR="00A33758" w:rsidRPr="00E21223" w:rsidRDefault="00A33758" w:rsidP="00F7132F">
            <w:pPr>
              <w:spacing w:after="0" w:line="240" w:lineRule="auto"/>
              <w:jc w:val="right"/>
              <w:rPr>
                <w:rFonts w:ascii="Times New Roman" w:eastAsia="Times New Roman" w:hAnsi="Times New Roman" w:cs="Times New Roman"/>
                <w:sz w:val="18"/>
                <w:szCs w:val="16"/>
                <w:lang w:eastAsia="pt-BR"/>
              </w:rPr>
            </w:pPr>
          </w:p>
        </w:tc>
        <w:tc>
          <w:tcPr>
            <w:tcW w:w="52" w:type="pct"/>
            <w:tcBorders>
              <w:top w:val="nil"/>
              <w:left w:val="nil"/>
              <w:bottom w:val="nil"/>
              <w:right w:val="nil"/>
            </w:tcBorders>
            <w:shd w:val="clear" w:color="auto" w:fill="auto"/>
            <w:noWrap/>
            <w:vAlign w:val="center"/>
            <w:hideMark/>
          </w:tcPr>
          <w:p w14:paraId="58B7BAC8" w14:textId="77777777" w:rsidR="00A33758" w:rsidRPr="00E21223" w:rsidRDefault="00A33758" w:rsidP="00F7132F">
            <w:pPr>
              <w:spacing w:after="0" w:line="240" w:lineRule="auto"/>
              <w:jc w:val="right"/>
              <w:rPr>
                <w:rFonts w:ascii="Times New Roman" w:eastAsia="Times New Roman" w:hAnsi="Times New Roman" w:cs="Times New Roman"/>
                <w:sz w:val="18"/>
                <w:szCs w:val="16"/>
                <w:lang w:eastAsia="pt-BR"/>
              </w:rPr>
            </w:pPr>
          </w:p>
        </w:tc>
        <w:tc>
          <w:tcPr>
            <w:tcW w:w="536" w:type="pct"/>
            <w:tcBorders>
              <w:top w:val="nil"/>
              <w:left w:val="nil"/>
              <w:bottom w:val="nil"/>
              <w:right w:val="nil"/>
            </w:tcBorders>
            <w:shd w:val="clear" w:color="auto" w:fill="auto"/>
            <w:noWrap/>
            <w:vAlign w:val="center"/>
            <w:hideMark/>
          </w:tcPr>
          <w:p w14:paraId="1B858265" w14:textId="77777777" w:rsidR="00A33758" w:rsidRPr="00E21223" w:rsidRDefault="00A33758" w:rsidP="00F7132F">
            <w:pPr>
              <w:spacing w:after="0" w:line="240" w:lineRule="auto"/>
              <w:jc w:val="right"/>
              <w:rPr>
                <w:rFonts w:ascii="Times New Roman" w:eastAsia="Times New Roman" w:hAnsi="Times New Roman" w:cs="Times New Roman"/>
                <w:sz w:val="18"/>
                <w:szCs w:val="16"/>
                <w:lang w:eastAsia="pt-BR"/>
              </w:rPr>
            </w:pPr>
          </w:p>
        </w:tc>
      </w:tr>
      <w:tr w:rsidR="00F7132F" w:rsidRPr="00E21223" w14:paraId="25E98927" w14:textId="77777777" w:rsidTr="00385A93">
        <w:trPr>
          <w:trHeight w:val="20"/>
        </w:trPr>
        <w:tc>
          <w:tcPr>
            <w:tcW w:w="1280" w:type="pct"/>
            <w:tcBorders>
              <w:top w:val="nil"/>
              <w:left w:val="nil"/>
              <w:bottom w:val="nil"/>
              <w:right w:val="nil"/>
            </w:tcBorders>
            <w:shd w:val="clear" w:color="auto" w:fill="auto"/>
            <w:noWrap/>
            <w:vAlign w:val="center"/>
            <w:hideMark/>
          </w:tcPr>
          <w:p w14:paraId="424241F7" w14:textId="77777777" w:rsidR="00A33758" w:rsidRPr="00E21223" w:rsidRDefault="00A33758" w:rsidP="00A33758">
            <w:pPr>
              <w:spacing w:after="0" w:line="240" w:lineRule="auto"/>
              <w:rPr>
                <w:rFonts w:ascii="Verdana" w:eastAsia="Times New Roman" w:hAnsi="Verdana" w:cs="Calibri"/>
                <w:b/>
                <w:bCs/>
                <w:sz w:val="18"/>
                <w:szCs w:val="20"/>
                <w:lang w:eastAsia="pt-BR"/>
              </w:rPr>
            </w:pPr>
            <w:r w:rsidRPr="00E21223">
              <w:rPr>
                <w:rFonts w:ascii="Verdana" w:eastAsia="Times New Roman" w:hAnsi="Verdana" w:cs="Calibri"/>
                <w:b/>
                <w:bCs/>
                <w:sz w:val="18"/>
                <w:szCs w:val="20"/>
                <w:lang w:eastAsia="pt-BR"/>
              </w:rPr>
              <w:t xml:space="preserve"> Em 30 de junho de 2022 </w:t>
            </w:r>
          </w:p>
        </w:tc>
        <w:tc>
          <w:tcPr>
            <w:tcW w:w="54" w:type="pct"/>
            <w:tcBorders>
              <w:top w:val="nil"/>
              <w:left w:val="nil"/>
              <w:bottom w:val="nil"/>
              <w:right w:val="nil"/>
            </w:tcBorders>
            <w:shd w:val="clear" w:color="auto" w:fill="auto"/>
            <w:noWrap/>
            <w:vAlign w:val="center"/>
            <w:hideMark/>
          </w:tcPr>
          <w:p w14:paraId="02E96AFD" w14:textId="77777777" w:rsidR="00A33758" w:rsidRPr="00E21223" w:rsidRDefault="00A33758" w:rsidP="00A33758">
            <w:pPr>
              <w:spacing w:after="0" w:line="240" w:lineRule="auto"/>
              <w:rPr>
                <w:rFonts w:ascii="Verdana" w:eastAsia="Times New Roman" w:hAnsi="Verdana" w:cs="Calibri"/>
                <w:b/>
                <w:bCs/>
                <w:sz w:val="18"/>
                <w:szCs w:val="20"/>
                <w:lang w:eastAsia="pt-BR"/>
              </w:rPr>
            </w:pPr>
          </w:p>
        </w:tc>
        <w:tc>
          <w:tcPr>
            <w:tcW w:w="555" w:type="pct"/>
            <w:tcBorders>
              <w:top w:val="single" w:sz="4" w:space="0" w:color="auto"/>
              <w:left w:val="nil"/>
              <w:bottom w:val="double" w:sz="6" w:space="0" w:color="auto"/>
              <w:right w:val="nil"/>
            </w:tcBorders>
            <w:shd w:val="clear" w:color="auto" w:fill="auto"/>
            <w:noWrap/>
            <w:vAlign w:val="center"/>
            <w:hideMark/>
          </w:tcPr>
          <w:p w14:paraId="4FBA1F9C" w14:textId="77777777" w:rsidR="00A33758" w:rsidRPr="00E21223" w:rsidRDefault="00A33758" w:rsidP="00F7132F">
            <w:pPr>
              <w:spacing w:after="0" w:line="240" w:lineRule="auto"/>
              <w:jc w:val="right"/>
              <w:rPr>
                <w:rFonts w:ascii="Verdana" w:eastAsia="Times New Roman" w:hAnsi="Verdana" w:cs="Calibri"/>
                <w:b/>
                <w:bCs/>
                <w:sz w:val="18"/>
                <w:szCs w:val="20"/>
                <w:lang w:eastAsia="pt-BR"/>
              </w:rPr>
            </w:pPr>
            <w:r w:rsidRPr="00E21223">
              <w:rPr>
                <w:rFonts w:ascii="Verdana" w:eastAsia="Times New Roman" w:hAnsi="Verdana" w:cs="Calibri"/>
                <w:b/>
                <w:bCs/>
                <w:sz w:val="18"/>
                <w:szCs w:val="20"/>
                <w:lang w:eastAsia="pt-BR"/>
              </w:rPr>
              <w:t>4.000.000</w:t>
            </w:r>
          </w:p>
        </w:tc>
        <w:tc>
          <w:tcPr>
            <w:tcW w:w="52" w:type="pct"/>
            <w:tcBorders>
              <w:top w:val="nil"/>
              <w:left w:val="nil"/>
              <w:bottom w:val="nil"/>
              <w:right w:val="nil"/>
            </w:tcBorders>
            <w:shd w:val="clear" w:color="auto" w:fill="auto"/>
            <w:noWrap/>
            <w:vAlign w:val="center"/>
            <w:hideMark/>
          </w:tcPr>
          <w:p w14:paraId="325B8A41" w14:textId="77777777" w:rsidR="00A33758" w:rsidRPr="00E21223" w:rsidRDefault="00A33758" w:rsidP="00F7132F">
            <w:pPr>
              <w:spacing w:after="0" w:line="240" w:lineRule="auto"/>
              <w:jc w:val="right"/>
              <w:rPr>
                <w:rFonts w:ascii="Verdana" w:eastAsia="Times New Roman" w:hAnsi="Verdana" w:cs="Calibri"/>
                <w:b/>
                <w:bCs/>
                <w:sz w:val="18"/>
                <w:szCs w:val="20"/>
                <w:lang w:eastAsia="pt-BR"/>
              </w:rPr>
            </w:pPr>
          </w:p>
        </w:tc>
        <w:tc>
          <w:tcPr>
            <w:tcW w:w="561" w:type="pct"/>
            <w:tcBorders>
              <w:top w:val="single" w:sz="4" w:space="0" w:color="auto"/>
              <w:left w:val="nil"/>
              <w:bottom w:val="double" w:sz="6" w:space="0" w:color="auto"/>
              <w:right w:val="nil"/>
            </w:tcBorders>
            <w:shd w:val="clear" w:color="auto" w:fill="auto"/>
            <w:noWrap/>
            <w:vAlign w:val="center"/>
            <w:hideMark/>
          </w:tcPr>
          <w:p w14:paraId="7CD39D47" w14:textId="77777777" w:rsidR="00A33758" w:rsidRPr="00E21223" w:rsidRDefault="00A33758" w:rsidP="00F7132F">
            <w:pPr>
              <w:spacing w:after="0" w:line="240" w:lineRule="auto"/>
              <w:jc w:val="right"/>
              <w:rPr>
                <w:rFonts w:ascii="Verdana" w:eastAsia="Times New Roman" w:hAnsi="Verdana" w:cs="Calibri"/>
                <w:b/>
                <w:bCs/>
                <w:sz w:val="18"/>
                <w:szCs w:val="20"/>
                <w:lang w:eastAsia="pt-BR"/>
              </w:rPr>
            </w:pPr>
            <w:r w:rsidRPr="00E21223">
              <w:rPr>
                <w:rFonts w:ascii="Verdana" w:eastAsia="Times New Roman" w:hAnsi="Verdana" w:cs="Calibri"/>
                <w:b/>
                <w:bCs/>
                <w:sz w:val="18"/>
                <w:szCs w:val="20"/>
                <w:lang w:eastAsia="pt-BR"/>
              </w:rPr>
              <w:t>56.131</w:t>
            </w:r>
          </w:p>
        </w:tc>
        <w:tc>
          <w:tcPr>
            <w:tcW w:w="52" w:type="pct"/>
            <w:tcBorders>
              <w:top w:val="nil"/>
              <w:left w:val="nil"/>
              <w:bottom w:val="nil"/>
              <w:right w:val="nil"/>
            </w:tcBorders>
            <w:shd w:val="clear" w:color="auto" w:fill="auto"/>
            <w:noWrap/>
            <w:vAlign w:val="center"/>
            <w:hideMark/>
          </w:tcPr>
          <w:p w14:paraId="5D459970" w14:textId="77777777" w:rsidR="00A33758" w:rsidRPr="00E21223" w:rsidRDefault="00A33758" w:rsidP="00F7132F">
            <w:pPr>
              <w:spacing w:after="0" w:line="240" w:lineRule="auto"/>
              <w:jc w:val="right"/>
              <w:rPr>
                <w:rFonts w:ascii="Verdana" w:eastAsia="Times New Roman" w:hAnsi="Verdana" w:cs="Calibri"/>
                <w:b/>
                <w:bCs/>
                <w:sz w:val="18"/>
                <w:szCs w:val="20"/>
                <w:lang w:eastAsia="pt-BR"/>
              </w:rPr>
            </w:pPr>
          </w:p>
        </w:tc>
        <w:tc>
          <w:tcPr>
            <w:tcW w:w="559" w:type="pct"/>
            <w:tcBorders>
              <w:top w:val="single" w:sz="4" w:space="0" w:color="auto"/>
              <w:left w:val="nil"/>
              <w:bottom w:val="double" w:sz="6" w:space="0" w:color="auto"/>
              <w:right w:val="nil"/>
            </w:tcBorders>
            <w:shd w:val="clear" w:color="auto" w:fill="auto"/>
            <w:noWrap/>
            <w:vAlign w:val="center"/>
            <w:hideMark/>
          </w:tcPr>
          <w:p w14:paraId="521C4636" w14:textId="77777777" w:rsidR="00A33758" w:rsidRPr="00E21223" w:rsidRDefault="00A33758" w:rsidP="00F7132F">
            <w:pPr>
              <w:spacing w:after="0" w:line="240" w:lineRule="auto"/>
              <w:jc w:val="right"/>
              <w:rPr>
                <w:rFonts w:ascii="Verdana" w:eastAsia="Times New Roman" w:hAnsi="Verdana" w:cs="Calibri"/>
                <w:b/>
                <w:bCs/>
                <w:sz w:val="18"/>
                <w:szCs w:val="20"/>
                <w:lang w:eastAsia="pt-BR"/>
              </w:rPr>
            </w:pPr>
            <w:r w:rsidRPr="00E21223">
              <w:rPr>
                <w:rFonts w:ascii="Verdana" w:eastAsia="Times New Roman" w:hAnsi="Verdana" w:cs="Calibri"/>
                <w:b/>
                <w:bCs/>
                <w:sz w:val="18"/>
                <w:szCs w:val="20"/>
                <w:lang w:eastAsia="pt-BR"/>
              </w:rPr>
              <w:t>6.305</w:t>
            </w:r>
          </w:p>
        </w:tc>
        <w:tc>
          <w:tcPr>
            <w:tcW w:w="52" w:type="pct"/>
            <w:tcBorders>
              <w:top w:val="nil"/>
              <w:left w:val="nil"/>
              <w:bottom w:val="nil"/>
              <w:right w:val="nil"/>
            </w:tcBorders>
            <w:shd w:val="clear" w:color="auto" w:fill="auto"/>
            <w:noWrap/>
            <w:vAlign w:val="center"/>
            <w:hideMark/>
          </w:tcPr>
          <w:p w14:paraId="21BE6E5E" w14:textId="77777777" w:rsidR="00A33758" w:rsidRPr="00E21223" w:rsidRDefault="00A33758" w:rsidP="00F7132F">
            <w:pPr>
              <w:spacing w:after="0" w:line="240" w:lineRule="auto"/>
              <w:jc w:val="right"/>
              <w:rPr>
                <w:rFonts w:ascii="Verdana" w:eastAsia="Times New Roman" w:hAnsi="Verdana" w:cs="Calibri"/>
                <w:b/>
                <w:bCs/>
                <w:sz w:val="18"/>
                <w:szCs w:val="20"/>
                <w:lang w:eastAsia="pt-BR"/>
              </w:rPr>
            </w:pPr>
          </w:p>
        </w:tc>
        <w:tc>
          <w:tcPr>
            <w:tcW w:w="546" w:type="pct"/>
            <w:tcBorders>
              <w:top w:val="single" w:sz="4" w:space="0" w:color="auto"/>
              <w:left w:val="nil"/>
              <w:bottom w:val="double" w:sz="6" w:space="0" w:color="auto"/>
              <w:right w:val="nil"/>
            </w:tcBorders>
            <w:shd w:val="clear" w:color="auto" w:fill="auto"/>
            <w:noWrap/>
            <w:vAlign w:val="center"/>
            <w:hideMark/>
          </w:tcPr>
          <w:p w14:paraId="219CE371" w14:textId="77777777" w:rsidR="00A33758" w:rsidRPr="00E21223" w:rsidRDefault="00A33758" w:rsidP="00F7132F">
            <w:pPr>
              <w:spacing w:after="0" w:line="240" w:lineRule="auto"/>
              <w:jc w:val="right"/>
              <w:rPr>
                <w:rFonts w:ascii="Verdana" w:eastAsia="Times New Roman" w:hAnsi="Verdana" w:cs="Calibri"/>
                <w:b/>
                <w:bCs/>
                <w:sz w:val="18"/>
                <w:szCs w:val="20"/>
                <w:lang w:eastAsia="pt-BR"/>
              </w:rPr>
            </w:pPr>
            <w:r w:rsidRPr="00E21223">
              <w:rPr>
                <w:rFonts w:ascii="Verdana" w:eastAsia="Times New Roman" w:hAnsi="Verdana" w:cs="Calibri"/>
                <w:b/>
                <w:bCs/>
                <w:sz w:val="18"/>
                <w:szCs w:val="20"/>
                <w:lang w:eastAsia="pt-BR"/>
              </w:rPr>
              <w:t>4.062.436</w:t>
            </w:r>
          </w:p>
        </w:tc>
        <w:tc>
          <w:tcPr>
            <w:tcW w:w="52" w:type="pct"/>
            <w:tcBorders>
              <w:top w:val="nil"/>
              <w:left w:val="nil"/>
              <w:bottom w:val="nil"/>
              <w:right w:val="nil"/>
            </w:tcBorders>
            <w:shd w:val="clear" w:color="auto" w:fill="auto"/>
            <w:noWrap/>
            <w:vAlign w:val="center"/>
            <w:hideMark/>
          </w:tcPr>
          <w:p w14:paraId="1ACE30FB" w14:textId="77777777" w:rsidR="00A33758" w:rsidRPr="00E21223" w:rsidRDefault="00A33758" w:rsidP="00F7132F">
            <w:pPr>
              <w:spacing w:after="0" w:line="240" w:lineRule="auto"/>
              <w:jc w:val="right"/>
              <w:rPr>
                <w:rFonts w:ascii="Verdana" w:eastAsia="Times New Roman" w:hAnsi="Verdana" w:cs="Calibri"/>
                <w:b/>
                <w:bCs/>
                <w:sz w:val="18"/>
                <w:szCs w:val="20"/>
                <w:lang w:eastAsia="pt-BR"/>
              </w:rPr>
            </w:pPr>
          </w:p>
        </w:tc>
        <w:tc>
          <w:tcPr>
            <w:tcW w:w="651" w:type="pct"/>
            <w:tcBorders>
              <w:top w:val="single" w:sz="4" w:space="0" w:color="auto"/>
              <w:left w:val="nil"/>
              <w:bottom w:val="double" w:sz="6" w:space="0" w:color="auto"/>
              <w:right w:val="nil"/>
            </w:tcBorders>
            <w:shd w:val="clear" w:color="auto" w:fill="auto"/>
            <w:noWrap/>
            <w:vAlign w:val="center"/>
            <w:hideMark/>
          </w:tcPr>
          <w:p w14:paraId="7339D93C" w14:textId="77777777" w:rsidR="00A33758" w:rsidRPr="00E21223" w:rsidRDefault="00A33758" w:rsidP="00F7132F">
            <w:pPr>
              <w:spacing w:after="0" w:line="240" w:lineRule="auto"/>
              <w:jc w:val="right"/>
              <w:rPr>
                <w:rFonts w:ascii="Verdana" w:eastAsia="Times New Roman" w:hAnsi="Verdana" w:cs="Calibri"/>
                <w:b/>
                <w:bCs/>
                <w:sz w:val="18"/>
                <w:szCs w:val="20"/>
                <w:lang w:eastAsia="pt-BR"/>
              </w:rPr>
            </w:pPr>
            <w:r w:rsidRPr="00E21223">
              <w:rPr>
                <w:rFonts w:ascii="Verdana" w:eastAsia="Times New Roman" w:hAnsi="Verdana" w:cs="Calibri"/>
                <w:b/>
                <w:bCs/>
                <w:sz w:val="18"/>
                <w:szCs w:val="20"/>
                <w:lang w:eastAsia="pt-BR"/>
              </w:rPr>
              <w:t>16.446</w:t>
            </w:r>
          </w:p>
        </w:tc>
        <w:tc>
          <w:tcPr>
            <w:tcW w:w="52" w:type="pct"/>
            <w:tcBorders>
              <w:top w:val="nil"/>
              <w:left w:val="nil"/>
              <w:bottom w:val="nil"/>
              <w:right w:val="nil"/>
            </w:tcBorders>
            <w:shd w:val="clear" w:color="auto" w:fill="auto"/>
            <w:noWrap/>
            <w:vAlign w:val="center"/>
            <w:hideMark/>
          </w:tcPr>
          <w:p w14:paraId="0D4FBAA7" w14:textId="77777777" w:rsidR="00A33758" w:rsidRPr="00E21223" w:rsidRDefault="00A33758" w:rsidP="00F7132F">
            <w:pPr>
              <w:spacing w:after="0" w:line="240" w:lineRule="auto"/>
              <w:jc w:val="right"/>
              <w:rPr>
                <w:rFonts w:ascii="Verdana" w:eastAsia="Times New Roman" w:hAnsi="Verdana" w:cs="Calibri"/>
                <w:b/>
                <w:bCs/>
                <w:sz w:val="18"/>
                <w:szCs w:val="20"/>
                <w:lang w:eastAsia="pt-BR"/>
              </w:rPr>
            </w:pPr>
          </w:p>
        </w:tc>
        <w:tc>
          <w:tcPr>
            <w:tcW w:w="536" w:type="pct"/>
            <w:tcBorders>
              <w:top w:val="single" w:sz="4" w:space="0" w:color="auto"/>
              <w:left w:val="nil"/>
              <w:bottom w:val="double" w:sz="6" w:space="0" w:color="auto"/>
              <w:right w:val="nil"/>
            </w:tcBorders>
            <w:shd w:val="clear" w:color="auto" w:fill="auto"/>
            <w:noWrap/>
            <w:vAlign w:val="center"/>
            <w:hideMark/>
          </w:tcPr>
          <w:p w14:paraId="46B842DA" w14:textId="77777777" w:rsidR="00A33758" w:rsidRPr="00E21223" w:rsidRDefault="00A33758" w:rsidP="00F7132F">
            <w:pPr>
              <w:spacing w:after="0" w:line="240" w:lineRule="auto"/>
              <w:jc w:val="right"/>
              <w:rPr>
                <w:rFonts w:ascii="Verdana" w:eastAsia="Times New Roman" w:hAnsi="Verdana" w:cs="Calibri"/>
                <w:b/>
                <w:bCs/>
                <w:sz w:val="18"/>
                <w:szCs w:val="20"/>
                <w:lang w:eastAsia="pt-BR"/>
              </w:rPr>
            </w:pPr>
            <w:r w:rsidRPr="00E21223">
              <w:rPr>
                <w:rFonts w:ascii="Verdana" w:eastAsia="Times New Roman" w:hAnsi="Verdana" w:cs="Calibri"/>
                <w:b/>
                <w:bCs/>
                <w:sz w:val="18"/>
                <w:szCs w:val="20"/>
                <w:lang w:eastAsia="pt-BR"/>
              </w:rPr>
              <w:t>4.078.883</w:t>
            </w:r>
          </w:p>
        </w:tc>
      </w:tr>
    </w:tbl>
    <w:p w14:paraId="0B3F5C7C"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18CBC72F"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5CA50A26"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428336DC"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3EDC74B5"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2A7614FA"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0F0F90C4"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63316FCA"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7A9A883F"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1569E05C"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19D0EC7C"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7F0D1A53"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34B7D4B8"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0B686659"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3F2B0D18" w14:textId="2408B93C" w:rsidR="004B6B1F" w:rsidRPr="00C11BC9" w:rsidRDefault="007835BD" w:rsidP="007835BD">
      <w:pPr>
        <w:widowControl w:val="0"/>
        <w:rPr>
          <w:rFonts w:ascii="Verdana" w:hAnsi="Verdana"/>
          <w:bCs/>
        </w:rPr>
      </w:pPr>
      <w:r w:rsidRPr="00C11BC9">
        <w:rPr>
          <w:rFonts w:ascii="Verdana" w:hAnsi="Verdana"/>
          <w:bCs/>
          <w:szCs w:val="26"/>
        </w:rPr>
        <w:t>As notas explicativas são parte integrante das demonstrações</w:t>
      </w:r>
      <w:r w:rsidR="00590B3C">
        <w:rPr>
          <w:rFonts w:ascii="Verdana" w:hAnsi="Verdana"/>
          <w:bCs/>
          <w:szCs w:val="26"/>
        </w:rPr>
        <w:t xml:space="preserve"> financeiras intermediárias</w:t>
      </w:r>
      <w:r w:rsidRPr="00C11BC9">
        <w:rPr>
          <w:rFonts w:ascii="Verdana" w:hAnsi="Verdana"/>
          <w:bCs/>
          <w:szCs w:val="26"/>
        </w:rPr>
        <w:t>.</w:t>
      </w:r>
    </w:p>
    <w:p w14:paraId="71A2245D" w14:textId="77777777" w:rsidR="00C860EA" w:rsidRDefault="00C860EA">
      <w:pPr>
        <w:rPr>
          <w:rFonts w:ascii="Verdana" w:hAnsi="Verdana"/>
          <w:bCs/>
        </w:rPr>
        <w:sectPr w:rsidR="00C860EA" w:rsidSect="004D3063">
          <w:pgSz w:w="16838" w:h="11906" w:orient="landscape"/>
          <w:pgMar w:top="1701" w:right="1418" w:bottom="1276" w:left="1418" w:header="709" w:footer="709" w:gutter="0"/>
          <w:cols w:space="708"/>
          <w:docGrid w:linePitch="360"/>
        </w:sectPr>
      </w:pPr>
    </w:p>
    <w:p w14:paraId="389A9DCC" w14:textId="77777777" w:rsidR="00F52374" w:rsidRPr="006E1B4F" w:rsidRDefault="00F52374" w:rsidP="00F7132F">
      <w:pPr>
        <w:widowControl w:val="0"/>
        <w:spacing w:after="0"/>
        <w:jc w:val="center"/>
        <w:rPr>
          <w:rFonts w:ascii="Verdana" w:hAnsi="Verdana"/>
          <w:b/>
          <w:bCs/>
          <w:szCs w:val="26"/>
        </w:rPr>
      </w:pPr>
      <w:r w:rsidRPr="006E1B4F">
        <w:rPr>
          <w:rFonts w:ascii="Verdana" w:hAnsi="Verdana"/>
          <w:b/>
          <w:bCs/>
          <w:szCs w:val="26"/>
        </w:rPr>
        <w:lastRenderedPageBreak/>
        <w:t>Demonstrações dos fluxos de caixa</w:t>
      </w:r>
    </w:p>
    <w:tbl>
      <w:tblPr>
        <w:tblW w:w="5424" w:type="pct"/>
        <w:tblInd w:w="-709" w:type="dxa"/>
        <w:tblCellMar>
          <w:left w:w="70" w:type="dxa"/>
          <w:right w:w="70" w:type="dxa"/>
        </w:tblCellMar>
        <w:tblLook w:val="04A0" w:firstRow="1" w:lastRow="0" w:firstColumn="1" w:lastColumn="0" w:noHBand="0" w:noVBand="1"/>
      </w:tblPr>
      <w:tblGrid>
        <w:gridCol w:w="6379"/>
        <w:gridCol w:w="1747"/>
        <w:gridCol w:w="146"/>
        <w:gridCol w:w="1723"/>
      </w:tblGrid>
      <w:tr w:rsidR="000201AE" w:rsidRPr="000201AE" w14:paraId="06E971E8" w14:textId="77777777" w:rsidTr="003072B4">
        <w:trPr>
          <w:trHeight w:val="20"/>
        </w:trPr>
        <w:tc>
          <w:tcPr>
            <w:tcW w:w="3191" w:type="pct"/>
            <w:tcBorders>
              <w:top w:val="nil"/>
              <w:left w:val="nil"/>
              <w:bottom w:val="nil"/>
              <w:right w:val="nil"/>
            </w:tcBorders>
            <w:shd w:val="clear" w:color="auto" w:fill="auto"/>
            <w:noWrap/>
            <w:vAlign w:val="bottom"/>
            <w:hideMark/>
          </w:tcPr>
          <w:p w14:paraId="6E2A5DDF" w14:textId="77777777" w:rsidR="000201AE" w:rsidRPr="000201AE" w:rsidRDefault="000201AE" w:rsidP="000201AE">
            <w:pPr>
              <w:spacing w:after="0" w:line="240" w:lineRule="auto"/>
              <w:rPr>
                <w:rFonts w:ascii="Times New Roman" w:eastAsia="Times New Roman" w:hAnsi="Times New Roman" w:cs="Times New Roman"/>
                <w:sz w:val="24"/>
                <w:szCs w:val="24"/>
                <w:lang w:eastAsia="pt-BR"/>
              </w:rPr>
            </w:pPr>
          </w:p>
        </w:tc>
        <w:tc>
          <w:tcPr>
            <w:tcW w:w="874" w:type="pct"/>
            <w:tcBorders>
              <w:top w:val="nil"/>
              <w:left w:val="nil"/>
              <w:bottom w:val="single" w:sz="4" w:space="0" w:color="auto"/>
              <w:right w:val="nil"/>
            </w:tcBorders>
            <w:shd w:val="clear" w:color="auto" w:fill="auto"/>
            <w:noWrap/>
            <w:vAlign w:val="bottom"/>
            <w:hideMark/>
          </w:tcPr>
          <w:p w14:paraId="6A60223B" w14:textId="77777777" w:rsidR="000201AE" w:rsidRPr="000201AE" w:rsidRDefault="000201AE" w:rsidP="000201AE">
            <w:pPr>
              <w:spacing w:after="0" w:line="240" w:lineRule="auto"/>
              <w:jc w:val="center"/>
              <w:rPr>
                <w:rFonts w:ascii="Verdana" w:eastAsia="Times New Roman" w:hAnsi="Verdana" w:cs="Calibri"/>
                <w:b/>
                <w:bCs/>
                <w:color w:val="000000"/>
                <w:sz w:val="18"/>
                <w:szCs w:val="18"/>
                <w:lang w:eastAsia="pt-BR"/>
              </w:rPr>
            </w:pPr>
            <w:r w:rsidRPr="000201AE">
              <w:rPr>
                <w:rFonts w:ascii="Verdana" w:eastAsia="Times New Roman" w:hAnsi="Verdana" w:cs="Calibri"/>
                <w:b/>
                <w:bCs/>
                <w:color w:val="000000"/>
                <w:sz w:val="18"/>
                <w:szCs w:val="18"/>
                <w:lang w:eastAsia="pt-BR"/>
              </w:rPr>
              <w:t xml:space="preserve"> Controladora </w:t>
            </w:r>
          </w:p>
        </w:tc>
        <w:tc>
          <w:tcPr>
            <w:tcW w:w="73" w:type="pct"/>
            <w:tcBorders>
              <w:top w:val="nil"/>
              <w:left w:val="nil"/>
              <w:bottom w:val="nil"/>
              <w:right w:val="nil"/>
            </w:tcBorders>
            <w:shd w:val="clear" w:color="auto" w:fill="auto"/>
            <w:noWrap/>
            <w:vAlign w:val="bottom"/>
            <w:hideMark/>
          </w:tcPr>
          <w:p w14:paraId="050E12C5" w14:textId="77777777" w:rsidR="000201AE" w:rsidRPr="000201AE" w:rsidRDefault="000201AE" w:rsidP="000201AE">
            <w:pPr>
              <w:spacing w:after="0" w:line="240" w:lineRule="auto"/>
              <w:jc w:val="center"/>
              <w:rPr>
                <w:rFonts w:ascii="Verdana" w:eastAsia="Times New Roman" w:hAnsi="Verdana" w:cs="Calibri"/>
                <w:b/>
                <w:bCs/>
                <w:color w:val="000000"/>
                <w:sz w:val="18"/>
                <w:szCs w:val="18"/>
                <w:lang w:eastAsia="pt-BR"/>
              </w:rPr>
            </w:pPr>
          </w:p>
        </w:tc>
        <w:tc>
          <w:tcPr>
            <w:tcW w:w="862" w:type="pct"/>
            <w:tcBorders>
              <w:top w:val="nil"/>
              <w:left w:val="nil"/>
              <w:bottom w:val="single" w:sz="4" w:space="0" w:color="auto"/>
              <w:right w:val="nil"/>
            </w:tcBorders>
            <w:shd w:val="clear" w:color="auto" w:fill="auto"/>
            <w:noWrap/>
            <w:vAlign w:val="bottom"/>
            <w:hideMark/>
          </w:tcPr>
          <w:p w14:paraId="07F2C12C" w14:textId="77777777" w:rsidR="000201AE" w:rsidRPr="000201AE" w:rsidRDefault="000201AE" w:rsidP="000201AE">
            <w:pPr>
              <w:spacing w:after="0" w:line="240" w:lineRule="auto"/>
              <w:jc w:val="center"/>
              <w:rPr>
                <w:rFonts w:ascii="Verdana" w:eastAsia="Times New Roman" w:hAnsi="Verdana" w:cs="Calibri"/>
                <w:b/>
                <w:bCs/>
                <w:color w:val="000000"/>
                <w:sz w:val="18"/>
                <w:szCs w:val="18"/>
                <w:lang w:eastAsia="pt-BR"/>
              </w:rPr>
            </w:pPr>
            <w:r w:rsidRPr="000201AE">
              <w:rPr>
                <w:rFonts w:ascii="Verdana" w:eastAsia="Times New Roman" w:hAnsi="Verdana" w:cs="Calibri"/>
                <w:b/>
                <w:bCs/>
                <w:color w:val="000000"/>
                <w:sz w:val="18"/>
                <w:szCs w:val="18"/>
                <w:lang w:eastAsia="pt-BR"/>
              </w:rPr>
              <w:t xml:space="preserve"> Consolidado </w:t>
            </w:r>
          </w:p>
        </w:tc>
      </w:tr>
      <w:tr w:rsidR="000201AE" w:rsidRPr="000201AE" w14:paraId="44B14075" w14:textId="77777777" w:rsidTr="003072B4">
        <w:trPr>
          <w:trHeight w:val="20"/>
        </w:trPr>
        <w:tc>
          <w:tcPr>
            <w:tcW w:w="3191" w:type="pct"/>
            <w:tcBorders>
              <w:top w:val="nil"/>
              <w:left w:val="nil"/>
              <w:bottom w:val="nil"/>
              <w:right w:val="nil"/>
            </w:tcBorders>
            <w:shd w:val="clear" w:color="auto" w:fill="auto"/>
            <w:noWrap/>
            <w:vAlign w:val="bottom"/>
            <w:hideMark/>
          </w:tcPr>
          <w:p w14:paraId="44C3783E" w14:textId="77777777" w:rsidR="000201AE" w:rsidRPr="000201AE" w:rsidRDefault="000201AE" w:rsidP="000201AE">
            <w:pPr>
              <w:spacing w:after="0" w:line="240" w:lineRule="auto"/>
              <w:jc w:val="center"/>
              <w:rPr>
                <w:rFonts w:ascii="Verdana" w:eastAsia="Times New Roman" w:hAnsi="Verdana" w:cs="Calibri"/>
                <w:b/>
                <w:bCs/>
                <w:color w:val="000000"/>
                <w:sz w:val="18"/>
                <w:szCs w:val="18"/>
                <w:lang w:eastAsia="pt-BR"/>
              </w:rPr>
            </w:pPr>
          </w:p>
        </w:tc>
        <w:tc>
          <w:tcPr>
            <w:tcW w:w="874" w:type="pct"/>
            <w:tcBorders>
              <w:top w:val="nil"/>
              <w:left w:val="nil"/>
              <w:bottom w:val="single" w:sz="4" w:space="0" w:color="000000"/>
              <w:right w:val="nil"/>
            </w:tcBorders>
            <w:shd w:val="clear" w:color="auto" w:fill="auto"/>
            <w:noWrap/>
            <w:vAlign w:val="center"/>
            <w:hideMark/>
          </w:tcPr>
          <w:p w14:paraId="19E8CDC0" w14:textId="77777777" w:rsidR="000201AE" w:rsidRPr="000201AE" w:rsidRDefault="000201AE" w:rsidP="000201AE">
            <w:pPr>
              <w:spacing w:after="0" w:line="240" w:lineRule="auto"/>
              <w:jc w:val="right"/>
              <w:rPr>
                <w:rFonts w:ascii="Verdana" w:eastAsia="Times New Roman" w:hAnsi="Verdana" w:cs="Calibri"/>
                <w:b/>
                <w:bCs/>
                <w:color w:val="000000"/>
                <w:sz w:val="18"/>
                <w:szCs w:val="18"/>
                <w:lang w:eastAsia="pt-BR"/>
              </w:rPr>
            </w:pPr>
            <w:r w:rsidRPr="000201AE">
              <w:rPr>
                <w:rFonts w:ascii="Verdana" w:eastAsia="Times New Roman" w:hAnsi="Verdana" w:cs="Calibri"/>
                <w:b/>
                <w:bCs/>
                <w:color w:val="000000"/>
                <w:sz w:val="18"/>
                <w:szCs w:val="18"/>
                <w:lang w:eastAsia="pt-BR"/>
              </w:rPr>
              <w:t>30/06/2022</w:t>
            </w:r>
          </w:p>
        </w:tc>
        <w:tc>
          <w:tcPr>
            <w:tcW w:w="73" w:type="pct"/>
            <w:tcBorders>
              <w:top w:val="nil"/>
              <w:left w:val="nil"/>
              <w:bottom w:val="nil"/>
              <w:right w:val="nil"/>
            </w:tcBorders>
            <w:shd w:val="clear" w:color="auto" w:fill="auto"/>
            <w:noWrap/>
            <w:vAlign w:val="center"/>
            <w:hideMark/>
          </w:tcPr>
          <w:p w14:paraId="1329EF75" w14:textId="77777777" w:rsidR="000201AE" w:rsidRPr="000201AE" w:rsidRDefault="000201AE" w:rsidP="000201AE">
            <w:pPr>
              <w:spacing w:after="0" w:line="240" w:lineRule="auto"/>
              <w:jc w:val="right"/>
              <w:rPr>
                <w:rFonts w:ascii="Verdana" w:eastAsia="Times New Roman" w:hAnsi="Verdana" w:cs="Calibri"/>
                <w:b/>
                <w:bCs/>
                <w:color w:val="000000"/>
                <w:sz w:val="18"/>
                <w:szCs w:val="18"/>
                <w:lang w:eastAsia="pt-BR"/>
              </w:rPr>
            </w:pPr>
          </w:p>
        </w:tc>
        <w:tc>
          <w:tcPr>
            <w:tcW w:w="862" w:type="pct"/>
            <w:tcBorders>
              <w:top w:val="nil"/>
              <w:left w:val="nil"/>
              <w:bottom w:val="single" w:sz="4" w:space="0" w:color="000000"/>
              <w:right w:val="nil"/>
            </w:tcBorders>
            <w:shd w:val="clear" w:color="auto" w:fill="auto"/>
            <w:noWrap/>
            <w:vAlign w:val="center"/>
            <w:hideMark/>
          </w:tcPr>
          <w:p w14:paraId="4AD41187" w14:textId="77777777" w:rsidR="000201AE" w:rsidRPr="000201AE" w:rsidRDefault="000201AE" w:rsidP="000201AE">
            <w:pPr>
              <w:spacing w:after="0" w:line="240" w:lineRule="auto"/>
              <w:jc w:val="right"/>
              <w:rPr>
                <w:rFonts w:ascii="Verdana" w:eastAsia="Times New Roman" w:hAnsi="Verdana" w:cs="Calibri"/>
                <w:b/>
                <w:bCs/>
                <w:color w:val="000000"/>
                <w:sz w:val="18"/>
                <w:szCs w:val="18"/>
                <w:lang w:eastAsia="pt-BR"/>
              </w:rPr>
            </w:pPr>
            <w:r w:rsidRPr="000201AE">
              <w:rPr>
                <w:rFonts w:ascii="Verdana" w:eastAsia="Times New Roman" w:hAnsi="Verdana" w:cs="Calibri"/>
                <w:b/>
                <w:bCs/>
                <w:color w:val="000000"/>
                <w:sz w:val="18"/>
                <w:szCs w:val="18"/>
                <w:lang w:eastAsia="pt-BR"/>
              </w:rPr>
              <w:t>30/06/2022</w:t>
            </w:r>
          </w:p>
        </w:tc>
      </w:tr>
      <w:tr w:rsidR="000201AE" w:rsidRPr="000201AE" w14:paraId="6BDCF402" w14:textId="77777777" w:rsidTr="003072B4">
        <w:trPr>
          <w:trHeight w:val="20"/>
        </w:trPr>
        <w:tc>
          <w:tcPr>
            <w:tcW w:w="3191" w:type="pct"/>
            <w:tcBorders>
              <w:top w:val="nil"/>
              <w:left w:val="nil"/>
              <w:bottom w:val="nil"/>
              <w:right w:val="nil"/>
            </w:tcBorders>
            <w:shd w:val="clear" w:color="auto" w:fill="auto"/>
            <w:noWrap/>
            <w:vAlign w:val="bottom"/>
            <w:hideMark/>
          </w:tcPr>
          <w:p w14:paraId="5F02AF3B" w14:textId="77777777" w:rsidR="000201AE" w:rsidRPr="000201AE" w:rsidRDefault="000201AE" w:rsidP="000201AE">
            <w:pPr>
              <w:spacing w:after="0" w:line="240" w:lineRule="auto"/>
              <w:jc w:val="right"/>
              <w:rPr>
                <w:rFonts w:ascii="Verdana" w:eastAsia="Times New Roman" w:hAnsi="Verdana" w:cs="Calibri"/>
                <w:b/>
                <w:bCs/>
                <w:color w:val="000000"/>
                <w:sz w:val="18"/>
                <w:szCs w:val="18"/>
                <w:lang w:eastAsia="pt-BR"/>
              </w:rPr>
            </w:pPr>
          </w:p>
        </w:tc>
        <w:tc>
          <w:tcPr>
            <w:tcW w:w="874" w:type="pct"/>
            <w:tcBorders>
              <w:top w:val="nil"/>
              <w:left w:val="nil"/>
              <w:bottom w:val="nil"/>
              <w:right w:val="nil"/>
            </w:tcBorders>
            <w:shd w:val="clear" w:color="auto" w:fill="auto"/>
            <w:noWrap/>
            <w:vAlign w:val="bottom"/>
            <w:hideMark/>
          </w:tcPr>
          <w:p w14:paraId="05094567" w14:textId="77777777" w:rsidR="000201AE" w:rsidRPr="000201AE" w:rsidRDefault="000201AE" w:rsidP="000201AE">
            <w:pPr>
              <w:spacing w:after="0" w:line="240" w:lineRule="auto"/>
              <w:rPr>
                <w:rFonts w:ascii="Times New Roman" w:eastAsia="Times New Roman" w:hAnsi="Times New Roman" w:cs="Times New Roman"/>
                <w:sz w:val="20"/>
                <w:szCs w:val="20"/>
                <w:lang w:eastAsia="pt-BR"/>
              </w:rPr>
            </w:pPr>
          </w:p>
        </w:tc>
        <w:tc>
          <w:tcPr>
            <w:tcW w:w="73" w:type="pct"/>
            <w:tcBorders>
              <w:top w:val="nil"/>
              <w:left w:val="nil"/>
              <w:bottom w:val="nil"/>
              <w:right w:val="nil"/>
            </w:tcBorders>
            <w:shd w:val="clear" w:color="auto" w:fill="auto"/>
            <w:noWrap/>
            <w:vAlign w:val="bottom"/>
            <w:hideMark/>
          </w:tcPr>
          <w:p w14:paraId="4FB82129" w14:textId="77777777" w:rsidR="000201AE" w:rsidRPr="000201AE" w:rsidRDefault="000201AE" w:rsidP="000201AE">
            <w:pPr>
              <w:spacing w:after="0" w:line="240" w:lineRule="auto"/>
              <w:rPr>
                <w:rFonts w:ascii="Times New Roman" w:eastAsia="Times New Roman" w:hAnsi="Times New Roman" w:cs="Times New Roman"/>
                <w:sz w:val="20"/>
                <w:szCs w:val="20"/>
                <w:lang w:eastAsia="pt-BR"/>
              </w:rPr>
            </w:pPr>
          </w:p>
        </w:tc>
        <w:tc>
          <w:tcPr>
            <w:tcW w:w="862" w:type="pct"/>
            <w:tcBorders>
              <w:top w:val="nil"/>
              <w:left w:val="nil"/>
              <w:bottom w:val="nil"/>
              <w:right w:val="nil"/>
            </w:tcBorders>
            <w:shd w:val="clear" w:color="auto" w:fill="auto"/>
            <w:noWrap/>
            <w:vAlign w:val="bottom"/>
            <w:hideMark/>
          </w:tcPr>
          <w:p w14:paraId="65DD0A31" w14:textId="77777777" w:rsidR="000201AE" w:rsidRPr="000201AE" w:rsidRDefault="000201AE" w:rsidP="000201AE">
            <w:pPr>
              <w:spacing w:after="0" w:line="240" w:lineRule="auto"/>
              <w:rPr>
                <w:rFonts w:ascii="Times New Roman" w:eastAsia="Times New Roman" w:hAnsi="Times New Roman" w:cs="Times New Roman"/>
                <w:sz w:val="20"/>
                <w:szCs w:val="20"/>
                <w:lang w:eastAsia="pt-BR"/>
              </w:rPr>
            </w:pPr>
          </w:p>
        </w:tc>
      </w:tr>
      <w:tr w:rsidR="000201AE" w:rsidRPr="000201AE" w14:paraId="14D9DBD3" w14:textId="77777777" w:rsidTr="003072B4">
        <w:trPr>
          <w:trHeight w:val="20"/>
        </w:trPr>
        <w:tc>
          <w:tcPr>
            <w:tcW w:w="3191" w:type="pct"/>
            <w:tcBorders>
              <w:top w:val="nil"/>
              <w:left w:val="nil"/>
              <w:bottom w:val="nil"/>
              <w:right w:val="nil"/>
            </w:tcBorders>
            <w:shd w:val="clear" w:color="auto" w:fill="auto"/>
            <w:vAlign w:val="bottom"/>
            <w:hideMark/>
          </w:tcPr>
          <w:p w14:paraId="1689D462" w14:textId="77777777" w:rsidR="000201AE" w:rsidRPr="000201AE" w:rsidRDefault="000201AE" w:rsidP="000201AE">
            <w:pPr>
              <w:spacing w:after="0" w:line="240" w:lineRule="auto"/>
              <w:rPr>
                <w:rFonts w:ascii="Verdana" w:eastAsia="Times New Roman" w:hAnsi="Verdana" w:cs="Calibri"/>
                <w:b/>
                <w:bCs/>
                <w:sz w:val="18"/>
                <w:szCs w:val="18"/>
                <w:lang w:eastAsia="pt-BR"/>
              </w:rPr>
            </w:pPr>
            <w:r w:rsidRPr="000201AE">
              <w:rPr>
                <w:rFonts w:ascii="Verdana" w:eastAsia="Times New Roman" w:hAnsi="Verdana" w:cs="Calibri"/>
                <w:b/>
                <w:bCs/>
                <w:sz w:val="18"/>
                <w:szCs w:val="18"/>
                <w:lang w:eastAsia="pt-BR"/>
              </w:rPr>
              <w:t>Resultado antes do imposto de renda e da contribuição social</w:t>
            </w:r>
          </w:p>
        </w:tc>
        <w:tc>
          <w:tcPr>
            <w:tcW w:w="874" w:type="pct"/>
            <w:tcBorders>
              <w:top w:val="nil"/>
              <w:left w:val="nil"/>
              <w:bottom w:val="nil"/>
              <w:right w:val="nil"/>
            </w:tcBorders>
            <w:shd w:val="clear" w:color="auto" w:fill="auto"/>
            <w:noWrap/>
            <w:vAlign w:val="bottom"/>
            <w:hideMark/>
          </w:tcPr>
          <w:p w14:paraId="40A57D8E" w14:textId="081B55DD" w:rsidR="000201AE" w:rsidRPr="000201AE" w:rsidRDefault="000201AE" w:rsidP="000201AE">
            <w:pPr>
              <w:spacing w:after="0" w:line="240" w:lineRule="auto"/>
              <w:ind w:firstLineChars="200" w:firstLine="361"/>
              <w:jc w:val="right"/>
              <w:rPr>
                <w:rFonts w:ascii="Verdana" w:eastAsia="Times New Roman" w:hAnsi="Verdana" w:cs="Calibri"/>
                <w:b/>
                <w:bCs/>
                <w:sz w:val="18"/>
                <w:szCs w:val="18"/>
                <w:lang w:eastAsia="pt-BR"/>
              </w:rPr>
            </w:pPr>
            <w:r w:rsidRPr="000201AE">
              <w:rPr>
                <w:rFonts w:ascii="Verdana" w:eastAsia="Times New Roman" w:hAnsi="Verdana" w:cs="Calibri"/>
                <w:b/>
                <w:bCs/>
                <w:sz w:val="18"/>
                <w:szCs w:val="18"/>
                <w:lang w:eastAsia="pt-BR"/>
              </w:rPr>
              <w:t>113.464</w:t>
            </w:r>
          </w:p>
        </w:tc>
        <w:tc>
          <w:tcPr>
            <w:tcW w:w="73" w:type="pct"/>
            <w:tcBorders>
              <w:top w:val="nil"/>
              <w:left w:val="nil"/>
              <w:bottom w:val="nil"/>
              <w:right w:val="nil"/>
            </w:tcBorders>
            <w:shd w:val="clear" w:color="auto" w:fill="auto"/>
            <w:noWrap/>
            <w:vAlign w:val="bottom"/>
            <w:hideMark/>
          </w:tcPr>
          <w:p w14:paraId="27CE9524" w14:textId="77777777" w:rsidR="000201AE" w:rsidRPr="000201AE" w:rsidRDefault="000201AE" w:rsidP="000201AE">
            <w:pPr>
              <w:spacing w:after="0" w:line="240" w:lineRule="auto"/>
              <w:ind w:firstLineChars="200" w:firstLine="361"/>
              <w:jc w:val="right"/>
              <w:rPr>
                <w:rFonts w:ascii="Verdana" w:eastAsia="Times New Roman" w:hAnsi="Verdana" w:cs="Calibri"/>
                <w:b/>
                <w:bCs/>
                <w:sz w:val="18"/>
                <w:szCs w:val="18"/>
                <w:lang w:eastAsia="pt-BR"/>
              </w:rPr>
            </w:pPr>
          </w:p>
        </w:tc>
        <w:tc>
          <w:tcPr>
            <w:tcW w:w="862" w:type="pct"/>
            <w:tcBorders>
              <w:top w:val="nil"/>
              <w:left w:val="nil"/>
              <w:bottom w:val="nil"/>
              <w:right w:val="nil"/>
            </w:tcBorders>
            <w:shd w:val="clear" w:color="auto" w:fill="auto"/>
            <w:noWrap/>
            <w:vAlign w:val="bottom"/>
            <w:hideMark/>
          </w:tcPr>
          <w:p w14:paraId="3B3C56C7" w14:textId="04421210" w:rsidR="000201AE" w:rsidRPr="000201AE" w:rsidRDefault="000201AE" w:rsidP="000201AE">
            <w:pPr>
              <w:spacing w:after="0" w:line="240" w:lineRule="auto"/>
              <w:ind w:firstLineChars="200" w:firstLine="361"/>
              <w:jc w:val="right"/>
              <w:rPr>
                <w:rFonts w:ascii="Verdana" w:eastAsia="Times New Roman" w:hAnsi="Verdana" w:cs="Calibri"/>
                <w:b/>
                <w:bCs/>
                <w:sz w:val="18"/>
                <w:szCs w:val="18"/>
                <w:lang w:eastAsia="pt-BR"/>
              </w:rPr>
            </w:pPr>
            <w:r w:rsidRPr="000201AE">
              <w:rPr>
                <w:rFonts w:ascii="Verdana" w:eastAsia="Times New Roman" w:hAnsi="Verdana" w:cs="Calibri"/>
                <w:b/>
                <w:bCs/>
                <w:sz w:val="18"/>
                <w:szCs w:val="18"/>
                <w:lang w:eastAsia="pt-BR"/>
              </w:rPr>
              <w:t>114.599</w:t>
            </w:r>
          </w:p>
        </w:tc>
      </w:tr>
      <w:tr w:rsidR="000201AE" w:rsidRPr="000201AE" w14:paraId="73DAC359" w14:textId="77777777" w:rsidTr="003072B4">
        <w:trPr>
          <w:trHeight w:val="20"/>
        </w:trPr>
        <w:tc>
          <w:tcPr>
            <w:tcW w:w="3191" w:type="pct"/>
            <w:tcBorders>
              <w:top w:val="nil"/>
              <w:left w:val="nil"/>
              <w:bottom w:val="nil"/>
              <w:right w:val="nil"/>
            </w:tcBorders>
            <w:shd w:val="clear" w:color="auto" w:fill="auto"/>
            <w:noWrap/>
            <w:vAlign w:val="bottom"/>
            <w:hideMark/>
          </w:tcPr>
          <w:p w14:paraId="04D2E4BB" w14:textId="77777777" w:rsidR="000201AE" w:rsidRPr="000201AE" w:rsidRDefault="000201AE" w:rsidP="000201AE">
            <w:pPr>
              <w:spacing w:after="0" w:line="240" w:lineRule="auto"/>
              <w:ind w:firstLineChars="200" w:firstLine="361"/>
              <w:rPr>
                <w:rFonts w:ascii="Verdana" w:eastAsia="Times New Roman" w:hAnsi="Verdana" w:cs="Calibri"/>
                <w:b/>
                <w:bCs/>
                <w:sz w:val="18"/>
                <w:szCs w:val="18"/>
                <w:lang w:eastAsia="pt-BR"/>
              </w:rPr>
            </w:pPr>
          </w:p>
        </w:tc>
        <w:tc>
          <w:tcPr>
            <w:tcW w:w="874" w:type="pct"/>
            <w:tcBorders>
              <w:top w:val="nil"/>
              <w:left w:val="nil"/>
              <w:bottom w:val="nil"/>
              <w:right w:val="nil"/>
            </w:tcBorders>
            <w:shd w:val="clear" w:color="auto" w:fill="auto"/>
            <w:noWrap/>
            <w:vAlign w:val="bottom"/>
            <w:hideMark/>
          </w:tcPr>
          <w:p w14:paraId="299D7A74" w14:textId="77777777" w:rsidR="000201AE" w:rsidRPr="000201AE" w:rsidRDefault="000201AE" w:rsidP="000201AE">
            <w:pPr>
              <w:spacing w:after="0" w:line="240" w:lineRule="auto"/>
              <w:jc w:val="right"/>
              <w:rPr>
                <w:rFonts w:ascii="Times New Roman" w:eastAsia="Times New Roman" w:hAnsi="Times New Roman" w:cs="Times New Roman"/>
                <w:sz w:val="20"/>
                <w:szCs w:val="20"/>
                <w:lang w:eastAsia="pt-BR"/>
              </w:rPr>
            </w:pPr>
          </w:p>
        </w:tc>
        <w:tc>
          <w:tcPr>
            <w:tcW w:w="73" w:type="pct"/>
            <w:tcBorders>
              <w:top w:val="nil"/>
              <w:left w:val="nil"/>
              <w:bottom w:val="nil"/>
              <w:right w:val="nil"/>
            </w:tcBorders>
            <w:shd w:val="clear" w:color="auto" w:fill="auto"/>
            <w:noWrap/>
            <w:vAlign w:val="bottom"/>
            <w:hideMark/>
          </w:tcPr>
          <w:p w14:paraId="196F878A" w14:textId="77777777" w:rsidR="000201AE" w:rsidRPr="000201AE" w:rsidRDefault="000201AE" w:rsidP="000201AE">
            <w:pPr>
              <w:spacing w:after="0" w:line="240" w:lineRule="auto"/>
              <w:jc w:val="right"/>
              <w:rPr>
                <w:rFonts w:ascii="Times New Roman" w:eastAsia="Times New Roman" w:hAnsi="Times New Roman" w:cs="Times New Roman"/>
                <w:sz w:val="20"/>
                <w:szCs w:val="20"/>
                <w:lang w:eastAsia="pt-BR"/>
              </w:rPr>
            </w:pPr>
          </w:p>
        </w:tc>
        <w:tc>
          <w:tcPr>
            <w:tcW w:w="862" w:type="pct"/>
            <w:tcBorders>
              <w:top w:val="nil"/>
              <w:left w:val="nil"/>
              <w:bottom w:val="nil"/>
              <w:right w:val="nil"/>
            </w:tcBorders>
            <w:shd w:val="clear" w:color="auto" w:fill="auto"/>
            <w:noWrap/>
            <w:vAlign w:val="bottom"/>
            <w:hideMark/>
          </w:tcPr>
          <w:p w14:paraId="66AF72FA" w14:textId="77777777" w:rsidR="000201AE" w:rsidRPr="000201AE" w:rsidRDefault="000201AE" w:rsidP="000201AE">
            <w:pPr>
              <w:spacing w:after="0" w:line="240" w:lineRule="auto"/>
              <w:jc w:val="right"/>
              <w:rPr>
                <w:rFonts w:ascii="Times New Roman" w:eastAsia="Times New Roman" w:hAnsi="Times New Roman" w:cs="Times New Roman"/>
                <w:sz w:val="20"/>
                <w:szCs w:val="20"/>
                <w:lang w:eastAsia="pt-BR"/>
              </w:rPr>
            </w:pPr>
          </w:p>
        </w:tc>
      </w:tr>
      <w:tr w:rsidR="000201AE" w:rsidRPr="000201AE" w14:paraId="576ADF42" w14:textId="77777777" w:rsidTr="003072B4">
        <w:trPr>
          <w:trHeight w:val="20"/>
        </w:trPr>
        <w:tc>
          <w:tcPr>
            <w:tcW w:w="3191" w:type="pct"/>
            <w:tcBorders>
              <w:top w:val="nil"/>
              <w:left w:val="nil"/>
              <w:bottom w:val="nil"/>
              <w:right w:val="nil"/>
            </w:tcBorders>
            <w:shd w:val="clear" w:color="auto" w:fill="auto"/>
            <w:noWrap/>
            <w:vAlign w:val="bottom"/>
          </w:tcPr>
          <w:p w14:paraId="2D831B42" w14:textId="77777777" w:rsidR="000201AE" w:rsidRPr="000201AE" w:rsidRDefault="000201AE" w:rsidP="000201AE">
            <w:pPr>
              <w:spacing w:after="0" w:line="240" w:lineRule="auto"/>
              <w:ind w:firstLineChars="200" w:firstLine="201"/>
              <w:rPr>
                <w:rFonts w:ascii="Verdana" w:eastAsia="Times New Roman" w:hAnsi="Verdana" w:cs="Calibri"/>
                <w:b/>
                <w:bCs/>
                <w:sz w:val="10"/>
                <w:szCs w:val="10"/>
                <w:lang w:eastAsia="pt-BR"/>
              </w:rPr>
            </w:pPr>
          </w:p>
        </w:tc>
        <w:tc>
          <w:tcPr>
            <w:tcW w:w="874" w:type="pct"/>
            <w:tcBorders>
              <w:top w:val="nil"/>
              <w:left w:val="nil"/>
              <w:bottom w:val="nil"/>
              <w:right w:val="nil"/>
            </w:tcBorders>
            <w:shd w:val="clear" w:color="auto" w:fill="auto"/>
            <w:noWrap/>
            <w:vAlign w:val="bottom"/>
          </w:tcPr>
          <w:p w14:paraId="19B97F55" w14:textId="77777777" w:rsidR="000201AE" w:rsidRPr="000201AE" w:rsidRDefault="000201AE" w:rsidP="000201AE">
            <w:pPr>
              <w:spacing w:after="0" w:line="240" w:lineRule="auto"/>
              <w:jc w:val="right"/>
              <w:rPr>
                <w:rFonts w:ascii="Times New Roman" w:eastAsia="Times New Roman" w:hAnsi="Times New Roman" w:cs="Times New Roman"/>
                <w:sz w:val="10"/>
                <w:szCs w:val="10"/>
                <w:lang w:eastAsia="pt-BR"/>
              </w:rPr>
            </w:pPr>
          </w:p>
        </w:tc>
        <w:tc>
          <w:tcPr>
            <w:tcW w:w="73" w:type="pct"/>
            <w:tcBorders>
              <w:top w:val="nil"/>
              <w:left w:val="nil"/>
              <w:bottom w:val="nil"/>
              <w:right w:val="nil"/>
            </w:tcBorders>
            <w:shd w:val="clear" w:color="auto" w:fill="auto"/>
            <w:noWrap/>
            <w:vAlign w:val="bottom"/>
          </w:tcPr>
          <w:p w14:paraId="7C5696DF" w14:textId="77777777" w:rsidR="000201AE" w:rsidRPr="000201AE" w:rsidRDefault="000201AE" w:rsidP="000201AE">
            <w:pPr>
              <w:spacing w:after="0" w:line="240" w:lineRule="auto"/>
              <w:jc w:val="right"/>
              <w:rPr>
                <w:rFonts w:ascii="Times New Roman" w:eastAsia="Times New Roman" w:hAnsi="Times New Roman" w:cs="Times New Roman"/>
                <w:sz w:val="10"/>
                <w:szCs w:val="10"/>
                <w:lang w:eastAsia="pt-BR"/>
              </w:rPr>
            </w:pPr>
          </w:p>
        </w:tc>
        <w:tc>
          <w:tcPr>
            <w:tcW w:w="862" w:type="pct"/>
            <w:tcBorders>
              <w:top w:val="nil"/>
              <w:left w:val="nil"/>
              <w:bottom w:val="nil"/>
              <w:right w:val="nil"/>
            </w:tcBorders>
            <w:shd w:val="clear" w:color="auto" w:fill="auto"/>
            <w:noWrap/>
            <w:vAlign w:val="bottom"/>
          </w:tcPr>
          <w:p w14:paraId="20E6F5A8" w14:textId="77777777" w:rsidR="000201AE" w:rsidRPr="000201AE" w:rsidRDefault="000201AE" w:rsidP="000201AE">
            <w:pPr>
              <w:spacing w:after="0" w:line="240" w:lineRule="auto"/>
              <w:jc w:val="right"/>
              <w:rPr>
                <w:rFonts w:ascii="Times New Roman" w:eastAsia="Times New Roman" w:hAnsi="Times New Roman" w:cs="Times New Roman"/>
                <w:sz w:val="10"/>
                <w:szCs w:val="10"/>
                <w:lang w:eastAsia="pt-BR"/>
              </w:rPr>
            </w:pPr>
          </w:p>
        </w:tc>
      </w:tr>
      <w:tr w:rsidR="000201AE" w:rsidRPr="000201AE" w14:paraId="5CBBD103" w14:textId="77777777" w:rsidTr="003072B4">
        <w:trPr>
          <w:trHeight w:val="20"/>
        </w:trPr>
        <w:tc>
          <w:tcPr>
            <w:tcW w:w="3191" w:type="pct"/>
            <w:tcBorders>
              <w:top w:val="nil"/>
              <w:left w:val="nil"/>
              <w:bottom w:val="nil"/>
              <w:right w:val="nil"/>
            </w:tcBorders>
            <w:shd w:val="clear" w:color="auto" w:fill="auto"/>
            <w:vAlign w:val="bottom"/>
            <w:hideMark/>
          </w:tcPr>
          <w:p w14:paraId="2A852811" w14:textId="77777777" w:rsidR="000201AE" w:rsidRPr="000201AE" w:rsidRDefault="000201AE" w:rsidP="000201AE">
            <w:pPr>
              <w:spacing w:after="0" w:line="240" w:lineRule="auto"/>
              <w:ind w:firstLineChars="100" w:firstLine="181"/>
              <w:rPr>
                <w:rFonts w:ascii="Verdana" w:eastAsia="Times New Roman" w:hAnsi="Verdana" w:cs="Calibri"/>
                <w:b/>
                <w:bCs/>
                <w:sz w:val="18"/>
                <w:szCs w:val="18"/>
                <w:u w:val="single"/>
                <w:lang w:eastAsia="pt-BR"/>
              </w:rPr>
            </w:pPr>
            <w:r w:rsidRPr="000201AE">
              <w:rPr>
                <w:rFonts w:ascii="Verdana" w:eastAsia="Times New Roman" w:hAnsi="Verdana" w:cs="Calibri"/>
                <w:b/>
                <w:bCs/>
                <w:sz w:val="18"/>
                <w:szCs w:val="18"/>
                <w:u w:val="single"/>
                <w:lang w:eastAsia="pt-BR"/>
              </w:rPr>
              <w:t>Ajustes para reconciliar o lucro com o caixa gerado pelas operações:</w:t>
            </w:r>
          </w:p>
        </w:tc>
        <w:tc>
          <w:tcPr>
            <w:tcW w:w="874" w:type="pct"/>
            <w:tcBorders>
              <w:top w:val="nil"/>
              <w:left w:val="nil"/>
              <w:bottom w:val="nil"/>
              <w:right w:val="nil"/>
            </w:tcBorders>
            <w:shd w:val="clear" w:color="auto" w:fill="auto"/>
            <w:vAlign w:val="bottom"/>
            <w:hideMark/>
          </w:tcPr>
          <w:p w14:paraId="515EDC08" w14:textId="77777777" w:rsidR="000201AE" w:rsidRPr="000201AE" w:rsidRDefault="000201AE" w:rsidP="000201AE">
            <w:pPr>
              <w:spacing w:after="0" w:line="240" w:lineRule="auto"/>
              <w:ind w:firstLineChars="100" w:firstLine="181"/>
              <w:jc w:val="right"/>
              <w:rPr>
                <w:rFonts w:ascii="Verdana" w:eastAsia="Times New Roman" w:hAnsi="Verdana" w:cs="Calibri"/>
                <w:b/>
                <w:bCs/>
                <w:sz w:val="18"/>
                <w:szCs w:val="18"/>
                <w:u w:val="single"/>
                <w:lang w:eastAsia="pt-BR"/>
              </w:rPr>
            </w:pPr>
          </w:p>
        </w:tc>
        <w:tc>
          <w:tcPr>
            <w:tcW w:w="73" w:type="pct"/>
            <w:tcBorders>
              <w:top w:val="nil"/>
              <w:left w:val="nil"/>
              <w:bottom w:val="nil"/>
              <w:right w:val="nil"/>
            </w:tcBorders>
            <w:shd w:val="clear" w:color="auto" w:fill="auto"/>
            <w:noWrap/>
            <w:vAlign w:val="bottom"/>
            <w:hideMark/>
          </w:tcPr>
          <w:p w14:paraId="3F2C002A" w14:textId="77777777" w:rsidR="000201AE" w:rsidRPr="000201AE" w:rsidRDefault="000201AE" w:rsidP="000201AE">
            <w:pPr>
              <w:spacing w:after="0" w:line="240" w:lineRule="auto"/>
              <w:ind w:firstLineChars="100" w:firstLine="200"/>
              <w:jc w:val="right"/>
              <w:rPr>
                <w:rFonts w:ascii="Times New Roman" w:eastAsia="Times New Roman" w:hAnsi="Times New Roman" w:cs="Times New Roman"/>
                <w:sz w:val="20"/>
                <w:szCs w:val="20"/>
                <w:lang w:eastAsia="pt-BR"/>
              </w:rPr>
            </w:pPr>
          </w:p>
        </w:tc>
        <w:tc>
          <w:tcPr>
            <w:tcW w:w="862" w:type="pct"/>
            <w:tcBorders>
              <w:top w:val="nil"/>
              <w:left w:val="nil"/>
              <w:bottom w:val="nil"/>
              <w:right w:val="nil"/>
            </w:tcBorders>
            <w:shd w:val="clear" w:color="auto" w:fill="auto"/>
            <w:vAlign w:val="bottom"/>
            <w:hideMark/>
          </w:tcPr>
          <w:p w14:paraId="160F1C42" w14:textId="77777777" w:rsidR="000201AE" w:rsidRPr="000201AE" w:rsidRDefault="000201AE" w:rsidP="000201AE">
            <w:pPr>
              <w:spacing w:after="0" w:line="240" w:lineRule="auto"/>
              <w:jc w:val="right"/>
              <w:rPr>
                <w:rFonts w:ascii="Times New Roman" w:eastAsia="Times New Roman" w:hAnsi="Times New Roman" w:cs="Times New Roman"/>
                <w:sz w:val="20"/>
                <w:szCs w:val="20"/>
                <w:lang w:eastAsia="pt-BR"/>
              </w:rPr>
            </w:pPr>
          </w:p>
        </w:tc>
      </w:tr>
      <w:tr w:rsidR="000201AE" w:rsidRPr="000201AE" w14:paraId="17DE6577" w14:textId="77777777" w:rsidTr="003072B4">
        <w:trPr>
          <w:trHeight w:val="20"/>
        </w:trPr>
        <w:tc>
          <w:tcPr>
            <w:tcW w:w="3191" w:type="pct"/>
            <w:tcBorders>
              <w:top w:val="nil"/>
              <w:left w:val="nil"/>
              <w:bottom w:val="nil"/>
              <w:right w:val="nil"/>
            </w:tcBorders>
            <w:shd w:val="clear" w:color="auto" w:fill="auto"/>
            <w:noWrap/>
            <w:vAlign w:val="bottom"/>
            <w:hideMark/>
          </w:tcPr>
          <w:p w14:paraId="2C4E5368" w14:textId="77777777" w:rsidR="000201AE" w:rsidRPr="000201AE" w:rsidRDefault="000201AE" w:rsidP="000201AE">
            <w:pPr>
              <w:spacing w:after="0" w:line="240" w:lineRule="auto"/>
              <w:ind w:firstLineChars="200" w:firstLine="360"/>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Depreciação</w:t>
            </w:r>
          </w:p>
        </w:tc>
        <w:tc>
          <w:tcPr>
            <w:tcW w:w="874" w:type="pct"/>
            <w:tcBorders>
              <w:top w:val="nil"/>
              <w:left w:val="nil"/>
              <w:bottom w:val="nil"/>
              <w:right w:val="nil"/>
            </w:tcBorders>
            <w:shd w:val="clear" w:color="auto" w:fill="auto"/>
            <w:noWrap/>
            <w:vAlign w:val="bottom"/>
            <w:hideMark/>
          </w:tcPr>
          <w:p w14:paraId="53E28529" w14:textId="1EE1511A"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w:t>
            </w:r>
          </w:p>
        </w:tc>
        <w:tc>
          <w:tcPr>
            <w:tcW w:w="73" w:type="pct"/>
            <w:tcBorders>
              <w:top w:val="nil"/>
              <w:left w:val="nil"/>
              <w:bottom w:val="nil"/>
              <w:right w:val="nil"/>
            </w:tcBorders>
            <w:shd w:val="clear" w:color="auto" w:fill="auto"/>
            <w:noWrap/>
            <w:vAlign w:val="bottom"/>
            <w:hideMark/>
          </w:tcPr>
          <w:p w14:paraId="341B6191" w14:textId="77777777"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p>
        </w:tc>
        <w:tc>
          <w:tcPr>
            <w:tcW w:w="862" w:type="pct"/>
            <w:tcBorders>
              <w:top w:val="nil"/>
              <w:left w:val="nil"/>
              <w:bottom w:val="nil"/>
              <w:right w:val="nil"/>
            </w:tcBorders>
            <w:shd w:val="clear" w:color="auto" w:fill="auto"/>
            <w:noWrap/>
            <w:vAlign w:val="bottom"/>
            <w:hideMark/>
          </w:tcPr>
          <w:p w14:paraId="197AD231" w14:textId="2857941E"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47.223</w:t>
            </w:r>
          </w:p>
        </w:tc>
      </w:tr>
      <w:tr w:rsidR="000201AE" w:rsidRPr="000201AE" w14:paraId="505B7F87" w14:textId="77777777" w:rsidTr="003072B4">
        <w:trPr>
          <w:trHeight w:val="20"/>
        </w:trPr>
        <w:tc>
          <w:tcPr>
            <w:tcW w:w="3191" w:type="pct"/>
            <w:tcBorders>
              <w:top w:val="nil"/>
              <w:left w:val="nil"/>
              <w:bottom w:val="nil"/>
              <w:right w:val="nil"/>
            </w:tcBorders>
            <w:shd w:val="clear" w:color="auto" w:fill="auto"/>
            <w:noWrap/>
            <w:vAlign w:val="bottom"/>
            <w:hideMark/>
          </w:tcPr>
          <w:p w14:paraId="49E73A88" w14:textId="77777777" w:rsidR="000201AE" w:rsidRPr="000201AE" w:rsidRDefault="000201AE" w:rsidP="000201AE">
            <w:pPr>
              <w:spacing w:after="0" w:line="240" w:lineRule="auto"/>
              <w:ind w:firstLineChars="200" w:firstLine="360"/>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Amortização</w:t>
            </w:r>
          </w:p>
        </w:tc>
        <w:tc>
          <w:tcPr>
            <w:tcW w:w="874" w:type="pct"/>
            <w:tcBorders>
              <w:top w:val="nil"/>
              <w:left w:val="nil"/>
              <w:bottom w:val="nil"/>
              <w:right w:val="nil"/>
            </w:tcBorders>
            <w:shd w:val="clear" w:color="auto" w:fill="auto"/>
            <w:noWrap/>
            <w:vAlign w:val="bottom"/>
            <w:hideMark/>
          </w:tcPr>
          <w:p w14:paraId="46BD4501" w14:textId="0F66F995"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w:t>
            </w:r>
          </w:p>
        </w:tc>
        <w:tc>
          <w:tcPr>
            <w:tcW w:w="73" w:type="pct"/>
            <w:tcBorders>
              <w:top w:val="nil"/>
              <w:left w:val="nil"/>
              <w:bottom w:val="nil"/>
              <w:right w:val="nil"/>
            </w:tcBorders>
            <w:shd w:val="clear" w:color="auto" w:fill="auto"/>
            <w:noWrap/>
            <w:vAlign w:val="bottom"/>
            <w:hideMark/>
          </w:tcPr>
          <w:p w14:paraId="660D09C8" w14:textId="77777777"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p>
        </w:tc>
        <w:tc>
          <w:tcPr>
            <w:tcW w:w="862" w:type="pct"/>
            <w:tcBorders>
              <w:top w:val="nil"/>
              <w:left w:val="nil"/>
              <w:bottom w:val="nil"/>
              <w:right w:val="nil"/>
            </w:tcBorders>
            <w:shd w:val="clear" w:color="auto" w:fill="auto"/>
            <w:noWrap/>
            <w:vAlign w:val="bottom"/>
            <w:hideMark/>
          </w:tcPr>
          <w:p w14:paraId="1D3D365E" w14:textId="5CF32F7B"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722</w:t>
            </w:r>
          </w:p>
        </w:tc>
      </w:tr>
      <w:tr w:rsidR="000201AE" w:rsidRPr="000201AE" w14:paraId="2841C349" w14:textId="77777777" w:rsidTr="003072B4">
        <w:trPr>
          <w:trHeight w:val="20"/>
        </w:trPr>
        <w:tc>
          <w:tcPr>
            <w:tcW w:w="3191" w:type="pct"/>
            <w:tcBorders>
              <w:top w:val="nil"/>
              <w:left w:val="nil"/>
              <w:bottom w:val="nil"/>
              <w:right w:val="nil"/>
            </w:tcBorders>
            <w:shd w:val="clear" w:color="auto" w:fill="auto"/>
            <w:noWrap/>
            <w:vAlign w:val="bottom"/>
            <w:hideMark/>
          </w:tcPr>
          <w:p w14:paraId="61382D8A" w14:textId="77777777" w:rsidR="000201AE" w:rsidRPr="000201AE" w:rsidRDefault="000201AE" w:rsidP="000201AE">
            <w:pPr>
              <w:spacing w:after="0" w:line="240" w:lineRule="auto"/>
              <w:ind w:firstLineChars="200" w:firstLine="360"/>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Equivalência patrimonial</w:t>
            </w:r>
          </w:p>
        </w:tc>
        <w:tc>
          <w:tcPr>
            <w:tcW w:w="874" w:type="pct"/>
            <w:tcBorders>
              <w:top w:val="nil"/>
              <w:left w:val="nil"/>
              <w:bottom w:val="nil"/>
              <w:right w:val="nil"/>
            </w:tcBorders>
            <w:shd w:val="clear" w:color="auto" w:fill="auto"/>
            <w:noWrap/>
            <w:vAlign w:val="bottom"/>
            <w:hideMark/>
          </w:tcPr>
          <w:p w14:paraId="4337FC9F" w14:textId="2AA5B9F9"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7.757</w:t>
            </w:r>
          </w:p>
        </w:tc>
        <w:tc>
          <w:tcPr>
            <w:tcW w:w="73" w:type="pct"/>
            <w:tcBorders>
              <w:top w:val="nil"/>
              <w:left w:val="nil"/>
              <w:bottom w:val="nil"/>
              <w:right w:val="nil"/>
            </w:tcBorders>
            <w:shd w:val="clear" w:color="auto" w:fill="auto"/>
            <w:noWrap/>
            <w:vAlign w:val="bottom"/>
            <w:hideMark/>
          </w:tcPr>
          <w:p w14:paraId="55E33268" w14:textId="77777777"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p>
        </w:tc>
        <w:tc>
          <w:tcPr>
            <w:tcW w:w="862" w:type="pct"/>
            <w:tcBorders>
              <w:top w:val="nil"/>
              <w:left w:val="nil"/>
              <w:bottom w:val="nil"/>
              <w:right w:val="nil"/>
            </w:tcBorders>
            <w:shd w:val="clear" w:color="auto" w:fill="auto"/>
            <w:noWrap/>
            <w:vAlign w:val="bottom"/>
            <w:hideMark/>
          </w:tcPr>
          <w:p w14:paraId="0811A709" w14:textId="0960B355"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w:t>
            </w:r>
          </w:p>
        </w:tc>
      </w:tr>
      <w:tr w:rsidR="000201AE" w:rsidRPr="000201AE" w14:paraId="43BFFE50" w14:textId="77777777" w:rsidTr="003072B4">
        <w:trPr>
          <w:trHeight w:val="20"/>
        </w:trPr>
        <w:tc>
          <w:tcPr>
            <w:tcW w:w="3191" w:type="pct"/>
            <w:tcBorders>
              <w:top w:val="nil"/>
              <w:left w:val="nil"/>
              <w:bottom w:val="nil"/>
              <w:right w:val="nil"/>
            </w:tcBorders>
            <w:shd w:val="clear" w:color="auto" w:fill="auto"/>
            <w:noWrap/>
            <w:vAlign w:val="bottom"/>
            <w:hideMark/>
          </w:tcPr>
          <w:p w14:paraId="7DED9824" w14:textId="77777777" w:rsidR="000201AE" w:rsidRPr="000201AE" w:rsidRDefault="000201AE" w:rsidP="000201AE">
            <w:pPr>
              <w:spacing w:after="0" w:line="240" w:lineRule="auto"/>
              <w:ind w:firstLineChars="200" w:firstLine="360"/>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Variações cambiais e monetárias líquidas</w:t>
            </w:r>
          </w:p>
        </w:tc>
        <w:tc>
          <w:tcPr>
            <w:tcW w:w="874" w:type="pct"/>
            <w:tcBorders>
              <w:top w:val="nil"/>
              <w:left w:val="nil"/>
              <w:bottom w:val="nil"/>
              <w:right w:val="nil"/>
            </w:tcBorders>
            <w:shd w:val="clear" w:color="auto" w:fill="auto"/>
            <w:noWrap/>
            <w:vAlign w:val="bottom"/>
            <w:hideMark/>
          </w:tcPr>
          <w:p w14:paraId="1EF28801" w14:textId="6B274F66"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6.305</w:t>
            </w:r>
          </w:p>
        </w:tc>
        <w:tc>
          <w:tcPr>
            <w:tcW w:w="73" w:type="pct"/>
            <w:tcBorders>
              <w:top w:val="nil"/>
              <w:left w:val="nil"/>
              <w:bottom w:val="nil"/>
              <w:right w:val="nil"/>
            </w:tcBorders>
            <w:shd w:val="clear" w:color="auto" w:fill="auto"/>
            <w:noWrap/>
            <w:vAlign w:val="bottom"/>
            <w:hideMark/>
          </w:tcPr>
          <w:p w14:paraId="595849A1" w14:textId="77777777"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p>
        </w:tc>
        <w:tc>
          <w:tcPr>
            <w:tcW w:w="862" w:type="pct"/>
            <w:tcBorders>
              <w:top w:val="nil"/>
              <w:left w:val="nil"/>
              <w:bottom w:val="nil"/>
              <w:right w:val="nil"/>
            </w:tcBorders>
            <w:shd w:val="clear" w:color="auto" w:fill="auto"/>
            <w:noWrap/>
            <w:vAlign w:val="bottom"/>
            <w:hideMark/>
          </w:tcPr>
          <w:p w14:paraId="2B0D9954" w14:textId="3F6B40DD"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6.305</w:t>
            </w:r>
          </w:p>
        </w:tc>
      </w:tr>
      <w:tr w:rsidR="000201AE" w:rsidRPr="000201AE" w14:paraId="435D2D0C" w14:textId="77777777" w:rsidTr="003072B4">
        <w:trPr>
          <w:trHeight w:val="20"/>
        </w:trPr>
        <w:tc>
          <w:tcPr>
            <w:tcW w:w="3191" w:type="pct"/>
            <w:tcBorders>
              <w:top w:val="nil"/>
              <w:left w:val="nil"/>
              <w:bottom w:val="nil"/>
              <w:right w:val="nil"/>
            </w:tcBorders>
            <w:shd w:val="clear" w:color="auto" w:fill="auto"/>
            <w:noWrap/>
            <w:vAlign w:val="bottom"/>
            <w:hideMark/>
          </w:tcPr>
          <w:p w14:paraId="378C11E3" w14:textId="77777777" w:rsidR="000201AE" w:rsidRPr="000201AE" w:rsidRDefault="000201AE" w:rsidP="000201AE">
            <w:pPr>
              <w:spacing w:after="0" w:line="240" w:lineRule="auto"/>
              <w:ind w:firstLineChars="200" w:firstLine="360"/>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Encargos de dívida</w:t>
            </w:r>
          </w:p>
        </w:tc>
        <w:tc>
          <w:tcPr>
            <w:tcW w:w="874" w:type="pct"/>
            <w:tcBorders>
              <w:top w:val="nil"/>
              <w:left w:val="nil"/>
              <w:bottom w:val="nil"/>
              <w:right w:val="nil"/>
            </w:tcBorders>
            <w:shd w:val="clear" w:color="auto" w:fill="auto"/>
            <w:noWrap/>
            <w:vAlign w:val="bottom"/>
            <w:hideMark/>
          </w:tcPr>
          <w:p w14:paraId="13970E9B" w14:textId="0CB8A636"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w:t>
            </w:r>
          </w:p>
        </w:tc>
        <w:tc>
          <w:tcPr>
            <w:tcW w:w="73" w:type="pct"/>
            <w:tcBorders>
              <w:top w:val="nil"/>
              <w:left w:val="nil"/>
              <w:bottom w:val="nil"/>
              <w:right w:val="nil"/>
            </w:tcBorders>
            <w:shd w:val="clear" w:color="auto" w:fill="auto"/>
            <w:noWrap/>
            <w:vAlign w:val="bottom"/>
            <w:hideMark/>
          </w:tcPr>
          <w:p w14:paraId="2517FB52" w14:textId="77777777"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p>
        </w:tc>
        <w:tc>
          <w:tcPr>
            <w:tcW w:w="862" w:type="pct"/>
            <w:tcBorders>
              <w:top w:val="nil"/>
              <w:left w:val="nil"/>
              <w:bottom w:val="nil"/>
              <w:right w:val="nil"/>
            </w:tcBorders>
            <w:shd w:val="clear" w:color="auto" w:fill="auto"/>
            <w:noWrap/>
            <w:vAlign w:val="bottom"/>
            <w:hideMark/>
          </w:tcPr>
          <w:p w14:paraId="2411364F" w14:textId="016498BB"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43.171</w:t>
            </w:r>
          </w:p>
        </w:tc>
      </w:tr>
      <w:tr w:rsidR="000201AE" w:rsidRPr="000201AE" w14:paraId="41A82F95" w14:textId="77777777" w:rsidTr="003072B4">
        <w:trPr>
          <w:trHeight w:val="20"/>
        </w:trPr>
        <w:tc>
          <w:tcPr>
            <w:tcW w:w="3191" w:type="pct"/>
            <w:tcBorders>
              <w:top w:val="nil"/>
              <w:left w:val="nil"/>
              <w:bottom w:val="nil"/>
              <w:right w:val="nil"/>
            </w:tcBorders>
            <w:shd w:val="clear" w:color="auto" w:fill="auto"/>
            <w:noWrap/>
            <w:vAlign w:val="bottom"/>
            <w:hideMark/>
          </w:tcPr>
          <w:p w14:paraId="6895EF9C" w14:textId="77777777" w:rsidR="000201AE" w:rsidRPr="000201AE" w:rsidRDefault="000201AE" w:rsidP="000201AE">
            <w:pPr>
              <w:spacing w:after="0" w:line="240" w:lineRule="auto"/>
              <w:ind w:firstLineChars="200" w:firstLine="360"/>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Rendimentos do fundo para desmobilização de ativos</w:t>
            </w:r>
          </w:p>
        </w:tc>
        <w:tc>
          <w:tcPr>
            <w:tcW w:w="874" w:type="pct"/>
            <w:tcBorders>
              <w:top w:val="nil"/>
              <w:left w:val="nil"/>
              <w:bottom w:val="nil"/>
              <w:right w:val="nil"/>
            </w:tcBorders>
            <w:shd w:val="clear" w:color="auto" w:fill="auto"/>
            <w:noWrap/>
            <w:vAlign w:val="bottom"/>
            <w:hideMark/>
          </w:tcPr>
          <w:p w14:paraId="5B163419" w14:textId="7DDC0878"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w:t>
            </w:r>
          </w:p>
        </w:tc>
        <w:tc>
          <w:tcPr>
            <w:tcW w:w="73" w:type="pct"/>
            <w:tcBorders>
              <w:top w:val="nil"/>
              <w:left w:val="nil"/>
              <w:bottom w:val="nil"/>
              <w:right w:val="nil"/>
            </w:tcBorders>
            <w:shd w:val="clear" w:color="auto" w:fill="auto"/>
            <w:noWrap/>
            <w:vAlign w:val="bottom"/>
            <w:hideMark/>
          </w:tcPr>
          <w:p w14:paraId="7DD989A8" w14:textId="77777777"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p>
        </w:tc>
        <w:tc>
          <w:tcPr>
            <w:tcW w:w="862" w:type="pct"/>
            <w:tcBorders>
              <w:top w:val="nil"/>
              <w:left w:val="nil"/>
              <w:bottom w:val="nil"/>
              <w:right w:val="nil"/>
            </w:tcBorders>
            <w:shd w:val="clear" w:color="auto" w:fill="auto"/>
            <w:noWrap/>
            <w:vAlign w:val="bottom"/>
            <w:hideMark/>
          </w:tcPr>
          <w:p w14:paraId="1D82E56C" w14:textId="17267C76"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20.393</w:t>
            </w:r>
          </w:p>
        </w:tc>
      </w:tr>
      <w:tr w:rsidR="000201AE" w:rsidRPr="000201AE" w14:paraId="53065F87" w14:textId="77777777" w:rsidTr="003072B4">
        <w:trPr>
          <w:trHeight w:val="20"/>
        </w:trPr>
        <w:tc>
          <w:tcPr>
            <w:tcW w:w="3191" w:type="pct"/>
            <w:tcBorders>
              <w:top w:val="nil"/>
              <w:left w:val="nil"/>
              <w:bottom w:val="nil"/>
              <w:right w:val="nil"/>
            </w:tcBorders>
            <w:shd w:val="clear" w:color="auto" w:fill="auto"/>
            <w:noWrap/>
            <w:vAlign w:val="bottom"/>
            <w:hideMark/>
          </w:tcPr>
          <w:p w14:paraId="6C364EAD" w14:textId="77777777" w:rsidR="000201AE" w:rsidRPr="000201AE" w:rsidRDefault="000201AE" w:rsidP="000201AE">
            <w:pPr>
              <w:spacing w:after="0" w:line="240" w:lineRule="auto"/>
              <w:ind w:firstLineChars="200" w:firstLine="360"/>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Benefícios pós-emprego - provisão atuarial</w:t>
            </w:r>
          </w:p>
        </w:tc>
        <w:tc>
          <w:tcPr>
            <w:tcW w:w="874" w:type="pct"/>
            <w:tcBorders>
              <w:top w:val="nil"/>
              <w:left w:val="nil"/>
              <w:bottom w:val="nil"/>
              <w:right w:val="nil"/>
            </w:tcBorders>
            <w:shd w:val="clear" w:color="auto" w:fill="auto"/>
            <w:noWrap/>
            <w:vAlign w:val="bottom"/>
            <w:hideMark/>
          </w:tcPr>
          <w:p w14:paraId="7A754419" w14:textId="1B588735"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w:t>
            </w:r>
          </w:p>
        </w:tc>
        <w:tc>
          <w:tcPr>
            <w:tcW w:w="73" w:type="pct"/>
            <w:tcBorders>
              <w:top w:val="nil"/>
              <w:left w:val="nil"/>
              <w:bottom w:val="nil"/>
              <w:right w:val="nil"/>
            </w:tcBorders>
            <w:shd w:val="clear" w:color="auto" w:fill="auto"/>
            <w:noWrap/>
            <w:vAlign w:val="bottom"/>
            <w:hideMark/>
          </w:tcPr>
          <w:p w14:paraId="7FC259A8" w14:textId="77777777"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p>
        </w:tc>
        <w:tc>
          <w:tcPr>
            <w:tcW w:w="862" w:type="pct"/>
            <w:tcBorders>
              <w:top w:val="nil"/>
              <w:left w:val="nil"/>
              <w:bottom w:val="nil"/>
              <w:right w:val="nil"/>
            </w:tcBorders>
            <w:shd w:val="clear" w:color="auto" w:fill="auto"/>
            <w:noWrap/>
            <w:vAlign w:val="bottom"/>
            <w:hideMark/>
          </w:tcPr>
          <w:p w14:paraId="5DF6757F" w14:textId="68CB97A8"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26.418</w:t>
            </w:r>
          </w:p>
        </w:tc>
      </w:tr>
      <w:tr w:rsidR="000201AE" w:rsidRPr="000201AE" w14:paraId="288128C1" w14:textId="77777777" w:rsidTr="003072B4">
        <w:trPr>
          <w:trHeight w:val="20"/>
        </w:trPr>
        <w:tc>
          <w:tcPr>
            <w:tcW w:w="3191" w:type="pct"/>
            <w:tcBorders>
              <w:top w:val="nil"/>
              <w:left w:val="nil"/>
              <w:bottom w:val="nil"/>
              <w:right w:val="nil"/>
            </w:tcBorders>
            <w:shd w:val="clear" w:color="auto" w:fill="auto"/>
            <w:noWrap/>
            <w:vAlign w:val="bottom"/>
            <w:hideMark/>
          </w:tcPr>
          <w:p w14:paraId="368BA871" w14:textId="77777777" w:rsidR="000201AE" w:rsidRPr="000201AE" w:rsidRDefault="000201AE" w:rsidP="000201AE">
            <w:pPr>
              <w:spacing w:after="0" w:line="240" w:lineRule="auto"/>
              <w:ind w:firstLineChars="200" w:firstLine="360"/>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Provisão para plano de incentivo de desligamento</w:t>
            </w:r>
          </w:p>
        </w:tc>
        <w:tc>
          <w:tcPr>
            <w:tcW w:w="874" w:type="pct"/>
            <w:tcBorders>
              <w:top w:val="nil"/>
              <w:left w:val="nil"/>
              <w:bottom w:val="nil"/>
              <w:right w:val="nil"/>
            </w:tcBorders>
            <w:shd w:val="clear" w:color="auto" w:fill="auto"/>
            <w:noWrap/>
            <w:vAlign w:val="bottom"/>
            <w:hideMark/>
          </w:tcPr>
          <w:p w14:paraId="26C9CE32" w14:textId="281D27DF"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w:t>
            </w:r>
          </w:p>
        </w:tc>
        <w:tc>
          <w:tcPr>
            <w:tcW w:w="73" w:type="pct"/>
            <w:tcBorders>
              <w:top w:val="nil"/>
              <w:left w:val="nil"/>
              <w:bottom w:val="nil"/>
              <w:right w:val="nil"/>
            </w:tcBorders>
            <w:shd w:val="clear" w:color="auto" w:fill="auto"/>
            <w:noWrap/>
            <w:vAlign w:val="bottom"/>
            <w:hideMark/>
          </w:tcPr>
          <w:p w14:paraId="26F81128" w14:textId="77777777"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p>
        </w:tc>
        <w:tc>
          <w:tcPr>
            <w:tcW w:w="862" w:type="pct"/>
            <w:tcBorders>
              <w:top w:val="nil"/>
              <w:left w:val="nil"/>
              <w:bottom w:val="nil"/>
              <w:right w:val="nil"/>
            </w:tcBorders>
            <w:shd w:val="clear" w:color="auto" w:fill="auto"/>
            <w:noWrap/>
            <w:vAlign w:val="bottom"/>
            <w:hideMark/>
          </w:tcPr>
          <w:p w14:paraId="15B6FFD4" w14:textId="60CA89AC"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(759)</w:t>
            </w:r>
          </w:p>
        </w:tc>
      </w:tr>
      <w:tr w:rsidR="000201AE" w:rsidRPr="000201AE" w14:paraId="45F806E0" w14:textId="77777777" w:rsidTr="003072B4">
        <w:trPr>
          <w:trHeight w:val="20"/>
        </w:trPr>
        <w:tc>
          <w:tcPr>
            <w:tcW w:w="3191" w:type="pct"/>
            <w:tcBorders>
              <w:top w:val="nil"/>
              <w:left w:val="nil"/>
              <w:bottom w:val="nil"/>
              <w:right w:val="nil"/>
            </w:tcBorders>
            <w:shd w:val="clear" w:color="auto" w:fill="auto"/>
            <w:noWrap/>
            <w:vAlign w:val="bottom"/>
            <w:hideMark/>
          </w:tcPr>
          <w:p w14:paraId="7E054B8D" w14:textId="77777777" w:rsidR="000201AE" w:rsidRPr="000201AE" w:rsidRDefault="000201AE" w:rsidP="000201AE">
            <w:pPr>
              <w:spacing w:after="0" w:line="240" w:lineRule="auto"/>
              <w:ind w:firstLineChars="200" w:firstLine="360"/>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Provisões para contingências</w:t>
            </w:r>
          </w:p>
        </w:tc>
        <w:tc>
          <w:tcPr>
            <w:tcW w:w="874" w:type="pct"/>
            <w:tcBorders>
              <w:top w:val="nil"/>
              <w:left w:val="nil"/>
              <w:bottom w:val="nil"/>
              <w:right w:val="nil"/>
            </w:tcBorders>
            <w:shd w:val="clear" w:color="auto" w:fill="auto"/>
            <w:noWrap/>
            <w:vAlign w:val="bottom"/>
            <w:hideMark/>
          </w:tcPr>
          <w:p w14:paraId="2C305F74" w14:textId="2C01EC9B"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w:t>
            </w:r>
          </w:p>
        </w:tc>
        <w:tc>
          <w:tcPr>
            <w:tcW w:w="73" w:type="pct"/>
            <w:tcBorders>
              <w:top w:val="nil"/>
              <w:left w:val="nil"/>
              <w:bottom w:val="nil"/>
              <w:right w:val="nil"/>
            </w:tcBorders>
            <w:shd w:val="clear" w:color="auto" w:fill="auto"/>
            <w:noWrap/>
            <w:vAlign w:val="bottom"/>
            <w:hideMark/>
          </w:tcPr>
          <w:p w14:paraId="56CAA919" w14:textId="77777777"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p>
        </w:tc>
        <w:tc>
          <w:tcPr>
            <w:tcW w:w="862" w:type="pct"/>
            <w:tcBorders>
              <w:top w:val="nil"/>
              <w:left w:val="nil"/>
              <w:bottom w:val="nil"/>
              <w:right w:val="nil"/>
            </w:tcBorders>
            <w:shd w:val="clear" w:color="auto" w:fill="auto"/>
            <w:noWrap/>
            <w:vAlign w:val="bottom"/>
            <w:hideMark/>
          </w:tcPr>
          <w:p w14:paraId="37C61A9F" w14:textId="74E78D22"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1.201</w:t>
            </w:r>
          </w:p>
        </w:tc>
      </w:tr>
      <w:tr w:rsidR="000201AE" w:rsidRPr="000201AE" w14:paraId="1C200F74" w14:textId="77777777" w:rsidTr="003072B4">
        <w:trPr>
          <w:trHeight w:val="20"/>
        </w:trPr>
        <w:tc>
          <w:tcPr>
            <w:tcW w:w="3191" w:type="pct"/>
            <w:tcBorders>
              <w:top w:val="nil"/>
              <w:left w:val="nil"/>
              <w:bottom w:val="nil"/>
              <w:right w:val="nil"/>
            </w:tcBorders>
            <w:shd w:val="clear" w:color="auto" w:fill="auto"/>
            <w:noWrap/>
            <w:vAlign w:val="bottom"/>
            <w:hideMark/>
          </w:tcPr>
          <w:p w14:paraId="572C934B" w14:textId="77777777" w:rsidR="000201AE" w:rsidRPr="000201AE" w:rsidRDefault="000201AE" w:rsidP="000201AE">
            <w:pPr>
              <w:spacing w:after="0" w:line="240" w:lineRule="auto"/>
              <w:ind w:firstLineChars="200" w:firstLine="360"/>
              <w:rPr>
                <w:rFonts w:ascii="Verdana" w:eastAsia="Times New Roman" w:hAnsi="Verdana" w:cs="Calibri"/>
                <w:sz w:val="18"/>
                <w:szCs w:val="18"/>
                <w:lang w:eastAsia="pt-BR"/>
              </w:rPr>
            </w:pPr>
          </w:p>
        </w:tc>
        <w:tc>
          <w:tcPr>
            <w:tcW w:w="874" w:type="pct"/>
            <w:tcBorders>
              <w:top w:val="single" w:sz="4" w:space="0" w:color="000000"/>
              <w:left w:val="nil"/>
              <w:bottom w:val="double" w:sz="6" w:space="0" w:color="000000"/>
              <w:right w:val="nil"/>
            </w:tcBorders>
            <w:shd w:val="clear" w:color="auto" w:fill="auto"/>
            <w:noWrap/>
            <w:vAlign w:val="bottom"/>
            <w:hideMark/>
          </w:tcPr>
          <w:p w14:paraId="641B8EDE" w14:textId="50D6176F" w:rsidR="000201AE" w:rsidRPr="000201AE" w:rsidRDefault="000201AE" w:rsidP="000201AE">
            <w:pPr>
              <w:spacing w:after="0" w:line="240" w:lineRule="auto"/>
              <w:ind w:firstLineChars="200" w:firstLine="361"/>
              <w:jc w:val="right"/>
              <w:rPr>
                <w:rFonts w:ascii="Verdana" w:eastAsia="Times New Roman" w:hAnsi="Verdana" w:cs="Calibri"/>
                <w:b/>
                <w:bCs/>
                <w:sz w:val="18"/>
                <w:szCs w:val="18"/>
                <w:lang w:eastAsia="pt-BR"/>
              </w:rPr>
            </w:pPr>
            <w:r w:rsidRPr="000201AE">
              <w:rPr>
                <w:rFonts w:ascii="Verdana" w:eastAsia="Times New Roman" w:hAnsi="Verdana" w:cs="Calibri"/>
                <w:b/>
                <w:bCs/>
                <w:sz w:val="18"/>
                <w:szCs w:val="18"/>
                <w:lang w:eastAsia="pt-BR"/>
              </w:rPr>
              <w:t>127.526</w:t>
            </w:r>
          </w:p>
        </w:tc>
        <w:tc>
          <w:tcPr>
            <w:tcW w:w="73" w:type="pct"/>
            <w:tcBorders>
              <w:top w:val="nil"/>
              <w:left w:val="nil"/>
              <w:bottom w:val="nil"/>
              <w:right w:val="nil"/>
            </w:tcBorders>
            <w:shd w:val="clear" w:color="auto" w:fill="auto"/>
            <w:noWrap/>
            <w:vAlign w:val="bottom"/>
            <w:hideMark/>
          </w:tcPr>
          <w:p w14:paraId="1044C6B3" w14:textId="77777777" w:rsidR="000201AE" w:rsidRPr="000201AE" w:rsidRDefault="000201AE" w:rsidP="000201AE">
            <w:pPr>
              <w:spacing w:after="0" w:line="240" w:lineRule="auto"/>
              <w:ind w:firstLineChars="200" w:firstLine="361"/>
              <w:jc w:val="right"/>
              <w:rPr>
                <w:rFonts w:ascii="Verdana" w:eastAsia="Times New Roman" w:hAnsi="Verdana" w:cs="Calibri"/>
                <w:b/>
                <w:bCs/>
                <w:sz w:val="18"/>
                <w:szCs w:val="18"/>
                <w:lang w:eastAsia="pt-BR"/>
              </w:rPr>
            </w:pPr>
          </w:p>
        </w:tc>
        <w:tc>
          <w:tcPr>
            <w:tcW w:w="862" w:type="pct"/>
            <w:tcBorders>
              <w:top w:val="single" w:sz="4" w:space="0" w:color="000000"/>
              <w:left w:val="nil"/>
              <w:bottom w:val="double" w:sz="6" w:space="0" w:color="000000"/>
              <w:right w:val="nil"/>
            </w:tcBorders>
            <w:shd w:val="clear" w:color="auto" w:fill="auto"/>
            <w:noWrap/>
            <w:vAlign w:val="bottom"/>
            <w:hideMark/>
          </w:tcPr>
          <w:p w14:paraId="398771A8" w14:textId="352B9BA4" w:rsidR="000201AE" w:rsidRPr="000201AE" w:rsidRDefault="000201AE" w:rsidP="000201AE">
            <w:pPr>
              <w:spacing w:after="0" w:line="240" w:lineRule="auto"/>
              <w:ind w:firstLineChars="200" w:firstLine="361"/>
              <w:jc w:val="right"/>
              <w:rPr>
                <w:rFonts w:ascii="Verdana" w:eastAsia="Times New Roman" w:hAnsi="Verdana" w:cs="Calibri"/>
                <w:b/>
                <w:bCs/>
                <w:sz w:val="18"/>
                <w:szCs w:val="18"/>
                <w:lang w:eastAsia="pt-BR"/>
              </w:rPr>
            </w:pPr>
            <w:r w:rsidRPr="000201AE">
              <w:rPr>
                <w:rFonts w:ascii="Verdana" w:eastAsia="Times New Roman" w:hAnsi="Verdana" w:cs="Calibri"/>
                <w:b/>
                <w:bCs/>
                <w:sz w:val="18"/>
                <w:szCs w:val="18"/>
                <w:lang w:eastAsia="pt-BR"/>
              </w:rPr>
              <w:t>262.804</w:t>
            </w:r>
          </w:p>
        </w:tc>
      </w:tr>
      <w:tr w:rsidR="000201AE" w:rsidRPr="000201AE" w14:paraId="66A6B2F9" w14:textId="77777777" w:rsidTr="003072B4">
        <w:trPr>
          <w:trHeight w:val="20"/>
        </w:trPr>
        <w:tc>
          <w:tcPr>
            <w:tcW w:w="3191" w:type="pct"/>
            <w:tcBorders>
              <w:top w:val="nil"/>
              <w:left w:val="nil"/>
              <w:bottom w:val="nil"/>
              <w:right w:val="nil"/>
            </w:tcBorders>
            <w:shd w:val="clear" w:color="auto" w:fill="auto"/>
            <w:noWrap/>
            <w:vAlign w:val="bottom"/>
            <w:hideMark/>
          </w:tcPr>
          <w:p w14:paraId="14FD8B51" w14:textId="77777777" w:rsidR="000201AE" w:rsidRPr="000201AE" w:rsidRDefault="000201AE" w:rsidP="000201AE">
            <w:pPr>
              <w:spacing w:after="0" w:line="240" w:lineRule="auto"/>
              <w:ind w:firstLineChars="200" w:firstLine="361"/>
              <w:rPr>
                <w:rFonts w:ascii="Verdana" w:eastAsia="Times New Roman" w:hAnsi="Verdana" w:cs="Calibri"/>
                <w:b/>
                <w:bCs/>
                <w:sz w:val="18"/>
                <w:szCs w:val="18"/>
                <w:lang w:eastAsia="pt-BR"/>
              </w:rPr>
            </w:pPr>
          </w:p>
        </w:tc>
        <w:tc>
          <w:tcPr>
            <w:tcW w:w="874" w:type="pct"/>
            <w:tcBorders>
              <w:top w:val="nil"/>
              <w:left w:val="nil"/>
              <w:bottom w:val="nil"/>
              <w:right w:val="nil"/>
            </w:tcBorders>
            <w:shd w:val="clear" w:color="auto" w:fill="auto"/>
            <w:noWrap/>
            <w:vAlign w:val="bottom"/>
            <w:hideMark/>
          </w:tcPr>
          <w:p w14:paraId="5DD6626A" w14:textId="77777777" w:rsidR="000201AE" w:rsidRPr="000201AE" w:rsidRDefault="000201AE" w:rsidP="000201AE">
            <w:pPr>
              <w:spacing w:after="0" w:line="240" w:lineRule="auto"/>
              <w:ind w:firstLineChars="200" w:firstLine="400"/>
              <w:jc w:val="right"/>
              <w:rPr>
                <w:rFonts w:ascii="Times New Roman" w:eastAsia="Times New Roman" w:hAnsi="Times New Roman" w:cs="Times New Roman"/>
                <w:sz w:val="20"/>
                <w:szCs w:val="20"/>
                <w:lang w:eastAsia="pt-BR"/>
              </w:rPr>
            </w:pPr>
          </w:p>
        </w:tc>
        <w:tc>
          <w:tcPr>
            <w:tcW w:w="73" w:type="pct"/>
            <w:tcBorders>
              <w:top w:val="nil"/>
              <w:left w:val="nil"/>
              <w:bottom w:val="nil"/>
              <w:right w:val="nil"/>
            </w:tcBorders>
            <w:shd w:val="clear" w:color="auto" w:fill="auto"/>
            <w:noWrap/>
            <w:vAlign w:val="bottom"/>
            <w:hideMark/>
          </w:tcPr>
          <w:p w14:paraId="048A5AFF" w14:textId="77777777" w:rsidR="000201AE" w:rsidRPr="000201AE" w:rsidRDefault="000201AE" w:rsidP="000201AE">
            <w:pPr>
              <w:spacing w:after="0" w:line="240" w:lineRule="auto"/>
              <w:ind w:firstLineChars="200" w:firstLine="400"/>
              <w:jc w:val="right"/>
              <w:rPr>
                <w:rFonts w:ascii="Times New Roman" w:eastAsia="Times New Roman" w:hAnsi="Times New Roman" w:cs="Times New Roman"/>
                <w:sz w:val="20"/>
                <w:szCs w:val="20"/>
                <w:lang w:eastAsia="pt-BR"/>
              </w:rPr>
            </w:pPr>
          </w:p>
        </w:tc>
        <w:tc>
          <w:tcPr>
            <w:tcW w:w="862" w:type="pct"/>
            <w:tcBorders>
              <w:top w:val="nil"/>
              <w:left w:val="nil"/>
              <w:bottom w:val="nil"/>
              <w:right w:val="nil"/>
            </w:tcBorders>
            <w:shd w:val="clear" w:color="auto" w:fill="auto"/>
            <w:noWrap/>
            <w:vAlign w:val="bottom"/>
            <w:hideMark/>
          </w:tcPr>
          <w:p w14:paraId="4AD19DFC" w14:textId="77777777" w:rsidR="000201AE" w:rsidRPr="000201AE" w:rsidRDefault="000201AE" w:rsidP="000201AE">
            <w:pPr>
              <w:spacing w:after="0" w:line="240" w:lineRule="auto"/>
              <w:jc w:val="right"/>
              <w:rPr>
                <w:rFonts w:ascii="Times New Roman" w:eastAsia="Times New Roman" w:hAnsi="Times New Roman" w:cs="Times New Roman"/>
                <w:sz w:val="20"/>
                <w:szCs w:val="20"/>
                <w:lang w:eastAsia="pt-BR"/>
              </w:rPr>
            </w:pPr>
          </w:p>
        </w:tc>
      </w:tr>
      <w:tr w:rsidR="000201AE" w:rsidRPr="000201AE" w14:paraId="053A9B05" w14:textId="77777777" w:rsidTr="003072B4">
        <w:trPr>
          <w:trHeight w:val="20"/>
        </w:trPr>
        <w:tc>
          <w:tcPr>
            <w:tcW w:w="3191" w:type="pct"/>
            <w:tcBorders>
              <w:top w:val="nil"/>
              <w:left w:val="nil"/>
              <w:bottom w:val="nil"/>
              <w:right w:val="nil"/>
            </w:tcBorders>
            <w:shd w:val="clear" w:color="auto" w:fill="auto"/>
            <w:noWrap/>
            <w:vAlign w:val="bottom"/>
            <w:hideMark/>
          </w:tcPr>
          <w:p w14:paraId="242CDFE9" w14:textId="77777777" w:rsidR="000201AE" w:rsidRPr="000201AE" w:rsidRDefault="000201AE" w:rsidP="000201AE">
            <w:pPr>
              <w:spacing w:after="0" w:line="240" w:lineRule="auto"/>
              <w:ind w:firstLineChars="100" w:firstLine="181"/>
              <w:rPr>
                <w:rFonts w:ascii="Verdana" w:eastAsia="Times New Roman" w:hAnsi="Verdana" w:cs="Calibri"/>
                <w:b/>
                <w:bCs/>
                <w:sz w:val="18"/>
                <w:szCs w:val="18"/>
                <w:u w:val="single"/>
                <w:lang w:eastAsia="pt-BR"/>
              </w:rPr>
            </w:pPr>
            <w:r w:rsidRPr="000201AE">
              <w:rPr>
                <w:rFonts w:ascii="Verdana" w:eastAsia="Times New Roman" w:hAnsi="Verdana" w:cs="Calibri"/>
                <w:b/>
                <w:bCs/>
                <w:sz w:val="18"/>
                <w:szCs w:val="18"/>
                <w:u w:val="single"/>
                <w:lang w:eastAsia="pt-BR"/>
              </w:rPr>
              <w:t>(Acréscimos)/decréscimos nos ativos operacionais</w:t>
            </w:r>
          </w:p>
        </w:tc>
        <w:tc>
          <w:tcPr>
            <w:tcW w:w="874" w:type="pct"/>
            <w:tcBorders>
              <w:top w:val="nil"/>
              <w:left w:val="nil"/>
              <w:bottom w:val="nil"/>
              <w:right w:val="nil"/>
            </w:tcBorders>
            <w:shd w:val="clear" w:color="auto" w:fill="auto"/>
            <w:noWrap/>
            <w:vAlign w:val="bottom"/>
            <w:hideMark/>
          </w:tcPr>
          <w:p w14:paraId="6896C53C" w14:textId="77777777" w:rsidR="000201AE" w:rsidRPr="000201AE" w:rsidRDefault="000201AE" w:rsidP="000201AE">
            <w:pPr>
              <w:spacing w:after="0" w:line="240" w:lineRule="auto"/>
              <w:ind w:firstLineChars="100" w:firstLine="181"/>
              <w:jc w:val="right"/>
              <w:rPr>
                <w:rFonts w:ascii="Verdana" w:eastAsia="Times New Roman" w:hAnsi="Verdana" w:cs="Calibri"/>
                <w:b/>
                <w:bCs/>
                <w:sz w:val="18"/>
                <w:szCs w:val="18"/>
                <w:u w:val="single"/>
                <w:lang w:eastAsia="pt-BR"/>
              </w:rPr>
            </w:pPr>
          </w:p>
        </w:tc>
        <w:tc>
          <w:tcPr>
            <w:tcW w:w="73" w:type="pct"/>
            <w:tcBorders>
              <w:top w:val="nil"/>
              <w:left w:val="nil"/>
              <w:bottom w:val="nil"/>
              <w:right w:val="nil"/>
            </w:tcBorders>
            <w:shd w:val="clear" w:color="auto" w:fill="auto"/>
            <w:noWrap/>
            <w:vAlign w:val="bottom"/>
            <w:hideMark/>
          </w:tcPr>
          <w:p w14:paraId="7B197598" w14:textId="77777777" w:rsidR="000201AE" w:rsidRPr="000201AE" w:rsidRDefault="000201AE" w:rsidP="000201AE">
            <w:pPr>
              <w:spacing w:after="0" w:line="240" w:lineRule="auto"/>
              <w:ind w:firstLineChars="200" w:firstLine="400"/>
              <w:jc w:val="right"/>
              <w:rPr>
                <w:rFonts w:ascii="Times New Roman" w:eastAsia="Times New Roman" w:hAnsi="Times New Roman" w:cs="Times New Roman"/>
                <w:sz w:val="20"/>
                <w:szCs w:val="20"/>
                <w:lang w:eastAsia="pt-BR"/>
              </w:rPr>
            </w:pPr>
          </w:p>
        </w:tc>
        <w:tc>
          <w:tcPr>
            <w:tcW w:w="862" w:type="pct"/>
            <w:tcBorders>
              <w:top w:val="nil"/>
              <w:left w:val="nil"/>
              <w:bottom w:val="nil"/>
              <w:right w:val="nil"/>
            </w:tcBorders>
            <w:shd w:val="clear" w:color="auto" w:fill="auto"/>
            <w:noWrap/>
            <w:vAlign w:val="bottom"/>
            <w:hideMark/>
          </w:tcPr>
          <w:p w14:paraId="1AC15084" w14:textId="77777777" w:rsidR="000201AE" w:rsidRPr="000201AE" w:rsidRDefault="000201AE" w:rsidP="000201AE">
            <w:pPr>
              <w:spacing w:after="0" w:line="240" w:lineRule="auto"/>
              <w:jc w:val="right"/>
              <w:rPr>
                <w:rFonts w:ascii="Times New Roman" w:eastAsia="Times New Roman" w:hAnsi="Times New Roman" w:cs="Times New Roman"/>
                <w:sz w:val="20"/>
                <w:szCs w:val="20"/>
                <w:lang w:eastAsia="pt-BR"/>
              </w:rPr>
            </w:pPr>
          </w:p>
        </w:tc>
      </w:tr>
      <w:tr w:rsidR="000201AE" w:rsidRPr="000201AE" w14:paraId="38CE2E75" w14:textId="77777777" w:rsidTr="003072B4">
        <w:trPr>
          <w:trHeight w:val="20"/>
        </w:trPr>
        <w:tc>
          <w:tcPr>
            <w:tcW w:w="3191" w:type="pct"/>
            <w:tcBorders>
              <w:top w:val="nil"/>
              <w:left w:val="nil"/>
              <w:bottom w:val="nil"/>
              <w:right w:val="nil"/>
            </w:tcBorders>
            <w:shd w:val="clear" w:color="auto" w:fill="auto"/>
            <w:noWrap/>
            <w:vAlign w:val="bottom"/>
            <w:hideMark/>
          </w:tcPr>
          <w:p w14:paraId="3459B1BC" w14:textId="77777777" w:rsidR="000201AE" w:rsidRPr="000201AE" w:rsidRDefault="000201AE" w:rsidP="000201AE">
            <w:pPr>
              <w:spacing w:after="0" w:line="240" w:lineRule="auto"/>
              <w:ind w:firstLineChars="200" w:firstLine="360"/>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Clientes</w:t>
            </w:r>
          </w:p>
        </w:tc>
        <w:tc>
          <w:tcPr>
            <w:tcW w:w="874" w:type="pct"/>
            <w:tcBorders>
              <w:top w:val="nil"/>
              <w:left w:val="nil"/>
              <w:bottom w:val="nil"/>
              <w:right w:val="nil"/>
            </w:tcBorders>
            <w:shd w:val="clear" w:color="auto" w:fill="auto"/>
            <w:noWrap/>
            <w:vAlign w:val="bottom"/>
            <w:hideMark/>
          </w:tcPr>
          <w:p w14:paraId="7004457F" w14:textId="4ED7E983"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(1.395.847)</w:t>
            </w:r>
          </w:p>
        </w:tc>
        <w:tc>
          <w:tcPr>
            <w:tcW w:w="73" w:type="pct"/>
            <w:tcBorders>
              <w:top w:val="nil"/>
              <w:left w:val="nil"/>
              <w:bottom w:val="nil"/>
              <w:right w:val="nil"/>
            </w:tcBorders>
            <w:shd w:val="clear" w:color="auto" w:fill="auto"/>
            <w:noWrap/>
            <w:vAlign w:val="bottom"/>
            <w:hideMark/>
          </w:tcPr>
          <w:p w14:paraId="6EEB0EEC" w14:textId="77777777"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p>
        </w:tc>
        <w:tc>
          <w:tcPr>
            <w:tcW w:w="862" w:type="pct"/>
            <w:tcBorders>
              <w:top w:val="nil"/>
              <w:left w:val="nil"/>
              <w:bottom w:val="nil"/>
              <w:right w:val="nil"/>
            </w:tcBorders>
            <w:shd w:val="clear" w:color="auto" w:fill="auto"/>
            <w:noWrap/>
            <w:vAlign w:val="bottom"/>
            <w:hideMark/>
          </w:tcPr>
          <w:p w14:paraId="4AA86241" w14:textId="72EE5CA3"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(1.404.106)</w:t>
            </w:r>
          </w:p>
        </w:tc>
      </w:tr>
      <w:tr w:rsidR="000201AE" w:rsidRPr="000201AE" w14:paraId="216E7924" w14:textId="77777777" w:rsidTr="003072B4">
        <w:trPr>
          <w:trHeight w:val="20"/>
        </w:trPr>
        <w:tc>
          <w:tcPr>
            <w:tcW w:w="3191" w:type="pct"/>
            <w:tcBorders>
              <w:top w:val="nil"/>
              <w:left w:val="nil"/>
              <w:bottom w:val="nil"/>
              <w:right w:val="nil"/>
            </w:tcBorders>
            <w:shd w:val="clear" w:color="auto" w:fill="auto"/>
            <w:noWrap/>
            <w:vAlign w:val="bottom"/>
            <w:hideMark/>
          </w:tcPr>
          <w:p w14:paraId="58D905FC" w14:textId="77777777" w:rsidR="000201AE" w:rsidRPr="000201AE" w:rsidRDefault="000201AE" w:rsidP="000201AE">
            <w:pPr>
              <w:spacing w:after="0" w:line="240" w:lineRule="auto"/>
              <w:ind w:firstLineChars="200" w:firstLine="360"/>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Estoque de combustível nuclear</w:t>
            </w:r>
          </w:p>
        </w:tc>
        <w:tc>
          <w:tcPr>
            <w:tcW w:w="874" w:type="pct"/>
            <w:tcBorders>
              <w:top w:val="nil"/>
              <w:left w:val="nil"/>
              <w:bottom w:val="nil"/>
              <w:right w:val="nil"/>
            </w:tcBorders>
            <w:shd w:val="clear" w:color="auto" w:fill="auto"/>
            <w:noWrap/>
            <w:vAlign w:val="bottom"/>
            <w:hideMark/>
          </w:tcPr>
          <w:p w14:paraId="18C77954" w14:textId="7D4DE367"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w:t>
            </w:r>
          </w:p>
        </w:tc>
        <w:tc>
          <w:tcPr>
            <w:tcW w:w="73" w:type="pct"/>
            <w:tcBorders>
              <w:top w:val="nil"/>
              <w:left w:val="nil"/>
              <w:bottom w:val="nil"/>
              <w:right w:val="nil"/>
            </w:tcBorders>
            <w:shd w:val="clear" w:color="auto" w:fill="auto"/>
            <w:noWrap/>
            <w:vAlign w:val="bottom"/>
            <w:hideMark/>
          </w:tcPr>
          <w:p w14:paraId="37864AC2" w14:textId="77777777"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p>
        </w:tc>
        <w:tc>
          <w:tcPr>
            <w:tcW w:w="862" w:type="pct"/>
            <w:tcBorders>
              <w:top w:val="nil"/>
              <w:left w:val="nil"/>
              <w:bottom w:val="nil"/>
              <w:right w:val="nil"/>
            </w:tcBorders>
            <w:shd w:val="clear" w:color="auto" w:fill="auto"/>
            <w:noWrap/>
            <w:vAlign w:val="bottom"/>
            <w:hideMark/>
          </w:tcPr>
          <w:p w14:paraId="35EEB3A4" w14:textId="3830F98E"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(11.351)</w:t>
            </w:r>
          </w:p>
        </w:tc>
      </w:tr>
      <w:tr w:rsidR="000201AE" w:rsidRPr="000201AE" w14:paraId="0B00C72C" w14:textId="77777777" w:rsidTr="003072B4">
        <w:trPr>
          <w:trHeight w:val="20"/>
        </w:trPr>
        <w:tc>
          <w:tcPr>
            <w:tcW w:w="3191" w:type="pct"/>
            <w:tcBorders>
              <w:top w:val="nil"/>
              <w:left w:val="nil"/>
              <w:bottom w:val="nil"/>
              <w:right w:val="nil"/>
            </w:tcBorders>
            <w:shd w:val="clear" w:color="auto" w:fill="auto"/>
            <w:noWrap/>
            <w:vAlign w:val="bottom"/>
            <w:hideMark/>
          </w:tcPr>
          <w:p w14:paraId="262A1666" w14:textId="77777777" w:rsidR="000201AE" w:rsidRPr="000201AE" w:rsidRDefault="000201AE" w:rsidP="000201AE">
            <w:pPr>
              <w:spacing w:after="0" w:line="240" w:lineRule="auto"/>
              <w:ind w:firstLineChars="200" w:firstLine="360"/>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Almoxarifado</w:t>
            </w:r>
          </w:p>
        </w:tc>
        <w:tc>
          <w:tcPr>
            <w:tcW w:w="874" w:type="pct"/>
            <w:tcBorders>
              <w:top w:val="nil"/>
              <w:left w:val="nil"/>
              <w:bottom w:val="nil"/>
              <w:right w:val="nil"/>
            </w:tcBorders>
            <w:shd w:val="clear" w:color="auto" w:fill="auto"/>
            <w:noWrap/>
            <w:vAlign w:val="bottom"/>
            <w:hideMark/>
          </w:tcPr>
          <w:p w14:paraId="37AA0300" w14:textId="10D5F1C1"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w:t>
            </w:r>
          </w:p>
        </w:tc>
        <w:tc>
          <w:tcPr>
            <w:tcW w:w="73" w:type="pct"/>
            <w:tcBorders>
              <w:top w:val="nil"/>
              <w:left w:val="nil"/>
              <w:bottom w:val="nil"/>
              <w:right w:val="nil"/>
            </w:tcBorders>
            <w:shd w:val="clear" w:color="auto" w:fill="auto"/>
            <w:noWrap/>
            <w:vAlign w:val="bottom"/>
            <w:hideMark/>
          </w:tcPr>
          <w:p w14:paraId="1041D678" w14:textId="77777777"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p>
        </w:tc>
        <w:tc>
          <w:tcPr>
            <w:tcW w:w="862" w:type="pct"/>
            <w:tcBorders>
              <w:top w:val="nil"/>
              <w:left w:val="nil"/>
              <w:bottom w:val="nil"/>
              <w:right w:val="nil"/>
            </w:tcBorders>
            <w:shd w:val="clear" w:color="auto" w:fill="auto"/>
            <w:noWrap/>
            <w:vAlign w:val="bottom"/>
            <w:hideMark/>
          </w:tcPr>
          <w:p w14:paraId="48CD674D" w14:textId="0D8E4D61"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10.007</w:t>
            </w:r>
          </w:p>
        </w:tc>
      </w:tr>
      <w:tr w:rsidR="000201AE" w:rsidRPr="000201AE" w14:paraId="2DA342DA" w14:textId="77777777" w:rsidTr="003072B4">
        <w:trPr>
          <w:trHeight w:val="20"/>
        </w:trPr>
        <w:tc>
          <w:tcPr>
            <w:tcW w:w="3191" w:type="pct"/>
            <w:tcBorders>
              <w:top w:val="nil"/>
              <w:left w:val="nil"/>
              <w:bottom w:val="nil"/>
              <w:right w:val="nil"/>
            </w:tcBorders>
            <w:shd w:val="clear" w:color="auto" w:fill="auto"/>
            <w:noWrap/>
            <w:vAlign w:val="bottom"/>
            <w:hideMark/>
          </w:tcPr>
          <w:p w14:paraId="37E5A06D" w14:textId="77777777" w:rsidR="000201AE" w:rsidRPr="000201AE" w:rsidRDefault="000201AE" w:rsidP="000201AE">
            <w:pPr>
              <w:spacing w:after="0" w:line="240" w:lineRule="auto"/>
              <w:ind w:firstLineChars="200" w:firstLine="360"/>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Tributos a compensar</w:t>
            </w:r>
          </w:p>
        </w:tc>
        <w:tc>
          <w:tcPr>
            <w:tcW w:w="874" w:type="pct"/>
            <w:tcBorders>
              <w:top w:val="nil"/>
              <w:left w:val="nil"/>
              <w:bottom w:val="nil"/>
              <w:right w:val="nil"/>
            </w:tcBorders>
            <w:shd w:val="clear" w:color="auto" w:fill="auto"/>
            <w:noWrap/>
            <w:vAlign w:val="bottom"/>
            <w:hideMark/>
          </w:tcPr>
          <w:p w14:paraId="7F484D56" w14:textId="1FE970E1"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(140.378)</w:t>
            </w:r>
          </w:p>
        </w:tc>
        <w:tc>
          <w:tcPr>
            <w:tcW w:w="73" w:type="pct"/>
            <w:tcBorders>
              <w:top w:val="nil"/>
              <w:left w:val="nil"/>
              <w:bottom w:val="nil"/>
              <w:right w:val="nil"/>
            </w:tcBorders>
            <w:shd w:val="clear" w:color="auto" w:fill="auto"/>
            <w:noWrap/>
            <w:vAlign w:val="bottom"/>
            <w:hideMark/>
          </w:tcPr>
          <w:p w14:paraId="13CBD0FC" w14:textId="77777777"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p>
        </w:tc>
        <w:tc>
          <w:tcPr>
            <w:tcW w:w="862" w:type="pct"/>
            <w:tcBorders>
              <w:top w:val="nil"/>
              <w:left w:val="nil"/>
              <w:bottom w:val="nil"/>
              <w:right w:val="nil"/>
            </w:tcBorders>
            <w:shd w:val="clear" w:color="auto" w:fill="auto"/>
            <w:noWrap/>
            <w:vAlign w:val="bottom"/>
            <w:hideMark/>
          </w:tcPr>
          <w:p w14:paraId="0D1D0707" w14:textId="1C9AC951"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(145.420)</w:t>
            </w:r>
          </w:p>
        </w:tc>
      </w:tr>
      <w:tr w:rsidR="000201AE" w:rsidRPr="000201AE" w14:paraId="777B97FA" w14:textId="77777777" w:rsidTr="003072B4">
        <w:trPr>
          <w:trHeight w:val="20"/>
        </w:trPr>
        <w:tc>
          <w:tcPr>
            <w:tcW w:w="3191" w:type="pct"/>
            <w:tcBorders>
              <w:top w:val="nil"/>
              <w:left w:val="nil"/>
              <w:bottom w:val="nil"/>
              <w:right w:val="nil"/>
            </w:tcBorders>
            <w:shd w:val="clear" w:color="auto" w:fill="auto"/>
            <w:noWrap/>
            <w:vAlign w:val="bottom"/>
            <w:hideMark/>
          </w:tcPr>
          <w:p w14:paraId="6B487E95" w14:textId="77777777" w:rsidR="000201AE" w:rsidRPr="000201AE" w:rsidRDefault="000201AE" w:rsidP="000201AE">
            <w:pPr>
              <w:spacing w:after="0" w:line="240" w:lineRule="auto"/>
              <w:ind w:firstLineChars="200" w:firstLine="360"/>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Cauções e depósitos vinculados</w:t>
            </w:r>
          </w:p>
        </w:tc>
        <w:tc>
          <w:tcPr>
            <w:tcW w:w="874" w:type="pct"/>
            <w:tcBorders>
              <w:top w:val="nil"/>
              <w:left w:val="nil"/>
              <w:bottom w:val="nil"/>
              <w:right w:val="nil"/>
            </w:tcBorders>
            <w:shd w:val="clear" w:color="auto" w:fill="auto"/>
            <w:noWrap/>
            <w:vAlign w:val="bottom"/>
            <w:hideMark/>
          </w:tcPr>
          <w:p w14:paraId="572D0EB7" w14:textId="705DDE92"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(592)</w:t>
            </w:r>
          </w:p>
        </w:tc>
        <w:tc>
          <w:tcPr>
            <w:tcW w:w="73" w:type="pct"/>
            <w:tcBorders>
              <w:top w:val="nil"/>
              <w:left w:val="nil"/>
              <w:bottom w:val="nil"/>
              <w:right w:val="nil"/>
            </w:tcBorders>
            <w:shd w:val="clear" w:color="auto" w:fill="auto"/>
            <w:noWrap/>
            <w:vAlign w:val="bottom"/>
            <w:hideMark/>
          </w:tcPr>
          <w:p w14:paraId="769A7498" w14:textId="77777777"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p>
        </w:tc>
        <w:tc>
          <w:tcPr>
            <w:tcW w:w="862" w:type="pct"/>
            <w:tcBorders>
              <w:top w:val="nil"/>
              <w:left w:val="nil"/>
              <w:bottom w:val="nil"/>
              <w:right w:val="nil"/>
            </w:tcBorders>
            <w:shd w:val="clear" w:color="auto" w:fill="auto"/>
            <w:noWrap/>
            <w:vAlign w:val="bottom"/>
            <w:hideMark/>
          </w:tcPr>
          <w:p w14:paraId="1E77DD90" w14:textId="74EE2309"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(732)</w:t>
            </w:r>
          </w:p>
        </w:tc>
      </w:tr>
      <w:tr w:rsidR="000201AE" w:rsidRPr="000201AE" w14:paraId="19530F70" w14:textId="77777777" w:rsidTr="003072B4">
        <w:trPr>
          <w:trHeight w:val="20"/>
        </w:trPr>
        <w:tc>
          <w:tcPr>
            <w:tcW w:w="3191" w:type="pct"/>
            <w:tcBorders>
              <w:top w:val="nil"/>
              <w:left w:val="nil"/>
              <w:bottom w:val="nil"/>
              <w:right w:val="nil"/>
            </w:tcBorders>
            <w:shd w:val="clear" w:color="auto" w:fill="auto"/>
            <w:noWrap/>
            <w:vAlign w:val="bottom"/>
            <w:hideMark/>
          </w:tcPr>
          <w:p w14:paraId="5B825AA3" w14:textId="77777777" w:rsidR="000201AE" w:rsidRPr="000201AE" w:rsidRDefault="000201AE" w:rsidP="000201AE">
            <w:pPr>
              <w:spacing w:after="0" w:line="240" w:lineRule="auto"/>
              <w:ind w:firstLineChars="200" w:firstLine="360"/>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Outros</w:t>
            </w:r>
          </w:p>
        </w:tc>
        <w:tc>
          <w:tcPr>
            <w:tcW w:w="874" w:type="pct"/>
            <w:tcBorders>
              <w:top w:val="nil"/>
              <w:left w:val="nil"/>
              <w:bottom w:val="nil"/>
              <w:right w:val="nil"/>
            </w:tcBorders>
            <w:shd w:val="clear" w:color="auto" w:fill="auto"/>
            <w:noWrap/>
            <w:vAlign w:val="bottom"/>
            <w:hideMark/>
          </w:tcPr>
          <w:p w14:paraId="32DC1321" w14:textId="71B026B1"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(2.374)</w:t>
            </w:r>
          </w:p>
        </w:tc>
        <w:tc>
          <w:tcPr>
            <w:tcW w:w="73" w:type="pct"/>
            <w:tcBorders>
              <w:top w:val="nil"/>
              <w:left w:val="nil"/>
              <w:bottom w:val="nil"/>
              <w:right w:val="nil"/>
            </w:tcBorders>
            <w:shd w:val="clear" w:color="auto" w:fill="auto"/>
            <w:noWrap/>
            <w:vAlign w:val="bottom"/>
            <w:hideMark/>
          </w:tcPr>
          <w:p w14:paraId="3FD6B2C1" w14:textId="77777777"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p>
        </w:tc>
        <w:tc>
          <w:tcPr>
            <w:tcW w:w="862" w:type="pct"/>
            <w:tcBorders>
              <w:top w:val="nil"/>
              <w:left w:val="nil"/>
              <w:bottom w:val="nil"/>
              <w:right w:val="nil"/>
            </w:tcBorders>
            <w:shd w:val="clear" w:color="auto" w:fill="auto"/>
            <w:noWrap/>
            <w:vAlign w:val="bottom"/>
            <w:hideMark/>
          </w:tcPr>
          <w:p w14:paraId="2A9460D2" w14:textId="36DFE21A"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(7.735)</w:t>
            </w:r>
          </w:p>
        </w:tc>
      </w:tr>
      <w:tr w:rsidR="000201AE" w:rsidRPr="000201AE" w14:paraId="6AAC97DF" w14:textId="77777777" w:rsidTr="003072B4">
        <w:trPr>
          <w:trHeight w:val="20"/>
        </w:trPr>
        <w:tc>
          <w:tcPr>
            <w:tcW w:w="3191" w:type="pct"/>
            <w:tcBorders>
              <w:top w:val="nil"/>
              <w:left w:val="nil"/>
              <w:bottom w:val="nil"/>
              <w:right w:val="nil"/>
            </w:tcBorders>
            <w:shd w:val="clear" w:color="auto" w:fill="auto"/>
            <w:noWrap/>
            <w:vAlign w:val="bottom"/>
            <w:hideMark/>
          </w:tcPr>
          <w:p w14:paraId="2284098A" w14:textId="77777777" w:rsidR="000201AE" w:rsidRPr="000201AE" w:rsidRDefault="000201AE" w:rsidP="000201AE">
            <w:pPr>
              <w:spacing w:after="0" w:line="240" w:lineRule="auto"/>
              <w:ind w:firstLineChars="200" w:firstLine="360"/>
              <w:rPr>
                <w:rFonts w:ascii="Verdana" w:eastAsia="Times New Roman" w:hAnsi="Verdana" w:cs="Calibri"/>
                <w:sz w:val="18"/>
                <w:szCs w:val="18"/>
                <w:lang w:eastAsia="pt-BR"/>
              </w:rPr>
            </w:pPr>
          </w:p>
        </w:tc>
        <w:tc>
          <w:tcPr>
            <w:tcW w:w="874" w:type="pct"/>
            <w:tcBorders>
              <w:top w:val="single" w:sz="4" w:space="0" w:color="000000"/>
              <w:left w:val="nil"/>
              <w:bottom w:val="double" w:sz="6" w:space="0" w:color="000000"/>
              <w:right w:val="nil"/>
            </w:tcBorders>
            <w:shd w:val="clear" w:color="auto" w:fill="auto"/>
            <w:noWrap/>
            <w:vAlign w:val="bottom"/>
            <w:hideMark/>
          </w:tcPr>
          <w:p w14:paraId="3E6EC268" w14:textId="4540E409" w:rsidR="000201AE" w:rsidRPr="000201AE" w:rsidRDefault="000201AE" w:rsidP="000201AE">
            <w:pPr>
              <w:spacing w:after="0" w:line="240" w:lineRule="auto"/>
              <w:ind w:firstLineChars="200" w:firstLine="361"/>
              <w:jc w:val="right"/>
              <w:rPr>
                <w:rFonts w:ascii="Verdana" w:eastAsia="Times New Roman" w:hAnsi="Verdana" w:cs="Calibri"/>
                <w:b/>
                <w:bCs/>
                <w:sz w:val="18"/>
                <w:szCs w:val="18"/>
                <w:lang w:eastAsia="pt-BR"/>
              </w:rPr>
            </w:pPr>
            <w:r w:rsidRPr="000201AE">
              <w:rPr>
                <w:rFonts w:ascii="Verdana" w:eastAsia="Times New Roman" w:hAnsi="Verdana" w:cs="Calibri"/>
                <w:b/>
                <w:bCs/>
                <w:sz w:val="18"/>
                <w:szCs w:val="18"/>
                <w:lang w:eastAsia="pt-BR"/>
              </w:rPr>
              <w:t>(1.539.191)</w:t>
            </w:r>
          </w:p>
        </w:tc>
        <w:tc>
          <w:tcPr>
            <w:tcW w:w="73" w:type="pct"/>
            <w:tcBorders>
              <w:top w:val="nil"/>
              <w:left w:val="nil"/>
              <w:bottom w:val="nil"/>
              <w:right w:val="nil"/>
            </w:tcBorders>
            <w:shd w:val="clear" w:color="auto" w:fill="auto"/>
            <w:noWrap/>
            <w:vAlign w:val="bottom"/>
            <w:hideMark/>
          </w:tcPr>
          <w:p w14:paraId="3A24F05D" w14:textId="77777777" w:rsidR="000201AE" w:rsidRPr="000201AE" w:rsidRDefault="000201AE" w:rsidP="000201AE">
            <w:pPr>
              <w:spacing w:after="0" w:line="240" w:lineRule="auto"/>
              <w:ind w:firstLineChars="200" w:firstLine="361"/>
              <w:jc w:val="right"/>
              <w:rPr>
                <w:rFonts w:ascii="Verdana" w:eastAsia="Times New Roman" w:hAnsi="Verdana" w:cs="Calibri"/>
                <w:b/>
                <w:bCs/>
                <w:sz w:val="18"/>
                <w:szCs w:val="18"/>
                <w:lang w:eastAsia="pt-BR"/>
              </w:rPr>
            </w:pPr>
          </w:p>
        </w:tc>
        <w:tc>
          <w:tcPr>
            <w:tcW w:w="862" w:type="pct"/>
            <w:tcBorders>
              <w:top w:val="single" w:sz="4" w:space="0" w:color="000000"/>
              <w:left w:val="nil"/>
              <w:bottom w:val="double" w:sz="6" w:space="0" w:color="000000"/>
              <w:right w:val="nil"/>
            </w:tcBorders>
            <w:shd w:val="clear" w:color="auto" w:fill="auto"/>
            <w:noWrap/>
            <w:vAlign w:val="bottom"/>
            <w:hideMark/>
          </w:tcPr>
          <w:p w14:paraId="3625FECC" w14:textId="531AEBB3" w:rsidR="000201AE" w:rsidRPr="000201AE" w:rsidRDefault="000201AE" w:rsidP="000201AE">
            <w:pPr>
              <w:spacing w:after="0" w:line="240" w:lineRule="auto"/>
              <w:ind w:firstLineChars="200" w:firstLine="361"/>
              <w:jc w:val="right"/>
              <w:rPr>
                <w:rFonts w:ascii="Verdana" w:eastAsia="Times New Roman" w:hAnsi="Verdana" w:cs="Calibri"/>
                <w:b/>
                <w:bCs/>
                <w:sz w:val="18"/>
                <w:szCs w:val="18"/>
                <w:lang w:eastAsia="pt-BR"/>
              </w:rPr>
            </w:pPr>
            <w:r w:rsidRPr="000201AE">
              <w:rPr>
                <w:rFonts w:ascii="Verdana" w:eastAsia="Times New Roman" w:hAnsi="Verdana" w:cs="Calibri"/>
                <w:b/>
                <w:bCs/>
                <w:sz w:val="18"/>
                <w:szCs w:val="18"/>
                <w:lang w:eastAsia="pt-BR"/>
              </w:rPr>
              <w:t>(1.559.337)</w:t>
            </w:r>
          </w:p>
        </w:tc>
      </w:tr>
      <w:tr w:rsidR="000201AE" w:rsidRPr="000201AE" w14:paraId="1B589D6C" w14:textId="77777777" w:rsidTr="003072B4">
        <w:trPr>
          <w:trHeight w:val="20"/>
        </w:trPr>
        <w:tc>
          <w:tcPr>
            <w:tcW w:w="3191" w:type="pct"/>
            <w:tcBorders>
              <w:top w:val="nil"/>
              <w:left w:val="nil"/>
              <w:bottom w:val="nil"/>
              <w:right w:val="nil"/>
            </w:tcBorders>
            <w:shd w:val="clear" w:color="auto" w:fill="auto"/>
            <w:noWrap/>
            <w:vAlign w:val="bottom"/>
            <w:hideMark/>
          </w:tcPr>
          <w:p w14:paraId="7A4B35F4" w14:textId="77777777" w:rsidR="000201AE" w:rsidRPr="000201AE" w:rsidRDefault="000201AE" w:rsidP="000201AE">
            <w:pPr>
              <w:spacing w:after="0" w:line="240" w:lineRule="auto"/>
              <w:ind w:firstLineChars="200" w:firstLine="361"/>
              <w:rPr>
                <w:rFonts w:ascii="Verdana" w:eastAsia="Times New Roman" w:hAnsi="Verdana" w:cs="Calibri"/>
                <w:b/>
                <w:bCs/>
                <w:sz w:val="18"/>
                <w:szCs w:val="18"/>
                <w:lang w:eastAsia="pt-BR"/>
              </w:rPr>
            </w:pPr>
          </w:p>
        </w:tc>
        <w:tc>
          <w:tcPr>
            <w:tcW w:w="874" w:type="pct"/>
            <w:tcBorders>
              <w:top w:val="nil"/>
              <w:left w:val="nil"/>
              <w:bottom w:val="nil"/>
              <w:right w:val="nil"/>
            </w:tcBorders>
            <w:shd w:val="clear" w:color="auto" w:fill="auto"/>
            <w:noWrap/>
            <w:vAlign w:val="bottom"/>
            <w:hideMark/>
          </w:tcPr>
          <w:p w14:paraId="3261B9B8" w14:textId="77777777" w:rsidR="000201AE" w:rsidRPr="000201AE" w:rsidRDefault="000201AE" w:rsidP="000201AE">
            <w:pPr>
              <w:spacing w:after="0" w:line="240" w:lineRule="auto"/>
              <w:jc w:val="right"/>
              <w:rPr>
                <w:rFonts w:ascii="Times New Roman" w:eastAsia="Times New Roman" w:hAnsi="Times New Roman" w:cs="Times New Roman"/>
                <w:sz w:val="20"/>
                <w:szCs w:val="20"/>
                <w:lang w:eastAsia="pt-BR"/>
              </w:rPr>
            </w:pPr>
          </w:p>
        </w:tc>
        <w:tc>
          <w:tcPr>
            <w:tcW w:w="73" w:type="pct"/>
            <w:tcBorders>
              <w:top w:val="nil"/>
              <w:left w:val="nil"/>
              <w:bottom w:val="nil"/>
              <w:right w:val="nil"/>
            </w:tcBorders>
            <w:shd w:val="clear" w:color="auto" w:fill="auto"/>
            <w:noWrap/>
            <w:vAlign w:val="bottom"/>
            <w:hideMark/>
          </w:tcPr>
          <w:p w14:paraId="6A1E86DB" w14:textId="77777777" w:rsidR="000201AE" w:rsidRPr="000201AE" w:rsidRDefault="000201AE" w:rsidP="000201AE">
            <w:pPr>
              <w:spacing w:after="0" w:line="240" w:lineRule="auto"/>
              <w:ind w:firstLineChars="200" w:firstLine="400"/>
              <w:jc w:val="right"/>
              <w:rPr>
                <w:rFonts w:ascii="Times New Roman" w:eastAsia="Times New Roman" w:hAnsi="Times New Roman" w:cs="Times New Roman"/>
                <w:sz w:val="20"/>
                <w:szCs w:val="20"/>
                <w:lang w:eastAsia="pt-BR"/>
              </w:rPr>
            </w:pPr>
          </w:p>
        </w:tc>
        <w:tc>
          <w:tcPr>
            <w:tcW w:w="862" w:type="pct"/>
            <w:tcBorders>
              <w:top w:val="nil"/>
              <w:left w:val="nil"/>
              <w:bottom w:val="nil"/>
              <w:right w:val="nil"/>
            </w:tcBorders>
            <w:shd w:val="clear" w:color="auto" w:fill="auto"/>
            <w:noWrap/>
            <w:vAlign w:val="bottom"/>
            <w:hideMark/>
          </w:tcPr>
          <w:p w14:paraId="3028768C" w14:textId="77777777" w:rsidR="000201AE" w:rsidRPr="000201AE" w:rsidRDefault="000201AE" w:rsidP="000201AE">
            <w:pPr>
              <w:spacing w:after="0" w:line="240" w:lineRule="auto"/>
              <w:jc w:val="right"/>
              <w:rPr>
                <w:rFonts w:ascii="Times New Roman" w:eastAsia="Times New Roman" w:hAnsi="Times New Roman" w:cs="Times New Roman"/>
                <w:sz w:val="20"/>
                <w:szCs w:val="20"/>
                <w:lang w:eastAsia="pt-BR"/>
              </w:rPr>
            </w:pPr>
          </w:p>
        </w:tc>
      </w:tr>
      <w:tr w:rsidR="000201AE" w:rsidRPr="000201AE" w14:paraId="68EC9F4A" w14:textId="77777777" w:rsidTr="003072B4">
        <w:trPr>
          <w:trHeight w:val="20"/>
        </w:trPr>
        <w:tc>
          <w:tcPr>
            <w:tcW w:w="3191" w:type="pct"/>
            <w:tcBorders>
              <w:top w:val="nil"/>
              <w:left w:val="nil"/>
              <w:bottom w:val="nil"/>
              <w:right w:val="nil"/>
            </w:tcBorders>
            <w:shd w:val="clear" w:color="auto" w:fill="auto"/>
            <w:noWrap/>
            <w:vAlign w:val="bottom"/>
            <w:hideMark/>
          </w:tcPr>
          <w:p w14:paraId="319BF36E" w14:textId="77777777" w:rsidR="000201AE" w:rsidRPr="000201AE" w:rsidRDefault="000201AE" w:rsidP="000201AE">
            <w:pPr>
              <w:spacing w:after="0" w:line="240" w:lineRule="auto"/>
              <w:ind w:firstLineChars="100" w:firstLine="181"/>
              <w:rPr>
                <w:rFonts w:ascii="Verdana" w:eastAsia="Times New Roman" w:hAnsi="Verdana" w:cs="Calibri"/>
                <w:b/>
                <w:bCs/>
                <w:sz w:val="18"/>
                <w:szCs w:val="18"/>
                <w:u w:val="single"/>
                <w:lang w:eastAsia="pt-BR"/>
              </w:rPr>
            </w:pPr>
            <w:r w:rsidRPr="000201AE">
              <w:rPr>
                <w:rFonts w:ascii="Verdana" w:eastAsia="Times New Roman" w:hAnsi="Verdana" w:cs="Calibri"/>
                <w:b/>
                <w:bCs/>
                <w:sz w:val="18"/>
                <w:szCs w:val="18"/>
                <w:u w:val="single"/>
                <w:lang w:eastAsia="pt-BR"/>
              </w:rPr>
              <w:t>Acréscimos/(decréscimos) nos passivos operacionais</w:t>
            </w:r>
          </w:p>
        </w:tc>
        <w:tc>
          <w:tcPr>
            <w:tcW w:w="874" w:type="pct"/>
            <w:tcBorders>
              <w:top w:val="nil"/>
              <w:left w:val="nil"/>
              <w:bottom w:val="nil"/>
              <w:right w:val="nil"/>
            </w:tcBorders>
            <w:shd w:val="clear" w:color="auto" w:fill="auto"/>
            <w:noWrap/>
            <w:vAlign w:val="bottom"/>
            <w:hideMark/>
          </w:tcPr>
          <w:p w14:paraId="46D68978" w14:textId="77777777" w:rsidR="000201AE" w:rsidRPr="000201AE" w:rsidRDefault="000201AE" w:rsidP="000201AE">
            <w:pPr>
              <w:spacing w:after="0" w:line="240" w:lineRule="auto"/>
              <w:ind w:firstLineChars="100" w:firstLine="181"/>
              <w:jc w:val="right"/>
              <w:rPr>
                <w:rFonts w:ascii="Verdana" w:eastAsia="Times New Roman" w:hAnsi="Verdana" w:cs="Calibri"/>
                <w:b/>
                <w:bCs/>
                <w:sz w:val="18"/>
                <w:szCs w:val="18"/>
                <w:u w:val="single"/>
                <w:lang w:eastAsia="pt-BR"/>
              </w:rPr>
            </w:pPr>
          </w:p>
        </w:tc>
        <w:tc>
          <w:tcPr>
            <w:tcW w:w="73" w:type="pct"/>
            <w:tcBorders>
              <w:top w:val="nil"/>
              <w:left w:val="nil"/>
              <w:bottom w:val="nil"/>
              <w:right w:val="nil"/>
            </w:tcBorders>
            <w:shd w:val="clear" w:color="auto" w:fill="auto"/>
            <w:noWrap/>
            <w:vAlign w:val="bottom"/>
            <w:hideMark/>
          </w:tcPr>
          <w:p w14:paraId="2F649783" w14:textId="77777777" w:rsidR="000201AE" w:rsidRPr="000201AE" w:rsidRDefault="000201AE" w:rsidP="000201AE">
            <w:pPr>
              <w:spacing w:after="0" w:line="240" w:lineRule="auto"/>
              <w:ind w:firstLineChars="200" w:firstLine="400"/>
              <w:jc w:val="right"/>
              <w:rPr>
                <w:rFonts w:ascii="Times New Roman" w:eastAsia="Times New Roman" w:hAnsi="Times New Roman" w:cs="Times New Roman"/>
                <w:sz w:val="20"/>
                <w:szCs w:val="20"/>
                <w:lang w:eastAsia="pt-BR"/>
              </w:rPr>
            </w:pPr>
          </w:p>
        </w:tc>
        <w:tc>
          <w:tcPr>
            <w:tcW w:w="862" w:type="pct"/>
            <w:tcBorders>
              <w:top w:val="nil"/>
              <w:left w:val="nil"/>
              <w:bottom w:val="nil"/>
              <w:right w:val="nil"/>
            </w:tcBorders>
            <w:shd w:val="clear" w:color="auto" w:fill="auto"/>
            <w:noWrap/>
            <w:vAlign w:val="bottom"/>
            <w:hideMark/>
          </w:tcPr>
          <w:p w14:paraId="41154B0A" w14:textId="77777777" w:rsidR="000201AE" w:rsidRPr="000201AE" w:rsidRDefault="000201AE" w:rsidP="000201AE">
            <w:pPr>
              <w:spacing w:after="0" w:line="240" w:lineRule="auto"/>
              <w:jc w:val="right"/>
              <w:rPr>
                <w:rFonts w:ascii="Times New Roman" w:eastAsia="Times New Roman" w:hAnsi="Times New Roman" w:cs="Times New Roman"/>
                <w:sz w:val="20"/>
                <w:szCs w:val="20"/>
                <w:lang w:eastAsia="pt-BR"/>
              </w:rPr>
            </w:pPr>
          </w:p>
        </w:tc>
      </w:tr>
      <w:tr w:rsidR="000201AE" w:rsidRPr="000201AE" w14:paraId="57F5C182" w14:textId="77777777" w:rsidTr="003072B4">
        <w:trPr>
          <w:trHeight w:val="20"/>
        </w:trPr>
        <w:tc>
          <w:tcPr>
            <w:tcW w:w="3191" w:type="pct"/>
            <w:tcBorders>
              <w:top w:val="nil"/>
              <w:left w:val="nil"/>
              <w:bottom w:val="nil"/>
              <w:right w:val="nil"/>
            </w:tcBorders>
            <w:shd w:val="clear" w:color="auto" w:fill="auto"/>
            <w:noWrap/>
            <w:vAlign w:val="bottom"/>
            <w:hideMark/>
          </w:tcPr>
          <w:p w14:paraId="58A7BFDC" w14:textId="77777777" w:rsidR="000201AE" w:rsidRPr="000201AE" w:rsidRDefault="000201AE" w:rsidP="000201AE">
            <w:pPr>
              <w:spacing w:after="0" w:line="240" w:lineRule="auto"/>
              <w:ind w:firstLineChars="200" w:firstLine="360"/>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Fornecedores</w:t>
            </w:r>
          </w:p>
        </w:tc>
        <w:tc>
          <w:tcPr>
            <w:tcW w:w="874" w:type="pct"/>
            <w:tcBorders>
              <w:top w:val="nil"/>
              <w:left w:val="nil"/>
              <w:bottom w:val="nil"/>
              <w:right w:val="nil"/>
            </w:tcBorders>
            <w:shd w:val="clear" w:color="auto" w:fill="auto"/>
            <w:noWrap/>
            <w:vAlign w:val="bottom"/>
            <w:hideMark/>
          </w:tcPr>
          <w:p w14:paraId="36783CEE" w14:textId="03CF8802"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2.321.837</w:t>
            </w:r>
          </w:p>
        </w:tc>
        <w:tc>
          <w:tcPr>
            <w:tcW w:w="73" w:type="pct"/>
            <w:tcBorders>
              <w:top w:val="nil"/>
              <w:left w:val="nil"/>
              <w:bottom w:val="nil"/>
              <w:right w:val="nil"/>
            </w:tcBorders>
            <w:shd w:val="clear" w:color="auto" w:fill="auto"/>
            <w:noWrap/>
            <w:vAlign w:val="bottom"/>
            <w:hideMark/>
          </w:tcPr>
          <w:p w14:paraId="3DC6406A" w14:textId="77777777"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p>
        </w:tc>
        <w:tc>
          <w:tcPr>
            <w:tcW w:w="862" w:type="pct"/>
            <w:tcBorders>
              <w:top w:val="nil"/>
              <w:left w:val="nil"/>
              <w:bottom w:val="nil"/>
              <w:right w:val="nil"/>
            </w:tcBorders>
            <w:shd w:val="clear" w:color="auto" w:fill="auto"/>
            <w:noWrap/>
            <w:vAlign w:val="bottom"/>
            <w:hideMark/>
          </w:tcPr>
          <w:p w14:paraId="79A2070F" w14:textId="5011E0BF"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2.422.940</w:t>
            </w:r>
          </w:p>
        </w:tc>
      </w:tr>
      <w:tr w:rsidR="000201AE" w:rsidRPr="000201AE" w14:paraId="77222A64" w14:textId="77777777" w:rsidTr="003072B4">
        <w:trPr>
          <w:trHeight w:val="20"/>
        </w:trPr>
        <w:tc>
          <w:tcPr>
            <w:tcW w:w="3191" w:type="pct"/>
            <w:tcBorders>
              <w:top w:val="nil"/>
              <w:left w:val="nil"/>
              <w:bottom w:val="nil"/>
              <w:right w:val="nil"/>
            </w:tcBorders>
            <w:shd w:val="clear" w:color="auto" w:fill="auto"/>
            <w:vAlign w:val="bottom"/>
            <w:hideMark/>
          </w:tcPr>
          <w:p w14:paraId="0A0D8A32" w14:textId="77777777" w:rsidR="000201AE" w:rsidRPr="000201AE" w:rsidRDefault="000201AE" w:rsidP="000201AE">
            <w:pPr>
              <w:spacing w:after="0" w:line="240" w:lineRule="auto"/>
              <w:ind w:firstLineChars="200" w:firstLine="360"/>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Impostos e taxas, exceto IRPJ</w:t>
            </w:r>
          </w:p>
        </w:tc>
        <w:tc>
          <w:tcPr>
            <w:tcW w:w="874" w:type="pct"/>
            <w:tcBorders>
              <w:top w:val="nil"/>
              <w:left w:val="nil"/>
              <w:bottom w:val="nil"/>
              <w:right w:val="nil"/>
            </w:tcBorders>
            <w:shd w:val="clear" w:color="auto" w:fill="auto"/>
            <w:noWrap/>
            <w:vAlign w:val="bottom"/>
            <w:hideMark/>
          </w:tcPr>
          <w:p w14:paraId="447B5E34" w14:textId="781DA6A7"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159.185</w:t>
            </w:r>
          </w:p>
        </w:tc>
        <w:tc>
          <w:tcPr>
            <w:tcW w:w="73" w:type="pct"/>
            <w:tcBorders>
              <w:top w:val="nil"/>
              <w:left w:val="nil"/>
              <w:bottom w:val="nil"/>
              <w:right w:val="nil"/>
            </w:tcBorders>
            <w:shd w:val="clear" w:color="auto" w:fill="auto"/>
            <w:noWrap/>
            <w:vAlign w:val="bottom"/>
            <w:hideMark/>
          </w:tcPr>
          <w:p w14:paraId="4BD9DA04" w14:textId="77777777"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p>
        </w:tc>
        <w:tc>
          <w:tcPr>
            <w:tcW w:w="862" w:type="pct"/>
            <w:tcBorders>
              <w:top w:val="nil"/>
              <w:left w:val="nil"/>
              <w:bottom w:val="nil"/>
              <w:right w:val="nil"/>
            </w:tcBorders>
            <w:shd w:val="clear" w:color="auto" w:fill="auto"/>
            <w:noWrap/>
            <w:vAlign w:val="bottom"/>
            <w:hideMark/>
          </w:tcPr>
          <w:p w14:paraId="7F8D9F38" w14:textId="6EC8ACE6"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196.968</w:t>
            </w:r>
          </w:p>
        </w:tc>
      </w:tr>
      <w:tr w:rsidR="000201AE" w:rsidRPr="000201AE" w14:paraId="618EE185" w14:textId="77777777" w:rsidTr="003072B4">
        <w:trPr>
          <w:trHeight w:val="20"/>
        </w:trPr>
        <w:tc>
          <w:tcPr>
            <w:tcW w:w="3191" w:type="pct"/>
            <w:tcBorders>
              <w:top w:val="nil"/>
              <w:left w:val="nil"/>
              <w:bottom w:val="nil"/>
              <w:right w:val="nil"/>
            </w:tcBorders>
            <w:shd w:val="clear" w:color="auto" w:fill="auto"/>
            <w:noWrap/>
            <w:vAlign w:val="bottom"/>
            <w:hideMark/>
          </w:tcPr>
          <w:p w14:paraId="74C132B0" w14:textId="77777777" w:rsidR="000201AE" w:rsidRPr="000201AE" w:rsidRDefault="000201AE" w:rsidP="000201AE">
            <w:pPr>
              <w:spacing w:after="0" w:line="240" w:lineRule="auto"/>
              <w:ind w:firstLineChars="200" w:firstLine="360"/>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Obrigações estimadas</w:t>
            </w:r>
          </w:p>
        </w:tc>
        <w:tc>
          <w:tcPr>
            <w:tcW w:w="874" w:type="pct"/>
            <w:tcBorders>
              <w:top w:val="nil"/>
              <w:left w:val="nil"/>
              <w:bottom w:val="nil"/>
              <w:right w:val="nil"/>
            </w:tcBorders>
            <w:shd w:val="clear" w:color="auto" w:fill="auto"/>
            <w:noWrap/>
            <w:vAlign w:val="bottom"/>
            <w:hideMark/>
          </w:tcPr>
          <w:p w14:paraId="32C28D96" w14:textId="326E8595"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479</w:t>
            </w:r>
          </w:p>
        </w:tc>
        <w:tc>
          <w:tcPr>
            <w:tcW w:w="73" w:type="pct"/>
            <w:tcBorders>
              <w:top w:val="nil"/>
              <w:left w:val="nil"/>
              <w:bottom w:val="nil"/>
              <w:right w:val="nil"/>
            </w:tcBorders>
            <w:shd w:val="clear" w:color="auto" w:fill="auto"/>
            <w:noWrap/>
            <w:vAlign w:val="bottom"/>
            <w:hideMark/>
          </w:tcPr>
          <w:p w14:paraId="6CBE92E0" w14:textId="77777777"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p>
        </w:tc>
        <w:tc>
          <w:tcPr>
            <w:tcW w:w="862" w:type="pct"/>
            <w:tcBorders>
              <w:top w:val="nil"/>
              <w:left w:val="nil"/>
              <w:bottom w:val="nil"/>
              <w:right w:val="nil"/>
            </w:tcBorders>
            <w:shd w:val="clear" w:color="auto" w:fill="auto"/>
            <w:noWrap/>
            <w:vAlign w:val="bottom"/>
            <w:hideMark/>
          </w:tcPr>
          <w:p w14:paraId="66157DFB" w14:textId="27685E87"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22.116</w:t>
            </w:r>
          </w:p>
        </w:tc>
      </w:tr>
      <w:tr w:rsidR="000201AE" w:rsidRPr="000201AE" w14:paraId="0D36FCB1" w14:textId="77777777" w:rsidTr="003072B4">
        <w:trPr>
          <w:trHeight w:val="20"/>
        </w:trPr>
        <w:tc>
          <w:tcPr>
            <w:tcW w:w="3191" w:type="pct"/>
            <w:tcBorders>
              <w:top w:val="nil"/>
              <w:left w:val="nil"/>
              <w:bottom w:val="nil"/>
              <w:right w:val="nil"/>
            </w:tcBorders>
            <w:shd w:val="clear" w:color="auto" w:fill="auto"/>
            <w:noWrap/>
            <w:vAlign w:val="bottom"/>
            <w:hideMark/>
          </w:tcPr>
          <w:p w14:paraId="416E9544" w14:textId="77777777" w:rsidR="000201AE" w:rsidRPr="000201AE" w:rsidRDefault="000201AE" w:rsidP="000201AE">
            <w:pPr>
              <w:spacing w:after="0" w:line="240" w:lineRule="auto"/>
              <w:ind w:firstLineChars="200" w:firstLine="360"/>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Passivo de arrendamento</w:t>
            </w:r>
          </w:p>
        </w:tc>
        <w:tc>
          <w:tcPr>
            <w:tcW w:w="874" w:type="pct"/>
            <w:tcBorders>
              <w:top w:val="nil"/>
              <w:left w:val="nil"/>
              <w:bottom w:val="nil"/>
              <w:right w:val="nil"/>
            </w:tcBorders>
            <w:shd w:val="clear" w:color="auto" w:fill="auto"/>
            <w:noWrap/>
            <w:vAlign w:val="bottom"/>
            <w:hideMark/>
          </w:tcPr>
          <w:p w14:paraId="4A612566" w14:textId="775B6481"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8.508</w:t>
            </w:r>
          </w:p>
        </w:tc>
        <w:tc>
          <w:tcPr>
            <w:tcW w:w="73" w:type="pct"/>
            <w:tcBorders>
              <w:top w:val="nil"/>
              <w:left w:val="nil"/>
              <w:bottom w:val="nil"/>
              <w:right w:val="nil"/>
            </w:tcBorders>
            <w:shd w:val="clear" w:color="auto" w:fill="auto"/>
            <w:noWrap/>
            <w:vAlign w:val="bottom"/>
            <w:hideMark/>
          </w:tcPr>
          <w:p w14:paraId="0BE48FC7" w14:textId="77777777"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p>
        </w:tc>
        <w:tc>
          <w:tcPr>
            <w:tcW w:w="862" w:type="pct"/>
            <w:tcBorders>
              <w:top w:val="nil"/>
              <w:left w:val="nil"/>
              <w:bottom w:val="nil"/>
              <w:right w:val="nil"/>
            </w:tcBorders>
            <w:shd w:val="clear" w:color="auto" w:fill="auto"/>
            <w:noWrap/>
            <w:vAlign w:val="bottom"/>
            <w:hideMark/>
          </w:tcPr>
          <w:p w14:paraId="5A6C70FA" w14:textId="46492D6E"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7.973</w:t>
            </w:r>
          </w:p>
        </w:tc>
      </w:tr>
      <w:tr w:rsidR="000201AE" w:rsidRPr="000201AE" w14:paraId="5C75D36B" w14:textId="77777777" w:rsidTr="003072B4">
        <w:trPr>
          <w:trHeight w:val="20"/>
        </w:trPr>
        <w:tc>
          <w:tcPr>
            <w:tcW w:w="3191" w:type="pct"/>
            <w:tcBorders>
              <w:top w:val="nil"/>
              <w:left w:val="nil"/>
              <w:bottom w:val="nil"/>
              <w:right w:val="nil"/>
            </w:tcBorders>
            <w:shd w:val="clear" w:color="auto" w:fill="auto"/>
            <w:noWrap/>
            <w:vAlign w:val="bottom"/>
            <w:hideMark/>
          </w:tcPr>
          <w:p w14:paraId="1188CBEC" w14:textId="77777777" w:rsidR="000201AE" w:rsidRPr="000201AE" w:rsidRDefault="000201AE" w:rsidP="000201AE">
            <w:pPr>
              <w:spacing w:after="0" w:line="240" w:lineRule="auto"/>
              <w:ind w:firstLineChars="200" w:firstLine="360"/>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Outros</w:t>
            </w:r>
          </w:p>
        </w:tc>
        <w:tc>
          <w:tcPr>
            <w:tcW w:w="874" w:type="pct"/>
            <w:tcBorders>
              <w:top w:val="nil"/>
              <w:left w:val="nil"/>
              <w:bottom w:val="nil"/>
              <w:right w:val="nil"/>
            </w:tcBorders>
            <w:shd w:val="clear" w:color="auto" w:fill="auto"/>
            <w:noWrap/>
            <w:vAlign w:val="bottom"/>
            <w:hideMark/>
          </w:tcPr>
          <w:p w14:paraId="4803EA5C" w14:textId="00728185"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w:t>
            </w:r>
          </w:p>
        </w:tc>
        <w:tc>
          <w:tcPr>
            <w:tcW w:w="73" w:type="pct"/>
            <w:tcBorders>
              <w:top w:val="nil"/>
              <w:left w:val="nil"/>
              <w:bottom w:val="nil"/>
              <w:right w:val="nil"/>
            </w:tcBorders>
            <w:shd w:val="clear" w:color="auto" w:fill="auto"/>
            <w:noWrap/>
            <w:vAlign w:val="bottom"/>
            <w:hideMark/>
          </w:tcPr>
          <w:p w14:paraId="5942AC27" w14:textId="77777777"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p>
        </w:tc>
        <w:tc>
          <w:tcPr>
            <w:tcW w:w="862" w:type="pct"/>
            <w:tcBorders>
              <w:top w:val="nil"/>
              <w:left w:val="nil"/>
              <w:bottom w:val="nil"/>
              <w:right w:val="nil"/>
            </w:tcBorders>
            <w:shd w:val="clear" w:color="auto" w:fill="auto"/>
            <w:noWrap/>
            <w:vAlign w:val="bottom"/>
            <w:hideMark/>
          </w:tcPr>
          <w:p w14:paraId="6DD3411C" w14:textId="72F4AF4A"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16.687</w:t>
            </w:r>
          </w:p>
        </w:tc>
      </w:tr>
      <w:tr w:rsidR="000201AE" w:rsidRPr="000201AE" w14:paraId="1A2A6533" w14:textId="77777777" w:rsidTr="003072B4">
        <w:trPr>
          <w:trHeight w:val="20"/>
        </w:trPr>
        <w:tc>
          <w:tcPr>
            <w:tcW w:w="3191" w:type="pct"/>
            <w:tcBorders>
              <w:top w:val="nil"/>
              <w:left w:val="nil"/>
              <w:bottom w:val="nil"/>
              <w:right w:val="nil"/>
            </w:tcBorders>
            <w:shd w:val="clear" w:color="auto" w:fill="auto"/>
            <w:noWrap/>
            <w:vAlign w:val="bottom"/>
            <w:hideMark/>
          </w:tcPr>
          <w:p w14:paraId="2F3CA0A4" w14:textId="77777777" w:rsidR="000201AE" w:rsidRPr="000201AE" w:rsidRDefault="000201AE" w:rsidP="000201AE">
            <w:pPr>
              <w:spacing w:after="0" w:line="240" w:lineRule="auto"/>
              <w:ind w:firstLineChars="200" w:firstLine="360"/>
              <w:rPr>
                <w:rFonts w:ascii="Verdana" w:eastAsia="Times New Roman" w:hAnsi="Verdana" w:cs="Calibri"/>
                <w:sz w:val="18"/>
                <w:szCs w:val="18"/>
                <w:lang w:eastAsia="pt-BR"/>
              </w:rPr>
            </w:pPr>
          </w:p>
        </w:tc>
        <w:tc>
          <w:tcPr>
            <w:tcW w:w="874" w:type="pct"/>
            <w:tcBorders>
              <w:top w:val="single" w:sz="4" w:space="0" w:color="000000"/>
              <w:left w:val="nil"/>
              <w:bottom w:val="double" w:sz="6" w:space="0" w:color="000000"/>
              <w:right w:val="nil"/>
            </w:tcBorders>
            <w:shd w:val="clear" w:color="auto" w:fill="auto"/>
            <w:noWrap/>
            <w:vAlign w:val="bottom"/>
            <w:hideMark/>
          </w:tcPr>
          <w:p w14:paraId="43EB7537" w14:textId="76C0EA88" w:rsidR="000201AE" w:rsidRPr="000201AE" w:rsidRDefault="000201AE" w:rsidP="000201AE">
            <w:pPr>
              <w:spacing w:after="0" w:line="240" w:lineRule="auto"/>
              <w:ind w:firstLineChars="200" w:firstLine="361"/>
              <w:jc w:val="right"/>
              <w:rPr>
                <w:rFonts w:ascii="Verdana" w:eastAsia="Times New Roman" w:hAnsi="Verdana" w:cs="Calibri"/>
                <w:b/>
                <w:bCs/>
                <w:sz w:val="18"/>
                <w:szCs w:val="18"/>
                <w:lang w:eastAsia="pt-BR"/>
              </w:rPr>
            </w:pPr>
            <w:r w:rsidRPr="000201AE">
              <w:rPr>
                <w:rFonts w:ascii="Verdana" w:eastAsia="Times New Roman" w:hAnsi="Verdana" w:cs="Calibri"/>
                <w:b/>
                <w:bCs/>
                <w:sz w:val="18"/>
                <w:szCs w:val="18"/>
                <w:lang w:eastAsia="pt-BR"/>
              </w:rPr>
              <w:t>2.490.009</w:t>
            </w:r>
          </w:p>
        </w:tc>
        <w:tc>
          <w:tcPr>
            <w:tcW w:w="73" w:type="pct"/>
            <w:tcBorders>
              <w:top w:val="nil"/>
              <w:left w:val="nil"/>
              <w:bottom w:val="nil"/>
              <w:right w:val="nil"/>
            </w:tcBorders>
            <w:shd w:val="clear" w:color="auto" w:fill="auto"/>
            <w:noWrap/>
            <w:vAlign w:val="bottom"/>
            <w:hideMark/>
          </w:tcPr>
          <w:p w14:paraId="3AFC9D51" w14:textId="77777777" w:rsidR="000201AE" w:rsidRPr="000201AE" w:rsidRDefault="000201AE" w:rsidP="000201AE">
            <w:pPr>
              <w:spacing w:after="0" w:line="240" w:lineRule="auto"/>
              <w:ind w:firstLineChars="200" w:firstLine="361"/>
              <w:jc w:val="right"/>
              <w:rPr>
                <w:rFonts w:ascii="Verdana" w:eastAsia="Times New Roman" w:hAnsi="Verdana" w:cs="Calibri"/>
                <w:b/>
                <w:bCs/>
                <w:sz w:val="18"/>
                <w:szCs w:val="18"/>
                <w:lang w:eastAsia="pt-BR"/>
              </w:rPr>
            </w:pPr>
          </w:p>
        </w:tc>
        <w:tc>
          <w:tcPr>
            <w:tcW w:w="862" w:type="pct"/>
            <w:tcBorders>
              <w:top w:val="single" w:sz="4" w:space="0" w:color="000000"/>
              <w:left w:val="nil"/>
              <w:bottom w:val="double" w:sz="6" w:space="0" w:color="000000"/>
              <w:right w:val="nil"/>
            </w:tcBorders>
            <w:shd w:val="clear" w:color="auto" w:fill="auto"/>
            <w:noWrap/>
            <w:vAlign w:val="bottom"/>
            <w:hideMark/>
          </w:tcPr>
          <w:p w14:paraId="082BFA35" w14:textId="3FB8175C" w:rsidR="000201AE" w:rsidRPr="000201AE" w:rsidRDefault="000201AE" w:rsidP="000201AE">
            <w:pPr>
              <w:spacing w:after="0" w:line="240" w:lineRule="auto"/>
              <w:ind w:firstLineChars="200" w:firstLine="361"/>
              <w:jc w:val="right"/>
              <w:rPr>
                <w:rFonts w:ascii="Verdana" w:eastAsia="Times New Roman" w:hAnsi="Verdana" w:cs="Calibri"/>
                <w:b/>
                <w:bCs/>
                <w:sz w:val="18"/>
                <w:szCs w:val="18"/>
                <w:lang w:eastAsia="pt-BR"/>
              </w:rPr>
            </w:pPr>
            <w:r w:rsidRPr="000201AE">
              <w:rPr>
                <w:rFonts w:ascii="Verdana" w:eastAsia="Times New Roman" w:hAnsi="Verdana" w:cs="Calibri"/>
                <w:b/>
                <w:bCs/>
                <w:sz w:val="18"/>
                <w:szCs w:val="18"/>
                <w:lang w:eastAsia="pt-BR"/>
              </w:rPr>
              <w:t>2.666.684</w:t>
            </w:r>
          </w:p>
        </w:tc>
      </w:tr>
      <w:tr w:rsidR="000201AE" w:rsidRPr="000201AE" w14:paraId="467E0C05" w14:textId="77777777" w:rsidTr="003072B4">
        <w:trPr>
          <w:trHeight w:val="20"/>
        </w:trPr>
        <w:tc>
          <w:tcPr>
            <w:tcW w:w="3191" w:type="pct"/>
            <w:tcBorders>
              <w:top w:val="nil"/>
              <w:left w:val="nil"/>
              <w:bottom w:val="nil"/>
              <w:right w:val="nil"/>
            </w:tcBorders>
            <w:shd w:val="clear" w:color="auto" w:fill="auto"/>
            <w:noWrap/>
            <w:vAlign w:val="bottom"/>
            <w:hideMark/>
          </w:tcPr>
          <w:p w14:paraId="677913DE" w14:textId="77777777" w:rsidR="000201AE" w:rsidRPr="000201AE" w:rsidRDefault="000201AE" w:rsidP="000201AE">
            <w:pPr>
              <w:spacing w:after="0" w:line="240" w:lineRule="auto"/>
              <w:ind w:firstLineChars="200" w:firstLine="361"/>
              <w:rPr>
                <w:rFonts w:ascii="Verdana" w:eastAsia="Times New Roman" w:hAnsi="Verdana" w:cs="Calibri"/>
                <w:b/>
                <w:bCs/>
                <w:sz w:val="18"/>
                <w:szCs w:val="18"/>
                <w:lang w:eastAsia="pt-BR"/>
              </w:rPr>
            </w:pPr>
          </w:p>
        </w:tc>
        <w:tc>
          <w:tcPr>
            <w:tcW w:w="874" w:type="pct"/>
            <w:tcBorders>
              <w:top w:val="nil"/>
              <w:left w:val="nil"/>
              <w:bottom w:val="nil"/>
              <w:right w:val="nil"/>
            </w:tcBorders>
            <w:shd w:val="clear" w:color="auto" w:fill="auto"/>
            <w:noWrap/>
            <w:vAlign w:val="bottom"/>
            <w:hideMark/>
          </w:tcPr>
          <w:p w14:paraId="2AFC0A49" w14:textId="77777777" w:rsidR="000201AE" w:rsidRPr="000201AE" w:rsidRDefault="000201AE" w:rsidP="000201AE">
            <w:pPr>
              <w:spacing w:after="0" w:line="240" w:lineRule="auto"/>
              <w:jc w:val="right"/>
              <w:rPr>
                <w:rFonts w:ascii="Times New Roman" w:eastAsia="Times New Roman" w:hAnsi="Times New Roman" w:cs="Times New Roman"/>
                <w:sz w:val="20"/>
                <w:szCs w:val="20"/>
                <w:lang w:eastAsia="pt-BR"/>
              </w:rPr>
            </w:pPr>
          </w:p>
        </w:tc>
        <w:tc>
          <w:tcPr>
            <w:tcW w:w="73" w:type="pct"/>
            <w:tcBorders>
              <w:top w:val="nil"/>
              <w:left w:val="nil"/>
              <w:bottom w:val="nil"/>
              <w:right w:val="nil"/>
            </w:tcBorders>
            <w:shd w:val="clear" w:color="auto" w:fill="auto"/>
            <w:noWrap/>
            <w:vAlign w:val="bottom"/>
            <w:hideMark/>
          </w:tcPr>
          <w:p w14:paraId="222355CF" w14:textId="77777777" w:rsidR="000201AE" w:rsidRPr="000201AE" w:rsidRDefault="000201AE" w:rsidP="000201AE">
            <w:pPr>
              <w:spacing w:after="0" w:line="240" w:lineRule="auto"/>
              <w:ind w:firstLineChars="200" w:firstLine="400"/>
              <w:jc w:val="right"/>
              <w:rPr>
                <w:rFonts w:ascii="Times New Roman" w:eastAsia="Times New Roman" w:hAnsi="Times New Roman" w:cs="Times New Roman"/>
                <w:sz w:val="20"/>
                <w:szCs w:val="20"/>
                <w:lang w:eastAsia="pt-BR"/>
              </w:rPr>
            </w:pPr>
          </w:p>
        </w:tc>
        <w:tc>
          <w:tcPr>
            <w:tcW w:w="862" w:type="pct"/>
            <w:tcBorders>
              <w:top w:val="nil"/>
              <w:left w:val="nil"/>
              <w:bottom w:val="nil"/>
              <w:right w:val="nil"/>
            </w:tcBorders>
            <w:shd w:val="clear" w:color="auto" w:fill="auto"/>
            <w:noWrap/>
            <w:vAlign w:val="bottom"/>
            <w:hideMark/>
          </w:tcPr>
          <w:p w14:paraId="409F9E05" w14:textId="77777777" w:rsidR="000201AE" w:rsidRPr="000201AE" w:rsidRDefault="000201AE" w:rsidP="000201AE">
            <w:pPr>
              <w:spacing w:after="0" w:line="240" w:lineRule="auto"/>
              <w:jc w:val="right"/>
              <w:rPr>
                <w:rFonts w:ascii="Times New Roman" w:eastAsia="Times New Roman" w:hAnsi="Times New Roman" w:cs="Times New Roman"/>
                <w:sz w:val="20"/>
                <w:szCs w:val="20"/>
                <w:lang w:eastAsia="pt-BR"/>
              </w:rPr>
            </w:pPr>
          </w:p>
        </w:tc>
      </w:tr>
      <w:tr w:rsidR="000201AE" w:rsidRPr="000201AE" w14:paraId="1A66F6E2" w14:textId="77777777" w:rsidTr="003072B4">
        <w:trPr>
          <w:trHeight w:val="20"/>
        </w:trPr>
        <w:tc>
          <w:tcPr>
            <w:tcW w:w="3191" w:type="pct"/>
            <w:tcBorders>
              <w:top w:val="nil"/>
              <w:left w:val="nil"/>
              <w:bottom w:val="nil"/>
              <w:right w:val="nil"/>
            </w:tcBorders>
            <w:shd w:val="clear" w:color="auto" w:fill="auto"/>
            <w:vAlign w:val="bottom"/>
            <w:hideMark/>
          </w:tcPr>
          <w:p w14:paraId="6C9FEC5D" w14:textId="77777777" w:rsidR="000201AE" w:rsidRPr="000201AE" w:rsidRDefault="000201AE" w:rsidP="000201AE">
            <w:pPr>
              <w:spacing w:after="0" w:line="240" w:lineRule="auto"/>
              <w:ind w:firstLineChars="200" w:firstLine="360"/>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Pagamento de imposto de renda e contribuição social</w:t>
            </w:r>
          </w:p>
        </w:tc>
        <w:tc>
          <w:tcPr>
            <w:tcW w:w="874" w:type="pct"/>
            <w:tcBorders>
              <w:top w:val="nil"/>
              <w:left w:val="nil"/>
              <w:bottom w:val="nil"/>
              <w:right w:val="nil"/>
            </w:tcBorders>
            <w:shd w:val="clear" w:color="auto" w:fill="auto"/>
            <w:noWrap/>
            <w:vAlign w:val="bottom"/>
            <w:hideMark/>
          </w:tcPr>
          <w:p w14:paraId="4E3B8FBD" w14:textId="6CE8E446"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(51.653)</w:t>
            </w:r>
          </w:p>
        </w:tc>
        <w:tc>
          <w:tcPr>
            <w:tcW w:w="73" w:type="pct"/>
            <w:tcBorders>
              <w:top w:val="nil"/>
              <w:left w:val="nil"/>
              <w:bottom w:val="nil"/>
              <w:right w:val="nil"/>
            </w:tcBorders>
            <w:shd w:val="clear" w:color="auto" w:fill="auto"/>
            <w:noWrap/>
            <w:vAlign w:val="bottom"/>
            <w:hideMark/>
          </w:tcPr>
          <w:p w14:paraId="5E062B7C" w14:textId="77777777"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p>
        </w:tc>
        <w:tc>
          <w:tcPr>
            <w:tcW w:w="862" w:type="pct"/>
            <w:tcBorders>
              <w:top w:val="nil"/>
              <w:left w:val="nil"/>
              <w:bottom w:val="nil"/>
              <w:right w:val="nil"/>
            </w:tcBorders>
            <w:shd w:val="clear" w:color="auto" w:fill="auto"/>
            <w:noWrap/>
            <w:vAlign w:val="bottom"/>
            <w:hideMark/>
          </w:tcPr>
          <w:p w14:paraId="2DBF2E7B" w14:textId="252DBA6C"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(69.235)</w:t>
            </w:r>
          </w:p>
        </w:tc>
      </w:tr>
      <w:tr w:rsidR="000201AE" w:rsidRPr="000201AE" w14:paraId="0C3BC07F" w14:textId="77777777" w:rsidTr="003072B4">
        <w:trPr>
          <w:trHeight w:val="20"/>
        </w:trPr>
        <w:tc>
          <w:tcPr>
            <w:tcW w:w="3191" w:type="pct"/>
            <w:tcBorders>
              <w:top w:val="nil"/>
              <w:left w:val="nil"/>
              <w:bottom w:val="nil"/>
              <w:right w:val="nil"/>
            </w:tcBorders>
            <w:shd w:val="clear" w:color="auto" w:fill="auto"/>
            <w:vAlign w:val="bottom"/>
            <w:hideMark/>
          </w:tcPr>
          <w:p w14:paraId="7B19F98A" w14:textId="77777777" w:rsidR="000201AE" w:rsidRPr="000201AE" w:rsidRDefault="000201AE" w:rsidP="000201AE">
            <w:pPr>
              <w:spacing w:after="0" w:line="240" w:lineRule="auto"/>
              <w:ind w:firstLineChars="200" w:firstLine="360"/>
              <w:rPr>
                <w:rFonts w:ascii="Verdana" w:eastAsia="Times New Roman" w:hAnsi="Verdana" w:cs="Calibri"/>
                <w:sz w:val="18"/>
                <w:szCs w:val="18"/>
                <w:lang w:eastAsia="pt-BR"/>
              </w:rPr>
            </w:pPr>
          </w:p>
        </w:tc>
        <w:tc>
          <w:tcPr>
            <w:tcW w:w="874" w:type="pct"/>
            <w:tcBorders>
              <w:top w:val="nil"/>
              <w:left w:val="nil"/>
              <w:bottom w:val="nil"/>
              <w:right w:val="nil"/>
            </w:tcBorders>
            <w:shd w:val="clear" w:color="auto" w:fill="auto"/>
            <w:noWrap/>
            <w:vAlign w:val="bottom"/>
            <w:hideMark/>
          </w:tcPr>
          <w:p w14:paraId="2E87213D" w14:textId="77777777" w:rsidR="000201AE" w:rsidRPr="000201AE" w:rsidRDefault="000201AE" w:rsidP="000201AE">
            <w:pPr>
              <w:spacing w:after="0" w:line="240" w:lineRule="auto"/>
              <w:ind w:firstLineChars="200" w:firstLine="400"/>
              <w:jc w:val="right"/>
              <w:rPr>
                <w:rFonts w:ascii="Times New Roman" w:eastAsia="Times New Roman" w:hAnsi="Times New Roman" w:cs="Times New Roman"/>
                <w:sz w:val="20"/>
                <w:szCs w:val="20"/>
                <w:lang w:eastAsia="pt-BR"/>
              </w:rPr>
            </w:pPr>
          </w:p>
        </w:tc>
        <w:tc>
          <w:tcPr>
            <w:tcW w:w="73" w:type="pct"/>
            <w:tcBorders>
              <w:top w:val="nil"/>
              <w:left w:val="nil"/>
              <w:bottom w:val="nil"/>
              <w:right w:val="nil"/>
            </w:tcBorders>
            <w:shd w:val="clear" w:color="auto" w:fill="auto"/>
            <w:noWrap/>
            <w:vAlign w:val="bottom"/>
            <w:hideMark/>
          </w:tcPr>
          <w:p w14:paraId="1112EF9D" w14:textId="77777777" w:rsidR="000201AE" w:rsidRPr="000201AE" w:rsidRDefault="000201AE" w:rsidP="000201AE">
            <w:pPr>
              <w:spacing w:after="0" w:line="240" w:lineRule="auto"/>
              <w:ind w:firstLineChars="200" w:firstLine="400"/>
              <w:jc w:val="right"/>
              <w:rPr>
                <w:rFonts w:ascii="Times New Roman" w:eastAsia="Times New Roman" w:hAnsi="Times New Roman" w:cs="Times New Roman"/>
                <w:sz w:val="20"/>
                <w:szCs w:val="20"/>
                <w:lang w:eastAsia="pt-BR"/>
              </w:rPr>
            </w:pPr>
          </w:p>
        </w:tc>
        <w:tc>
          <w:tcPr>
            <w:tcW w:w="862" w:type="pct"/>
            <w:tcBorders>
              <w:top w:val="nil"/>
              <w:left w:val="nil"/>
              <w:bottom w:val="nil"/>
              <w:right w:val="nil"/>
            </w:tcBorders>
            <w:shd w:val="clear" w:color="auto" w:fill="auto"/>
            <w:noWrap/>
            <w:vAlign w:val="bottom"/>
            <w:hideMark/>
          </w:tcPr>
          <w:p w14:paraId="1E7F1455" w14:textId="77777777" w:rsidR="000201AE" w:rsidRPr="000201AE" w:rsidRDefault="000201AE" w:rsidP="000201AE">
            <w:pPr>
              <w:spacing w:after="0" w:line="240" w:lineRule="auto"/>
              <w:jc w:val="right"/>
              <w:rPr>
                <w:rFonts w:ascii="Times New Roman" w:eastAsia="Times New Roman" w:hAnsi="Times New Roman" w:cs="Times New Roman"/>
                <w:sz w:val="20"/>
                <w:szCs w:val="20"/>
                <w:lang w:eastAsia="pt-BR"/>
              </w:rPr>
            </w:pPr>
          </w:p>
        </w:tc>
      </w:tr>
      <w:tr w:rsidR="000201AE" w:rsidRPr="000201AE" w14:paraId="78EB81FB" w14:textId="77777777" w:rsidTr="003072B4">
        <w:trPr>
          <w:trHeight w:val="20"/>
        </w:trPr>
        <w:tc>
          <w:tcPr>
            <w:tcW w:w="3191" w:type="pct"/>
            <w:tcBorders>
              <w:top w:val="nil"/>
              <w:left w:val="nil"/>
              <w:bottom w:val="nil"/>
              <w:right w:val="nil"/>
            </w:tcBorders>
            <w:shd w:val="clear" w:color="auto" w:fill="auto"/>
            <w:vAlign w:val="bottom"/>
            <w:hideMark/>
          </w:tcPr>
          <w:p w14:paraId="6B5483C7" w14:textId="77777777" w:rsidR="000201AE" w:rsidRPr="000201AE" w:rsidRDefault="000201AE" w:rsidP="000201AE">
            <w:pPr>
              <w:spacing w:after="0" w:line="240" w:lineRule="auto"/>
              <w:rPr>
                <w:rFonts w:ascii="Verdana" w:eastAsia="Times New Roman" w:hAnsi="Verdana" w:cs="Calibri"/>
                <w:b/>
                <w:bCs/>
                <w:sz w:val="18"/>
                <w:szCs w:val="18"/>
                <w:lang w:eastAsia="pt-BR"/>
              </w:rPr>
            </w:pPr>
            <w:r w:rsidRPr="000201AE">
              <w:rPr>
                <w:rFonts w:ascii="Verdana" w:eastAsia="Times New Roman" w:hAnsi="Verdana" w:cs="Calibri"/>
                <w:b/>
                <w:bCs/>
                <w:sz w:val="18"/>
                <w:szCs w:val="18"/>
                <w:lang w:eastAsia="pt-BR"/>
              </w:rPr>
              <w:t>Caixa líquido utilizado nas atividades operacionais</w:t>
            </w:r>
          </w:p>
        </w:tc>
        <w:tc>
          <w:tcPr>
            <w:tcW w:w="874" w:type="pct"/>
            <w:tcBorders>
              <w:top w:val="single" w:sz="4" w:space="0" w:color="000000"/>
              <w:left w:val="nil"/>
              <w:bottom w:val="double" w:sz="6" w:space="0" w:color="000000"/>
              <w:right w:val="nil"/>
            </w:tcBorders>
            <w:shd w:val="clear" w:color="auto" w:fill="auto"/>
            <w:noWrap/>
            <w:vAlign w:val="bottom"/>
            <w:hideMark/>
          </w:tcPr>
          <w:p w14:paraId="2450599D" w14:textId="5BBB0985" w:rsidR="000201AE" w:rsidRPr="000201AE" w:rsidRDefault="000201AE" w:rsidP="000201AE">
            <w:pPr>
              <w:spacing w:after="0" w:line="240" w:lineRule="auto"/>
              <w:ind w:firstLineChars="200" w:firstLine="361"/>
              <w:jc w:val="right"/>
              <w:rPr>
                <w:rFonts w:ascii="Verdana" w:eastAsia="Times New Roman" w:hAnsi="Verdana" w:cs="Calibri"/>
                <w:b/>
                <w:bCs/>
                <w:sz w:val="18"/>
                <w:szCs w:val="18"/>
                <w:lang w:eastAsia="pt-BR"/>
              </w:rPr>
            </w:pPr>
            <w:r w:rsidRPr="000201AE">
              <w:rPr>
                <w:rFonts w:ascii="Verdana" w:eastAsia="Times New Roman" w:hAnsi="Verdana" w:cs="Calibri"/>
                <w:b/>
                <w:bCs/>
                <w:sz w:val="18"/>
                <w:szCs w:val="18"/>
                <w:lang w:eastAsia="pt-BR"/>
              </w:rPr>
              <w:t>1.026.691</w:t>
            </w:r>
          </w:p>
        </w:tc>
        <w:tc>
          <w:tcPr>
            <w:tcW w:w="73" w:type="pct"/>
            <w:tcBorders>
              <w:top w:val="nil"/>
              <w:left w:val="nil"/>
              <w:bottom w:val="nil"/>
              <w:right w:val="nil"/>
            </w:tcBorders>
            <w:shd w:val="clear" w:color="auto" w:fill="auto"/>
            <w:noWrap/>
            <w:vAlign w:val="bottom"/>
            <w:hideMark/>
          </w:tcPr>
          <w:p w14:paraId="398A9A4D" w14:textId="77777777" w:rsidR="000201AE" w:rsidRPr="000201AE" w:rsidRDefault="000201AE" w:rsidP="000201AE">
            <w:pPr>
              <w:spacing w:after="0" w:line="240" w:lineRule="auto"/>
              <w:ind w:firstLineChars="200" w:firstLine="361"/>
              <w:jc w:val="right"/>
              <w:rPr>
                <w:rFonts w:ascii="Verdana" w:eastAsia="Times New Roman" w:hAnsi="Verdana" w:cs="Calibri"/>
                <w:b/>
                <w:bCs/>
                <w:sz w:val="18"/>
                <w:szCs w:val="18"/>
                <w:lang w:eastAsia="pt-BR"/>
              </w:rPr>
            </w:pPr>
          </w:p>
        </w:tc>
        <w:tc>
          <w:tcPr>
            <w:tcW w:w="862" w:type="pct"/>
            <w:tcBorders>
              <w:top w:val="single" w:sz="4" w:space="0" w:color="000000"/>
              <w:left w:val="nil"/>
              <w:bottom w:val="double" w:sz="6" w:space="0" w:color="000000"/>
              <w:right w:val="nil"/>
            </w:tcBorders>
            <w:shd w:val="clear" w:color="auto" w:fill="auto"/>
            <w:noWrap/>
            <w:vAlign w:val="bottom"/>
            <w:hideMark/>
          </w:tcPr>
          <w:p w14:paraId="154E53A4" w14:textId="3B212E83" w:rsidR="000201AE" w:rsidRPr="000201AE" w:rsidRDefault="000201AE" w:rsidP="000201AE">
            <w:pPr>
              <w:spacing w:after="0" w:line="240" w:lineRule="auto"/>
              <w:ind w:firstLineChars="200" w:firstLine="361"/>
              <w:jc w:val="right"/>
              <w:rPr>
                <w:rFonts w:ascii="Verdana" w:eastAsia="Times New Roman" w:hAnsi="Verdana" w:cs="Calibri"/>
                <w:b/>
                <w:bCs/>
                <w:sz w:val="18"/>
                <w:szCs w:val="18"/>
                <w:lang w:eastAsia="pt-BR"/>
              </w:rPr>
            </w:pPr>
            <w:r w:rsidRPr="000201AE">
              <w:rPr>
                <w:rFonts w:ascii="Verdana" w:eastAsia="Times New Roman" w:hAnsi="Verdana" w:cs="Calibri"/>
                <w:b/>
                <w:bCs/>
                <w:sz w:val="18"/>
                <w:szCs w:val="18"/>
                <w:lang w:eastAsia="pt-BR"/>
              </w:rPr>
              <w:t>1.300.916</w:t>
            </w:r>
          </w:p>
        </w:tc>
      </w:tr>
      <w:tr w:rsidR="000201AE" w:rsidRPr="000201AE" w14:paraId="382F0F1F" w14:textId="77777777" w:rsidTr="003072B4">
        <w:trPr>
          <w:trHeight w:val="20"/>
        </w:trPr>
        <w:tc>
          <w:tcPr>
            <w:tcW w:w="3191" w:type="pct"/>
            <w:tcBorders>
              <w:top w:val="nil"/>
              <w:left w:val="nil"/>
              <w:bottom w:val="nil"/>
              <w:right w:val="nil"/>
            </w:tcBorders>
            <w:shd w:val="clear" w:color="auto" w:fill="auto"/>
            <w:noWrap/>
            <w:vAlign w:val="bottom"/>
            <w:hideMark/>
          </w:tcPr>
          <w:p w14:paraId="7DE67E5B" w14:textId="77777777" w:rsidR="000201AE" w:rsidRPr="000201AE" w:rsidRDefault="000201AE" w:rsidP="000201AE">
            <w:pPr>
              <w:spacing w:after="0" w:line="240" w:lineRule="auto"/>
              <w:ind w:firstLineChars="200" w:firstLine="201"/>
              <w:rPr>
                <w:rFonts w:ascii="Verdana" w:eastAsia="Times New Roman" w:hAnsi="Verdana" w:cs="Calibri"/>
                <w:b/>
                <w:bCs/>
                <w:sz w:val="10"/>
                <w:szCs w:val="10"/>
                <w:lang w:eastAsia="pt-BR"/>
              </w:rPr>
            </w:pPr>
          </w:p>
        </w:tc>
        <w:tc>
          <w:tcPr>
            <w:tcW w:w="874" w:type="pct"/>
            <w:tcBorders>
              <w:top w:val="nil"/>
              <w:left w:val="nil"/>
              <w:bottom w:val="nil"/>
              <w:right w:val="nil"/>
            </w:tcBorders>
            <w:shd w:val="clear" w:color="auto" w:fill="auto"/>
            <w:noWrap/>
            <w:vAlign w:val="bottom"/>
            <w:hideMark/>
          </w:tcPr>
          <w:p w14:paraId="0E8A52C9" w14:textId="77777777" w:rsidR="000201AE" w:rsidRPr="000201AE" w:rsidRDefault="000201AE" w:rsidP="000201AE">
            <w:pPr>
              <w:spacing w:after="0" w:line="240" w:lineRule="auto"/>
              <w:jc w:val="right"/>
              <w:rPr>
                <w:rFonts w:ascii="Times New Roman" w:eastAsia="Times New Roman" w:hAnsi="Times New Roman" w:cs="Times New Roman"/>
                <w:sz w:val="10"/>
                <w:szCs w:val="10"/>
                <w:lang w:eastAsia="pt-BR"/>
              </w:rPr>
            </w:pPr>
          </w:p>
        </w:tc>
        <w:tc>
          <w:tcPr>
            <w:tcW w:w="73" w:type="pct"/>
            <w:tcBorders>
              <w:top w:val="nil"/>
              <w:left w:val="nil"/>
              <w:bottom w:val="nil"/>
              <w:right w:val="nil"/>
            </w:tcBorders>
            <w:shd w:val="clear" w:color="auto" w:fill="auto"/>
            <w:noWrap/>
            <w:vAlign w:val="bottom"/>
            <w:hideMark/>
          </w:tcPr>
          <w:p w14:paraId="6B96A7E2" w14:textId="77777777" w:rsidR="000201AE" w:rsidRPr="000201AE" w:rsidRDefault="000201AE" w:rsidP="000201AE">
            <w:pPr>
              <w:spacing w:after="0" w:line="240" w:lineRule="auto"/>
              <w:ind w:firstLineChars="200" w:firstLine="200"/>
              <w:jc w:val="right"/>
              <w:rPr>
                <w:rFonts w:ascii="Times New Roman" w:eastAsia="Times New Roman" w:hAnsi="Times New Roman" w:cs="Times New Roman"/>
                <w:sz w:val="10"/>
                <w:szCs w:val="10"/>
                <w:lang w:eastAsia="pt-BR"/>
              </w:rPr>
            </w:pPr>
          </w:p>
        </w:tc>
        <w:tc>
          <w:tcPr>
            <w:tcW w:w="862" w:type="pct"/>
            <w:tcBorders>
              <w:top w:val="nil"/>
              <w:left w:val="nil"/>
              <w:bottom w:val="nil"/>
              <w:right w:val="nil"/>
            </w:tcBorders>
            <w:shd w:val="clear" w:color="auto" w:fill="auto"/>
            <w:noWrap/>
            <w:vAlign w:val="bottom"/>
            <w:hideMark/>
          </w:tcPr>
          <w:p w14:paraId="0DB37228" w14:textId="77777777" w:rsidR="000201AE" w:rsidRPr="000201AE" w:rsidRDefault="000201AE" w:rsidP="000201AE">
            <w:pPr>
              <w:spacing w:after="0" w:line="240" w:lineRule="auto"/>
              <w:jc w:val="right"/>
              <w:rPr>
                <w:rFonts w:ascii="Times New Roman" w:eastAsia="Times New Roman" w:hAnsi="Times New Roman" w:cs="Times New Roman"/>
                <w:sz w:val="10"/>
                <w:szCs w:val="10"/>
                <w:lang w:eastAsia="pt-BR"/>
              </w:rPr>
            </w:pPr>
          </w:p>
        </w:tc>
      </w:tr>
      <w:tr w:rsidR="000201AE" w:rsidRPr="000201AE" w14:paraId="6258962B" w14:textId="77777777" w:rsidTr="003072B4">
        <w:trPr>
          <w:trHeight w:val="20"/>
        </w:trPr>
        <w:tc>
          <w:tcPr>
            <w:tcW w:w="3191" w:type="pct"/>
            <w:tcBorders>
              <w:top w:val="nil"/>
              <w:left w:val="nil"/>
              <w:bottom w:val="nil"/>
              <w:right w:val="nil"/>
            </w:tcBorders>
            <w:shd w:val="clear" w:color="auto" w:fill="auto"/>
            <w:noWrap/>
            <w:vAlign w:val="bottom"/>
            <w:hideMark/>
          </w:tcPr>
          <w:p w14:paraId="0063E0A6" w14:textId="77777777" w:rsidR="000201AE" w:rsidRPr="000201AE" w:rsidRDefault="000201AE" w:rsidP="000201AE">
            <w:pPr>
              <w:spacing w:after="0" w:line="240" w:lineRule="auto"/>
              <w:ind w:firstLineChars="200" w:firstLine="400"/>
              <w:rPr>
                <w:rFonts w:ascii="Times New Roman" w:eastAsia="Times New Roman" w:hAnsi="Times New Roman" w:cs="Times New Roman"/>
                <w:sz w:val="20"/>
                <w:szCs w:val="20"/>
                <w:lang w:eastAsia="pt-BR"/>
              </w:rPr>
            </w:pPr>
          </w:p>
        </w:tc>
        <w:tc>
          <w:tcPr>
            <w:tcW w:w="874" w:type="pct"/>
            <w:tcBorders>
              <w:top w:val="nil"/>
              <w:left w:val="nil"/>
              <w:bottom w:val="nil"/>
              <w:right w:val="nil"/>
            </w:tcBorders>
            <w:shd w:val="clear" w:color="auto" w:fill="auto"/>
            <w:noWrap/>
            <w:vAlign w:val="bottom"/>
            <w:hideMark/>
          </w:tcPr>
          <w:p w14:paraId="12ADDF41" w14:textId="77777777" w:rsidR="000201AE" w:rsidRPr="000201AE" w:rsidRDefault="000201AE" w:rsidP="000201AE">
            <w:pPr>
              <w:spacing w:after="0" w:line="240" w:lineRule="auto"/>
              <w:jc w:val="right"/>
              <w:rPr>
                <w:rFonts w:ascii="Times New Roman" w:eastAsia="Times New Roman" w:hAnsi="Times New Roman" w:cs="Times New Roman"/>
                <w:sz w:val="20"/>
                <w:szCs w:val="20"/>
                <w:lang w:eastAsia="pt-BR"/>
              </w:rPr>
            </w:pPr>
          </w:p>
        </w:tc>
        <w:tc>
          <w:tcPr>
            <w:tcW w:w="73" w:type="pct"/>
            <w:tcBorders>
              <w:top w:val="nil"/>
              <w:left w:val="nil"/>
              <w:bottom w:val="nil"/>
              <w:right w:val="nil"/>
            </w:tcBorders>
            <w:shd w:val="clear" w:color="auto" w:fill="auto"/>
            <w:noWrap/>
            <w:vAlign w:val="bottom"/>
            <w:hideMark/>
          </w:tcPr>
          <w:p w14:paraId="335A74C4" w14:textId="77777777" w:rsidR="000201AE" w:rsidRPr="000201AE" w:rsidRDefault="000201AE" w:rsidP="000201AE">
            <w:pPr>
              <w:spacing w:after="0" w:line="240" w:lineRule="auto"/>
              <w:ind w:firstLineChars="200" w:firstLine="400"/>
              <w:jc w:val="right"/>
              <w:rPr>
                <w:rFonts w:ascii="Times New Roman" w:eastAsia="Times New Roman" w:hAnsi="Times New Roman" w:cs="Times New Roman"/>
                <w:sz w:val="20"/>
                <w:szCs w:val="20"/>
                <w:lang w:eastAsia="pt-BR"/>
              </w:rPr>
            </w:pPr>
          </w:p>
        </w:tc>
        <w:tc>
          <w:tcPr>
            <w:tcW w:w="862" w:type="pct"/>
            <w:tcBorders>
              <w:top w:val="nil"/>
              <w:left w:val="nil"/>
              <w:bottom w:val="nil"/>
              <w:right w:val="nil"/>
            </w:tcBorders>
            <w:shd w:val="clear" w:color="auto" w:fill="auto"/>
            <w:noWrap/>
            <w:vAlign w:val="bottom"/>
            <w:hideMark/>
          </w:tcPr>
          <w:p w14:paraId="303E553B" w14:textId="77777777" w:rsidR="000201AE" w:rsidRPr="000201AE" w:rsidRDefault="000201AE" w:rsidP="000201AE">
            <w:pPr>
              <w:spacing w:after="0" w:line="240" w:lineRule="auto"/>
              <w:jc w:val="right"/>
              <w:rPr>
                <w:rFonts w:ascii="Times New Roman" w:eastAsia="Times New Roman" w:hAnsi="Times New Roman" w:cs="Times New Roman"/>
                <w:sz w:val="20"/>
                <w:szCs w:val="20"/>
                <w:lang w:eastAsia="pt-BR"/>
              </w:rPr>
            </w:pPr>
          </w:p>
        </w:tc>
      </w:tr>
      <w:tr w:rsidR="000201AE" w:rsidRPr="000201AE" w14:paraId="4966C8D6" w14:textId="77777777" w:rsidTr="003072B4">
        <w:trPr>
          <w:trHeight w:val="20"/>
        </w:trPr>
        <w:tc>
          <w:tcPr>
            <w:tcW w:w="3191" w:type="pct"/>
            <w:tcBorders>
              <w:top w:val="nil"/>
              <w:left w:val="nil"/>
              <w:bottom w:val="nil"/>
              <w:right w:val="nil"/>
            </w:tcBorders>
            <w:shd w:val="clear" w:color="auto" w:fill="auto"/>
            <w:noWrap/>
            <w:vAlign w:val="center"/>
            <w:hideMark/>
          </w:tcPr>
          <w:p w14:paraId="7B85D260" w14:textId="77777777" w:rsidR="000201AE" w:rsidRPr="000201AE" w:rsidRDefault="000201AE" w:rsidP="000201AE">
            <w:pPr>
              <w:spacing w:after="0" w:line="240" w:lineRule="auto"/>
              <w:jc w:val="center"/>
              <w:rPr>
                <w:rFonts w:ascii="Verdana" w:eastAsia="Times New Roman" w:hAnsi="Verdana" w:cs="Calibri"/>
                <w:b/>
                <w:bCs/>
                <w:sz w:val="18"/>
                <w:szCs w:val="18"/>
                <w:lang w:eastAsia="pt-BR"/>
              </w:rPr>
            </w:pPr>
            <w:r w:rsidRPr="000201AE">
              <w:rPr>
                <w:rFonts w:ascii="Verdana" w:eastAsia="Times New Roman" w:hAnsi="Verdana" w:cs="Calibri"/>
                <w:b/>
                <w:bCs/>
                <w:sz w:val="18"/>
                <w:szCs w:val="18"/>
                <w:lang w:eastAsia="pt-BR"/>
              </w:rPr>
              <w:t>ATIVIDADES DE FINANCIAMENTO</w:t>
            </w:r>
          </w:p>
        </w:tc>
        <w:tc>
          <w:tcPr>
            <w:tcW w:w="874" w:type="pct"/>
            <w:tcBorders>
              <w:top w:val="nil"/>
              <w:left w:val="nil"/>
              <w:bottom w:val="nil"/>
              <w:right w:val="nil"/>
            </w:tcBorders>
            <w:shd w:val="clear" w:color="auto" w:fill="auto"/>
            <w:noWrap/>
            <w:vAlign w:val="bottom"/>
            <w:hideMark/>
          </w:tcPr>
          <w:p w14:paraId="57E49626" w14:textId="77777777" w:rsidR="000201AE" w:rsidRPr="000201AE" w:rsidRDefault="000201AE" w:rsidP="000201AE">
            <w:pPr>
              <w:spacing w:after="0" w:line="240" w:lineRule="auto"/>
              <w:jc w:val="right"/>
              <w:rPr>
                <w:rFonts w:ascii="Verdana" w:eastAsia="Times New Roman" w:hAnsi="Verdana" w:cs="Calibri"/>
                <w:b/>
                <w:bCs/>
                <w:sz w:val="18"/>
                <w:szCs w:val="18"/>
                <w:lang w:eastAsia="pt-BR"/>
              </w:rPr>
            </w:pPr>
          </w:p>
        </w:tc>
        <w:tc>
          <w:tcPr>
            <w:tcW w:w="73" w:type="pct"/>
            <w:tcBorders>
              <w:top w:val="nil"/>
              <w:left w:val="nil"/>
              <w:bottom w:val="nil"/>
              <w:right w:val="nil"/>
            </w:tcBorders>
            <w:shd w:val="clear" w:color="auto" w:fill="auto"/>
            <w:noWrap/>
            <w:vAlign w:val="bottom"/>
            <w:hideMark/>
          </w:tcPr>
          <w:p w14:paraId="77611195" w14:textId="77777777" w:rsidR="000201AE" w:rsidRPr="000201AE" w:rsidRDefault="000201AE" w:rsidP="000201AE">
            <w:pPr>
              <w:spacing w:after="0" w:line="240" w:lineRule="auto"/>
              <w:ind w:firstLineChars="200" w:firstLine="400"/>
              <w:jc w:val="right"/>
              <w:rPr>
                <w:rFonts w:ascii="Times New Roman" w:eastAsia="Times New Roman" w:hAnsi="Times New Roman" w:cs="Times New Roman"/>
                <w:sz w:val="20"/>
                <w:szCs w:val="20"/>
                <w:lang w:eastAsia="pt-BR"/>
              </w:rPr>
            </w:pPr>
          </w:p>
        </w:tc>
        <w:tc>
          <w:tcPr>
            <w:tcW w:w="862" w:type="pct"/>
            <w:tcBorders>
              <w:top w:val="nil"/>
              <w:left w:val="nil"/>
              <w:bottom w:val="nil"/>
              <w:right w:val="nil"/>
            </w:tcBorders>
            <w:shd w:val="clear" w:color="auto" w:fill="auto"/>
            <w:noWrap/>
            <w:vAlign w:val="bottom"/>
            <w:hideMark/>
          </w:tcPr>
          <w:p w14:paraId="61EC82E7" w14:textId="77777777" w:rsidR="000201AE" w:rsidRPr="000201AE" w:rsidRDefault="000201AE" w:rsidP="000201AE">
            <w:pPr>
              <w:spacing w:after="0" w:line="240" w:lineRule="auto"/>
              <w:jc w:val="right"/>
              <w:rPr>
                <w:rFonts w:ascii="Times New Roman" w:eastAsia="Times New Roman" w:hAnsi="Times New Roman" w:cs="Times New Roman"/>
                <w:sz w:val="20"/>
                <w:szCs w:val="20"/>
                <w:lang w:eastAsia="pt-BR"/>
              </w:rPr>
            </w:pPr>
          </w:p>
        </w:tc>
      </w:tr>
      <w:tr w:rsidR="000201AE" w:rsidRPr="000201AE" w14:paraId="6ADD7CCA" w14:textId="77777777" w:rsidTr="003072B4">
        <w:trPr>
          <w:trHeight w:val="20"/>
        </w:trPr>
        <w:tc>
          <w:tcPr>
            <w:tcW w:w="3191" w:type="pct"/>
            <w:tcBorders>
              <w:top w:val="nil"/>
              <w:left w:val="nil"/>
              <w:bottom w:val="nil"/>
              <w:right w:val="nil"/>
            </w:tcBorders>
            <w:shd w:val="clear" w:color="auto" w:fill="auto"/>
            <w:noWrap/>
            <w:vAlign w:val="bottom"/>
            <w:hideMark/>
          </w:tcPr>
          <w:p w14:paraId="07338952" w14:textId="77777777" w:rsidR="000201AE" w:rsidRPr="000201AE" w:rsidRDefault="000201AE" w:rsidP="000201AE">
            <w:pPr>
              <w:spacing w:after="0" w:line="240" w:lineRule="auto"/>
              <w:ind w:firstLineChars="200" w:firstLine="400"/>
              <w:rPr>
                <w:rFonts w:ascii="Times New Roman" w:eastAsia="Times New Roman" w:hAnsi="Times New Roman" w:cs="Times New Roman"/>
                <w:sz w:val="20"/>
                <w:szCs w:val="20"/>
                <w:lang w:eastAsia="pt-BR"/>
              </w:rPr>
            </w:pPr>
          </w:p>
        </w:tc>
        <w:tc>
          <w:tcPr>
            <w:tcW w:w="874" w:type="pct"/>
            <w:tcBorders>
              <w:top w:val="nil"/>
              <w:left w:val="nil"/>
              <w:bottom w:val="nil"/>
              <w:right w:val="nil"/>
            </w:tcBorders>
            <w:shd w:val="clear" w:color="auto" w:fill="auto"/>
            <w:noWrap/>
            <w:vAlign w:val="bottom"/>
            <w:hideMark/>
          </w:tcPr>
          <w:p w14:paraId="5F27BE84" w14:textId="77777777" w:rsidR="000201AE" w:rsidRPr="000201AE" w:rsidRDefault="000201AE" w:rsidP="000201AE">
            <w:pPr>
              <w:spacing w:after="0" w:line="240" w:lineRule="auto"/>
              <w:jc w:val="right"/>
              <w:rPr>
                <w:rFonts w:ascii="Times New Roman" w:eastAsia="Times New Roman" w:hAnsi="Times New Roman" w:cs="Times New Roman"/>
                <w:sz w:val="20"/>
                <w:szCs w:val="20"/>
                <w:lang w:eastAsia="pt-BR"/>
              </w:rPr>
            </w:pPr>
          </w:p>
        </w:tc>
        <w:tc>
          <w:tcPr>
            <w:tcW w:w="73" w:type="pct"/>
            <w:tcBorders>
              <w:top w:val="nil"/>
              <w:left w:val="nil"/>
              <w:bottom w:val="nil"/>
              <w:right w:val="nil"/>
            </w:tcBorders>
            <w:shd w:val="clear" w:color="auto" w:fill="auto"/>
            <w:noWrap/>
            <w:vAlign w:val="bottom"/>
            <w:hideMark/>
          </w:tcPr>
          <w:p w14:paraId="12C4C2D8" w14:textId="77777777" w:rsidR="000201AE" w:rsidRPr="000201AE" w:rsidRDefault="000201AE" w:rsidP="000201AE">
            <w:pPr>
              <w:spacing w:after="0" w:line="240" w:lineRule="auto"/>
              <w:ind w:firstLineChars="200" w:firstLine="400"/>
              <w:jc w:val="right"/>
              <w:rPr>
                <w:rFonts w:ascii="Times New Roman" w:eastAsia="Times New Roman" w:hAnsi="Times New Roman" w:cs="Times New Roman"/>
                <w:sz w:val="20"/>
                <w:szCs w:val="20"/>
                <w:lang w:eastAsia="pt-BR"/>
              </w:rPr>
            </w:pPr>
          </w:p>
        </w:tc>
        <w:tc>
          <w:tcPr>
            <w:tcW w:w="862" w:type="pct"/>
            <w:tcBorders>
              <w:top w:val="nil"/>
              <w:left w:val="nil"/>
              <w:bottom w:val="nil"/>
              <w:right w:val="nil"/>
            </w:tcBorders>
            <w:shd w:val="clear" w:color="auto" w:fill="auto"/>
            <w:noWrap/>
            <w:vAlign w:val="bottom"/>
            <w:hideMark/>
          </w:tcPr>
          <w:p w14:paraId="217399BC" w14:textId="77777777" w:rsidR="000201AE" w:rsidRPr="000201AE" w:rsidRDefault="000201AE" w:rsidP="000201AE">
            <w:pPr>
              <w:spacing w:after="0" w:line="240" w:lineRule="auto"/>
              <w:jc w:val="right"/>
              <w:rPr>
                <w:rFonts w:ascii="Times New Roman" w:eastAsia="Times New Roman" w:hAnsi="Times New Roman" w:cs="Times New Roman"/>
                <w:sz w:val="20"/>
                <w:szCs w:val="20"/>
                <w:lang w:eastAsia="pt-BR"/>
              </w:rPr>
            </w:pPr>
          </w:p>
        </w:tc>
      </w:tr>
      <w:tr w:rsidR="000201AE" w:rsidRPr="000201AE" w14:paraId="58C0BF80" w14:textId="77777777" w:rsidTr="003072B4">
        <w:trPr>
          <w:trHeight w:val="20"/>
        </w:trPr>
        <w:tc>
          <w:tcPr>
            <w:tcW w:w="3191" w:type="pct"/>
            <w:tcBorders>
              <w:top w:val="nil"/>
              <w:left w:val="nil"/>
              <w:bottom w:val="nil"/>
              <w:right w:val="nil"/>
            </w:tcBorders>
            <w:shd w:val="clear" w:color="auto" w:fill="auto"/>
            <w:vAlign w:val="bottom"/>
            <w:hideMark/>
          </w:tcPr>
          <w:p w14:paraId="4E0933C3" w14:textId="77777777" w:rsidR="000201AE" w:rsidRPr="000201AE" w:rsidRDefault="000201AE" w:rsidP="000201AE">
            <w:pPr>
              <w:spacing w:after="0" w:line="240" w:lineRule="auto"/>
              <w:ind w:firstLineChars="200" w:firstLine="360"/>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Contas a pagar aquisição de investimentos</w:t>
            </w:r>
          </w:p>
        </w:tc>
        <w:tc>
          <w:tcPr>
            <w:tcW w:w="874" w:type="pct"/>
            <w:tcBorders>
              <w:top w:val="nil"/>
              <w:left w:val="nil"/>
              <w:bottom w:val="nil"/>
              <w:right w:val="nil"/>
            </w:tcBorders>
            <w:shd w:val="clear" w:color="auto" w:fill="auto"/>
            <w:noWrap/>
            <w:vAlign w:val="bottom"/>
            <w:hideMark/>
          </w:tcPr>
          <w:p w14:paraId="5213ACB6" w14:textId="2628D2E6"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1.317.560</w:t>
            </w:r>
          </w:p>
        </w:tc>
        <w:tc>
          <w:tcPr>
            <w:tcW w:w="73" w:type="pct"/>
            <w:tcBorders>
              <w:top w:val="nil"/>
              <w:left w:val="nil"/>
              <w:bottom w:val="nil"/>
              <w:right w:val="nil"/>
            </w:tcBorders>
            <w:shd w:val="clear" w:color="auto" w:fill="auto"/>
            <w:noWrap/>
            <w:vAlign w:val="bottom"/>
            <w:hideMark/>
          </w:tcPr>
          <w:p w14:paraId="57D59908" w14:textId="77777777"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p>
        </w:tc>
        <w:tc>
          <w:tcPr>
            <w:tcW w:w="862" w:type="pct"/>
            <w:tcBorders>
              <w:top w:val="nil"/>
              <w:left w:val="nil"/>
              <w:bottom w:val="nil"/>
              <w:right w:val="nil"/>
            </w:tcBorders>
            <w:shd w:val="clear" w:color="auto" w:fill="auto"/>
            <w:noWrap/>
            <w:vAlign w:val="bottom"/>
            <w:hideMark/>
          </w:tcPr>
          <w:p w14:paraId="385CBCB8" w14:textId="1AAEF19C"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1.317.560</w:t>
            </w:r>
          </w:p>
        </w:tc>
      </w:tr>
      <w:tr w:rsidR="000201AE" w:rsidRPr="000201AE" w14:paraId="41B33B81" w14:textId="77777777" w:rsidTr="003072B4">
        <w:trPr>
          <w:trHeight w:val="20"/>
        </w:trPr>
        <w:tc>
          <w:tcPr>
            <w:tcW w:w="3191" w:type="pct"/>
            <w:tcBorders>
              <w:top w:val="nil"/>
              <w:left w:val="nil"/>
              <w:bottom w:val="nil"/>
              <w:right w:val="nil"/>
            </w:tcBorders>
            <w:shd w:val="clear" w:color="auto" w:fill="auto"/>
            <w:vAlign w:val="bottom"/>
            <w:hideMark/>
          </w:tcPr>
          <w:p w14:paraId="757F7779" w14:textId="77777777" w:rsidR="000201AE" w:rsidRPr="000201AE" w:rsidRDefault="000201AE" w:rsidP="000201AE">
            <w:pPr>
              <w:spacing w:after="0" w:line="240" w:lineRule="auto"/>
              <w:ind w:firstLineChars="200" w:firstLine="360"/>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Dividendos pagos aos acionistas da Companhia</w:t>
            </w:r>
          </w:p>
        </w:tc>
        <w:tc>
          <w:tcPr>
            <w:tcW w:w="874" w:type="pct"/>
            <w:tcBorders>
              <w:top w:val="nil"/>
              <w:left w:val="nil"/>
              <w:bottom w:val="nil"/>
              <w:right w:val="nil"/>
            </w:tcBorders>
            <w:shd w:val="clear" w:color="auto" w:fill="auto"/>
            <w:noWrap/>
            <w:vAlign w:val="bottom"/>
            <w:hideMark/>
          </w:tcPr>
          <w:p w14:paraId="36176554" w14:textId="0FF2A1BA"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w:t>
            </w:r>
          </w:p>
        </w:tc>
        <w:tc>
          <w:tcPr>
            <w:tcW w:w="73" w:type="pct"/>
            <w:tcBorders>
              <w:top w:val="nil"/>
              <w:left w:val="nil"/>
              <w:bottom w:val="nil"/>
              <w:right w:val="nil"/>
            </w:tcBorders>
            <w:shd w:val="clear" w:color="auto" w:fill="auto"/>
            <w:noWrap/>
            <w:vAlign w:val="bottom"/>
            <w:hideMark/>
          </w:tcPr>
          <w:p w14:paraId="3A971178" w14:textId="77777777"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p>
        </w:tc>
        <w:tc>
          <w:tcPr>
            <w:tcW w:w="862" w:type="pct"/>
            <w:tcBorders>
              <w:top w:val="nil"/>
              <w:left w:val="nil"/>
              <w:bottom w:val="nil"/>
              <w:right w:val="nil"/>
            </w:tcBorders>
            <w:shd w:val="clear" w:color="auto" w:fill="auto"/>
            <w:noWrap/>
            <w:vAlign w:val="bottom"/>
            <w:hideMark/>
          </w:tcPr>
          <w:p w14:paraId="50860D26" w14:textId="48548B53"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4.093</w:t>
            </w:r>
          </w:p>
        </w:tc>
      </w:tr>
      <w:tr w:rsidR="000201AE" w:rsidRPr="000201AE" w14:paraId="6325CB2C" w14:textId="77777777" w:rsidTr="003072B4">
        <w:trPr>
          <w:trHeight w:val="20"/>
        </w:trPr>
        <w:tc>
          <w:tcPr>
            <w:tcW w:w="3191" w:type="pct"/>
            <w:tcBorders>
              <w:top w:val="nil"/>
              <w:left w:val="nil"/>
              <w:bottom w:val="nil"/>
              <w:right w:val="nil"/>
            </w:tcBorders>
            <w:shd w:val="clear" w:color="auto" w:fill="auto"/>
            <w:vAlign w:val="bottom"/>
            <w:hideMark/>
          </w:tcPr>
          <w:p w14:paraId="13FE8F65" w14:textId="77777777" w:rsidR="000201AE" w:rsidRPr="000201AE" w:rsidRDefault="000201AE" w:rsidP="000201AE">
            <w:pPr>
              <w:spacing w:after="0" w:line="240" w:lineRule="auto"/>
              <w:ind w:firstLineChars="200" w:firstLine="360"/>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Pagamento de empréstimos e financiamentos</w:t>
            </w:r>
          </w:p>
        </w:tc>
        <w:tc>
          <w:tcPr>
            <w:tcW w:w="874" w:type="pct"/>
            <w:tcBorders>
              <w:top w:val="nil"/>
              <w:left w:val="nil"/>
              <w:bottom w:val="nil"/>
              <w:right w:val="nil"/>
            </w:tcBorders>
            <w:shd w:val="clear" w:color="auto" w:fill="auto"/>
            <w:noWrap/>
            <w:vAlign w:val="bottom"/>
            <w:hideMark/>
          </w:tcPr>
          <w:p w14:paraId="27CFCCC4" w14:textId="1C28A6DD"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w:t>
            </w:r>
          </w:p>
        </w:tc>
        <w:tc>
          <w:tcPr>
            <w:tcW w:w="73" w:type="pct"/>
            <w:tcBorders>
              <w:top w:val="nil"/>
              <w:left w:val="nil"/>
              <w:bottom w:val="nil"/>
              <w:right w:val="nil"/>
            </w:tcBorders>
            <w:shd w:val="clear" w:color="auto" w:fill="auto"/>
            <w:noWrap/>
            <w:vAlign w:val="bottom"/>
            <w:hideMark/>
          </w:tcPr>
          <w:p w14:paraId="69EF4215" w14:textId="77777777"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p>
        </w:tc>
        <w:tc>
          <w:tcPr>
            <w:tcW w:w="862" w:type="pct"/>
            <w:tcBorders>
              <w:top w:val="nil"/>
              <w:left w:val="nil"/>
              <w:bottom w:val="nil"/>
              <w:right w:val="nil"/>
            </w:tcBorders>
            <w:shd w:val="clear" w:color="auto" w:fill="auto"/>
            <w:noWrap/>
            <w:vAlign w:val="bottom"/>
            <w:hideMark/>
          </w:tcPr>
          <w:p w14:paraId="1AC71964" w14:textId="6C9B14AF"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(85.784)</w:t>
            </w:r>
          </w:p>
        </w:tc>
      </w:tr>
      <w:tr w:rsidR="000201AE" w:rsidRPr="000201AE" w14:paraId="7FD2A6C2" w14:textId="77777777" w:rsidTr="003072B4">
        <w:trPr>
          <w:trHeight w:val="20"/>
        </w:trPr>
        <w:tc>
          <w:tcPr>
            <w:tcW w:w="3191" w:type="pct"/>
            <w:tcBorders>
              <w:top w:val="nil"/>
              <w:left w:val="nil"/>
              <w:bottom w:val="nil"/>
              <w:right w:val="nil"/>
            </w:tcBorders>
            <w:shd w:val="clear" w:color="auto" w:fill="auto"/>
            <w:noWrap/>
            <w:vAlign w:val="bottom"/>
            <w:hideMark/>
          </w:tcPr>
          <w:p w14:paraId="3BF03984" w14:textId="77777777" w:rsidR="000201AE" w:rsidRPr="000201AE" w:rsidRDefault="000201AE" w:rsidP="000201AE">
            <w:pPr>
              <w:spacing w:after="0" w:line="240" w:lineRule="auto"/>
              <w:ind w:firstLineChars="200" w:firstLine="360"/>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Mensuração direito de uso</w:t>
            </w:r>
          </w:p>
        </w:tc>
        <w:tc>
          <w:tcPr>
            <w:tcW w:w="874" w:type="pct"/>
            <w:tcBorders>
              <w:top w:val="nil"/>
              <w:left w:val="nil"/>
              <w:bottom w:val="nil"/>
              <w:right w:val="nil"/>
            </w:tcBorders>
            <w:shd w:val="clear" w:color="auto" w:fill="auto"/>
            <w:noWrap/>
            <w:vAlign w:val="bottom"/>
            <w:hideMark/>
          </w:tcPr>
          <w:p w14:paraId="09DB5153" w14:textId="40F79D17"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(8.508)</w:t>
            </w:r>
          </w:p>
        </w:tc>
        <w:tc>
          <w:tcPr>
            <w:tcW w:w="73" w:type="pct"/>
            <w:tcBorders>
              <w:top w:val="nil"/>
              <w:left w:val="nil"/>
              <w:bottom w:val="nil"/>
              <w:right w:val="nil"/>
            </w:tcBorders>
            <w:shd w:val="clear" w:color="auto" w:fill="auto"/>
            <w:noWrap/>
            <w:vAlign w:val="bottom"/>
            <w:hideMark/>
          </w:tcPr>
          <w:p w14:paraId="3DCBA4DC" w14:textId="77777777"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p>
        </w:tc>
        <w:tc>
          <w:tcPr>
            <w:tcW w:w="862" w:type="pct"/>
            <w:tcBorders>
              <w:top w:val="nil"/>
              <w:left w:val="nil"/>
              <w:bottom w:val="nil"/>
              <w:right w:val="nil"/>
            </w:tcBorders>
            <w:shd w:val="clear" w:color="auto" w:fill="auto"/>
            <w:noWrap/>
            <w:vAlign w:val="bottom"/>
            <w:hideMark/>
          </w:tcPr>
          <w:p w14:paraId="48805F3E" w14:textId="56EC718D"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(8.508)</w:t>
            </w:r>
          </w:p>
        </w:tc>
      </w:tr>
      <w:tr w:rsidR="000201AE" w:rsidRPr="000201AE" w14:paraId="07EB7B00" w14:textId="77777777" w:rsidTr="003072B4">
        <w:trPr>
          <w:trHeight w:val="20"/>
        </w:trPr>
        <w:tc>
          <w:tcPr>
            <w:tcW w:w="3191" w:type="pct"/>
            <w:tcBorders>
              <w:top w:val="nil"/>
              <w:left w:val="nil"/>
              <w:bottom w:val="nil"/>
              <w:right w:val="nil"/>
            </w:tcBorders>
            <w:shd w:val="clear" w:color="auto" w:fill="auto"/>
            <w:noWrap/>
            <w:vAlign w:val="bottom"/>
            <w:hideMark/>
          </w:tcPr>
          <w:p w14:paraId="4F546D7E" w14:textId="77777777" w:rsidR="000201AE" w:rsidRPr="000201AE" w:rsidRDefault="000201AE" w:rsidP="000201AE">
            <w:pPr>
              <w:spacing w:after="0" w:line="240" w:lineRule="auto"/>
              <w:ind w:firstLineChars="200" w:firstLine="360"/>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Pagamento de encargos financeiros</w:t>
            </w:r>
          </w:p>
        </w:tc>
        <w:tc>
          <w:tcPr>
            <w:tcW w:w="874" w:type="pct"/>
            <w:tcBorders>
              <w:top w:val="nil"/>
              <w:left w:val="nil"/>
              <w:bottom w:val="nil"/>
              <w:right w:val="nil"/>
            </w:tcBorders>
            <w:shd w:val="clear" w:color="auto" w:fill="auto"/>
            <w:noWrap/>
            <w:vAlign w:val="bottom"/>
            <w:hideMark/>
          </w:tcPr>
          <w:p w14:paraId="74F94EEA" w14:textId="650D920C"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w:t>
            </w:r>
          </w:p>
        </w:tc>
        <w:tc>
          <w:tcPr>
            <w:tcW w:w="73" w:type="pct"/>
            <w:tcBorders>
              <w:top w:val="nil"/>
              <w:left w:val="nil"/>
              <w:bottom w:val="nil"/>
              <w:right w:val="nil"/>
            </w:tcBorders>
            <w:shd w:val="clear" w:color="auto" w:fill="auto"/>
            <w:noWrap/>
            <w:vAlign w:val="bottom"/>
            <w:hideMark/>
          </w:tcPr>
          <w:p w14:paraId="1B55668A" w14:textId="77777777"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p>
        </w:tc>
        <w:tc>
          <w:tcPr>
            <w:tcW w:w="862" w:type="pct"/>
            <w:tcBorders>
              <w:top w:val="nil"/>
              <w:left w:val="nil"/>
              <w:bottom w:val="nil"/>
              <w:right w:val="nil"/>
            </w:tcBorders>
            <w:shd w:val="clear" w:color="auto" w:fill="auto"/>
            <w:noWrap/>
            <w:vAlign w:val="bottom"/>
            <w:hideMark/>
          </w:tcPr>
          <w:p w14:paraId="364B759B" w14:textId="638A74B7"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13.471</w:t>
            </w:r>
          </w:p>
        </w:tc>
      </w:tr>
      <w:tr w:rsidR="000201AE" w:rsidRPr="000201AE" w14:paraId="0667BAD7" w14:textId="77777777" w:rsidTr="003072B4">
        <w:trPr>
          <w:trHeight w:val="20"/>
        </w:trPr>
        <w:tc>
          <w:tcPr>
            <w:tcW w:w="3191" w:type="pct"/>
            <w:tcBorders>
              <w:top w:val="nil"/>
              <w:left w:val="nil"/>
              <w:bottom w:val="nil"/>
              <w:right w:val="nil"/>
            </w:tcBorders>
            <w:shd w:val="clear" w:color="auto" w:fill="auto"/>
            <w:noWrap/>
            <w:vAlign w:val="bottom"/>
            <w:hideMark/>
          </w:tcPr>
          <w:p w14:paraId="6FDA719C" w14:textId="77777777" w:rsidR="000201AE" w:rsidRPr="000201AE" w:rsidRDefault="000201AE" w:rsidP="000201AE">
            <w:pPr>
              <w:spacing w:after="0" w:line="240" w:lineRule="auto"/>
              <w:ind w:firstLineChars="200" w:firstLine="360"/>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Recebimento de Aporte de capital</w:t>
            </w:r>
          </w:p>
        </w:tc>
        <w:tc>
          <w:tcPr>
            <w:tcW w:w="874" w:type="pct"/>
            <w:tcBorders>
              <w:top w:val="nil"/>
              <w:left w:val="nil"/>
              <w:bottom w:val="nil"/>
              <w:right w:val="nil"/>
            </w:tcBorders>
            <w:shd w:val="clear" w:color="auto" w:fill="auto"/>
            <w:noWrap/>
            <w:vAlign w:val="bottom"/>
            <w:hideMark/>
          </w:tcPr>
          <w:p w14:paraId="2A4559DF" w14:textId="2557524A"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4.000.000</w:t>
            </w:r>
          </w:p>
        </w:tc>
        <w:tc>
          <w:tcPr>
            <w:tcW w:w="73" w:type="pct"/>
            <w:tcBorders>
              <w:top w:val="nil"/>
              <w:left w:val="nil"/>
              <w:bottom w:val="nil"/>
              <w:right w:val="nil"/>
            </w:tcBorders>
            <w:shd w:val="clear" w:color="auto" w:fill="auto"/>
            <w:noWrap/>
            <w:vAlign w:val="bottom"/>
            <w:hideMark/>
          </w:tcPr>
          <w:p w14:paraId="41957E94" w14:textId="77777777"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p>
        </w:tc>
        <w:tc>
          <w:tcPr>
            <w:tcW w:w="862" w:type="pct"/>
            <w:tcBorders>
              <w:top w:val="nil"/>
              <w:left w:val="nil"/>
              <w:bottom w:val="nil"/>
              <w:right w:val="nil"/>
            </w:tcBorders>
            <w:shd w:val="clear" w:color="auto" w:fill="auto"/>
            <w:noWrap/>
            <w:vAlign w:val="bottom"/>
            <w:hideMark/>
          </w:tcPr>
          <w:p w14:paraId="1F25C0F2" w14:textId="33339609"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4.000.000</w:t>
            </w:r>
          </w:p>
        </w:tc>
      </w:tr>
      <w:tr w:rsidR="000201AE" w:rsidRPr="000201AE" w14:paraId="0266325C" w14:textId="77777777" w:rsidTr="003072B4">
        <w:trPr>
          <w:trHeight w:val="20"/>
        </w:trPr>
        <w:tc>
          <w:tcPr>
            <w:tcW w:w="3191" w:type="pct"/>
            <w:tcBorders>
              <w:top w:val="nil"/>
              <w:left w:val="nil"/>
              <w:bottom w:val="nil"/>
              <w:right w:val="nil"/>
            </w:tcBorders>
            <w:shd w:val="clear" w:color="auto" w:fill="auto"/>
            <w:vAlign w:val="bottom"/>
            <w:hideMark/>
          </w:tcPr>
          <w:p w14:paraId="5477830D" w14:textId="7098F579" w:rsidR="000201AE" w:rsidRPr="000201AE" w:rsidRDefault="000201AE" w:rsidP="000201AE">
            <w:pPr>
              <w:spacing w:after="0" w:line="240" w:lineRule="auto"/>
              <w:rPr>
                <w:rFonts w:ascii="Verdana" w:eastAsia="Times New Roman" w:hAnsi="Verdana" w:cs="Calibri"/>
                <w:b/>
                <w:bCs/>
                <w:sz w:val="18"/>
                <w:szCs w:val="18"/>
                <w:lang w:eastAsia="pt-BR"/>
              </w:rPr>
            </w:pPr>
            <w:r w:rsidRPr="000201AE">
              <w:rPr>
                <w:rFonts w:ascii="Verdana" w:eastAsia="Times New Roman" w:hAnsi="Verdana" w:cs="Calibri"/>
                <w:b/>
                <w:bCs/>
                <w:sz w:val="18"/>
                <w:szCs w:val="18"/>
                <w:lang w:eastAsia="pt-BR"/>
              </w:rPr>
              <w:t>Caixa líquido utilizado nas atividades de financiamento</w:t>
            </w:r>
          </w:p>
        </w:tc>
        <w:tc>
          <w:tcPr>
            <w:tcW w:w="874" w:type="pct"/>
            <w:tcBorders>
              <w:top w:val="single" w:sz="4" w:space="0" w:color="000000"/>
              <w:left w:val="nil"/>
              <w:bottom w:val="double" w:sz="6" w:space="0" w:color="000000"/>
              <w:right w:val="nil"/>
            </w:tcBorders>
            <w:shd w:val="clear" w:color="auto" w:fill="auto"/>
            <w:noWrap/>
            <w:vAlign w:val="bottom"/>
            <w:hideMark/>
          </w:tcPr>
          <w:p w14:paraId="07EB655D" w14:textId="55970BF2" w:rsidR="000201AE" w:rsidRPr="000201AE" w:rsidRDefault="000201AE" w:rsidP="000201AE">
            <w:pPr>
              <w:spacing w:after="0" w:line="240" w:lineRule="auto"/>
              <w:ind w:firstLineChars="200" w:firstLine="361"/>
              <w:jc w:val="right"/>
              <w:rPr>
                <w:rFonts w:ascii="Verdana" w:eastAsia="Times New Roman" w:hAnsi="Verdana" w:cs="Calibri"/>
                <w:b/>
                <w:bCs/>
                <w:sz w:val="18"/>
                <w:szCs w:val="18"/>
                <w:lang w:eastAsia="pt-BR"/>
              </w:rPr>
            </w:pPr>
            <w:r w:rsidRPr="000201AE">
              <w:rPr>
                <w:rFonts w:ascii="Verdana" w:eastAsia="Times New Roman" w:hAnsi="Verdana" w:cs="Calibri"/>
                <w:b/>
                <w:bCs/>
                <w:sz w:val="18"/>
                <w:szCs w:val="18"/>
                <w:lang w:eastAsia="pt-BR"/>
              </w:rPr>
              <w:t>5.309.052</w:t>
            </w:r>
          </w:p>
        </w:tc>
        <w:tc>
          <w:tcPr>
            <w:tcW w:w="73" w:type="pct"/>
            <w:tcBorders>
              <w:top w:val="nil"/>
              <w:left w:val="nil"/>
              <w:bottom w:val="nil"/>
              <w:right w:val="nil"/>
            </w:tcBorders>
            <w:shd w:val="clear" w:color="auto" w:fill="auto"/>
            <w:noWrap/>
            <w:vAlign w:val="bottom"/>
            <w:hideMark/>
          </w:tcPr>
          <w:p w14:paraId="6C9C59E1" w14:textId="77777777" w:rsidR="000201AE" w:rsidRPr="000201AE" w:rsidRDefault="000201AE" w:rsidP="000201AE">
            <w:pPr>
              <w:spacing w:after="0" w:line="240" w:lineRule="auto"/>
              <w:ind w:firstLineChars="200" w:firstLine="361"/>
              <w:jc w:val="right"/>
              <w:rPr>
                <w:rFonts w:ascii="Verdana" w:eastAsia="Times New Roman" w:hAnsi="Verdana" w:cs="Calibri"/>
                <w:b/>
                <w:bCs/>
                <w:sz w:val="18"/>
                <w:szCs w:val="18"/>
                <w:lang w:eastAsia="pt-BR"/>
              </w:rPr>
            </w:pPr>
          </w:p>
        </w:tc>
        <w:tc>
          <w:tcPr>
            <w:tcW w:w="862" w:type="pct"/>
            <w:tcBorders>
              <w:top w:val="single" w:sz="4" w:space="0" w:color="000000"/>
              <w:left w:val="nil"/>
              <w:bottom w:val="double" w:sz="6" w:space="0" w:color="000000"/>
              <w:right w:val="nil"/>
            </w:tcBorders>
            <w:shd w:val="clear" w:color="auto" w:fill="auto"/>
            <w:noWrap/>
            <w:vAlign w:val="bottom"/>
            <w:hideMark/>
          </w:tcPr>
          <w:p w14:paraId="4530F650" w14:textId="7415A0B4" w:rsidR="000201AE" w:rsidRPr="000201AE" w:rsidRDefault="000201AE" w:rsidP="000201AE">
            <w:pPr>
              <w:spacing w:after="0" w:line="240" w:lineRule="auto"/>
              <w:ind w:firstLineChars="200" w:firstLine="361"/>
              <w:jc w:val="right"/>
              <w:rPr>
                <w:rFonts w:ascii="Verdana" w:eastAsia="Times New Roman" w:hAnsi="Verdana" w:cs="Calibri"/>
                <w:b/>
                <w:bCs/>
                <w:sz w:val="18"/>
                <w:szCs w:val="18"/>
                <w:lang w:eastAsia="pt-BR"/>
              </w:rPr>
            </w:pPr>
            <w:r w:rsidRPr="000201AE">
              <w:rPr>
                <w:rFonts w:ascii="Verdana" w:eastAsia="Times New Roman" w:hAnsi="Verdana" w:cs="Calibri"/>
                <w:b/>
                <w:bCs/>
                <w:sz w:val="18"/>
                <w:szCs w:val="18"/>
                <w:lang w:eastAsia="pt-BR"/>
              </w:rPr>
              <w:t>5.240.832</w:t>
            </w:r>
          </w:p>
        </w:tc>
      </w:tr>
      <w:tr w:rsidR="000201AE" w:rsidRPr="000201AE" w14:paraId="61B2C37A" w14:textId="77777777" w:rsidTr="003072B4">
        <w:trPr>
          <w:trHeight w:val="20"/>
        </w:trPr>
        <w:tc>
          <w:tcPr>
            <w:tcW w:w="3191" w:type="pct"/>
            <w:tcBorders>
              <w:top w:val="nil"/>
              <w:left w:val="nil"/>
              <w:bottom w:val="nil"/>
              <w:right w:val="nil"/>
            </w:tcBorders>
            <w:shd w:val="clear" w:color="auto" w:fill="auto"/>
            <w:noWrap/>
            <w:vAlign w:val="bottom"/>
            <w:hideMark/>
          </w:tcPr>
          <w:p w14:paraId="25A697FD" w14:textId="77777777" w:rsidR="000201AE" w:rsidRPr="000201AE" w:rsidRDefault="000201AE" w:rsidP="000201AE">
            <w:pPr>
              <w:spacing w:after="0" w:line="240" w:lineRule="auto"/>
              <w:ind w:firstLineChars="200" w:firstLine="201"/>
              <w:rPr>
                <w:rFonts w:ascii="Verdana" w:eastAsia="Times New Roman" w:hAnsi="Verdana" w:cs="Calibri"/>
                <w:b/>
                <w:bCs/>
                <w:sz w:val="10"/>
                <w:szCs w:val="10"/>
                <w:lang w:eastAsia="pt-BR"/>
              </w:rPr>
            </w:pPr>
          </w:p>
        </w:tc>
        <w:tc>
          <w:tcPr>
            <w:tcW w:w="874" w:type="pct"/>
            <w:tcBorders>
              <w:top w:val="nil"/>
              <w:left w:val="nil"/>
              <w:bottom w:val="nil"/>
              <w:right w:val="nil"/>
            </w:tcBorders>
            <w:shd w:val="clear" w:color="auto" w:fill="auto"/>
            <w:noWrap/>
            <w:vAlign w:val="bottom"/>
            <w:hideMark/>
          </w:tcPr>
          <w:p w14:paraId="032190F8" w14:textId="77777777" w:rsidR="000201AE" w:rsidRPr="000201AE" w:rsidRDefault="000201AE" w:rsidP="000201AE">
            <w:pPr>
              <w:spacing w:after="0" w:line="240" w:lineRule="auto"/>
              <w:jc w:val="right"/>
              <w:rPr>
                <w:rFonts w:ascii="Times New Roman" w:eastAsia="Times New Roman" w:hAnsi="Times New Roman" w:cs="Times New Roman"/>
                <w:sz w:val="10"/>
                <w:szCs w:val="10"/>
                <w:lang w:eastAsia="pt-BR"/>
              </w:rPr>
            </w:pPr>
          </w:p>
        </w:tc>
        <w:tc>
          <w:tcPr>
            <w:tcW w:w="73" w:type="pct"/>
            <w:tcBorders>
              <w:top w:val="nil"/>
              <w:left w:val="nil"/>
              <w:bottom w:val="nil"/>
              <w:right w:val="nil"/>
            </w:tcBorders>
            <w:shd w:val="clear" w:color="auto" w:fill="auto"/>
            <w:noWrap/>
            <w:vAlign w:val="bottom"/>
            <w:hideMark/>
          </w:tcPr>
          <w:p w14:paraId="39C32C39" w14:textId="77777777" w:rsidR="000201AE" w:rsidRPr="000201AE" w:rsidRDefault="000201AE" w:rsidP="000201AE">
            <w:pPr>
              <w:spacing w:after="0" w:line="240" w:lineRule="auto"/>
              <w:ind w:firstLineChars="200" w:firstLine="200"/>
              <w:jc w:val="right"/>
              <w:rPr>
                <w:rFonts w:ascii="Times New Roman" w:eastAsia="Times New Roman" w:hAnsi="Times New Roman" w:cs="Times New Roman"/>
                <w:sz w:val="10"/>
                <w:szCs w:val="10"/>
                <w:lang w:eastAsia="pt-BR"/>
              </w:rPr>
            </w:pPr>
          </w:p>
        </w:tc>
        <w:tc>
          <w:tcPr>
            <w:tcW w:w="862" w:type="pct"/>
            <w:tcBorders>
              <w:top w:val="nil"/>
              <w:left w:val="nil"/>
              <w:bottom w:val="nil"/>
              <w:right w:val="nil"/>
            </w:tcBorders>
            <w:shd w:val="clear" w:color="auto" w:fill="auto"/>
            <w:noWrap/>
            <w:vAlign w:val="bottom"/>
            <w:hideMark/>
          </w:tcPr>
          <w:p w14:paraId="0F844E0B" w14:textId="77777777" w:rsidR="000201AE" w:rsidRPr="000201AE" w:rsidRDefault="000201AE" w:rsidP="000201AE">
            <w:pPr>
              <w:spacing w:after="0" w:line="240" w:lineRule="auto"/>
              <w:jc w:val="right"/>
              <w:rPr>
                <w:rFonts w:ascii="Times New Roman" w:eastAsia="Times New Roman" w:hAnsi="Times New Roman" w:cs="Times New Roman"/>
                <w:sz w:val="10"/>
                <w:szCs w:val="10"/>
                <w:lang w:eastAsia="pt-BR"/>
              </w:rPr>
            </w:pPr>
          </w:p>
        </w:tc>
      </w:tr>
      <w:tr w:rsidR="000201AE" w:rsidRPr="000201AE" w14:paraId="088B0C0C" w14:textId="77777777" w:rsidTr="003072B4">
        <w:trPr>
          <w:trHeight w:val="20"/>
        </w:trPr>
        <w:tc>
          <w:tcPr>
            <w:tcW w:w="3191" w:type="pct"/>
            <w:tcBorders>
              <w:top w:val="nil"/>
              <w:left w:val="nil"/>
              <w:bottom w:val="nil"/>
              <w:right w:val="nil"/>
            </w:tcBorders>
            <w:shd w:val="clear" w:color="auto" w:fill="auto"/>
            <w:noWrap/>
            <w:vAlign w:val="center"/>
            <w:hideMark/>
          </w:tcPr>
          <w:p w14:paraId="2202041A" w14:textId="77777777" w:rsidR="000201AE" w:rsidRPr="000201AE" w:rsidRDefault="000201AE" w:rsidP="000201AE">
            <w:pPr>
              <w:spacing w:after="0" w:line="240" w:lineRule="auto"/>
              <w:jc w:val="center"/>
              <w:rPr>
                <w:rFonts w:ascii="Verdana" w:eastAsia="Times New Roman" w:hAnsi="Verdana" w:cs="Calibri"/>
                <w:b/>
                <w:bCs/>
                <w:sz w:val="18"/>
                <w:szCs w:val="18"/>
                <w:lang w:eastAsia="pt-BR"/>
              </w:rPr>
            </w:pPr>
            <w:r w:rsidRPr="000201AE">
              <w:rPr>
                <w:rFonts w:ascii="Verdana" w:eastAsia="Times New Roman" w:hAnsi="Verdana" w:cs="Calibri"/>
                <w:b/>
                <w:bCs/>
                <w:sz w:val="18"/>
                <w:szCs w:val="18"/>
                <w:lang w:eastAsia="pt-BR"/>
              </w:rPr>
              <w:t>ATIVIDADES DE INVESTIMENTO</w:t>
            </w:r>
          </w:p>
        </w:tc>
        <w:tc>
          <w:tcPr>
            <w:tcW w:w="874" w:type="pct"/>
            <w:tcBorders>
              <w:top w:val="nil"/>
              <w:left w:val="nil"/>
              <w:bottom w:val="nil"/>
              <w:right w:val="nil"/>
            </w:tcBorders>
            <w:shd w:val="clear" w:color="auto" w:fill="auto"/>
            <w:noWrap/>
            <w:vAlign w:val="bottom"/>
            <w:hideMark/>
          </w:tcPr>
          <w:p w14:paraId="426418AF" w14:textId="77777777" w:rsidR="000201AE" w:rsidRPr="000201AE" w:rsidRDefault="000201AE" w:rsidP="000201AE">
            <w:pPr>
              <w:spacing w:after="0" w:line="240" w:lineRule="auto"/>
              <w:jc w:val="right"/>
              <w:rPr>
                <w:rFonts w:ascii="Verdana" w:eastAsia="Times New Roman" w:hAnsi="Verdana" w:cs="Calibri"/>
                <w:b/>
                <w:bCs/>
                <w:sz w:val="18"/>
                <w:szCs w:val="18"/>
                <w:lang w:eastAsia="pt-BR"/>
              </w:rPr>
            </w:pPr>
          </w:p>
        </w:tc>
        <w:tc>
          <w:tcPr>
            <w:tcW w:w="73" w:type="pct"/>
            <w:tcBorders>
              <w:top w:val="nil"/>
              <w:left w:val="nil"/>
              <w:bottom w:val="nil"/>
              <w:right w:val="nil"/>
            </w:tcBorders>
            <w:shd w:val="clear" w:color="auto" w:fill="auto"/>
            <w:noWrap/>
            <w:vAlign w:val="bottom"/>
            <w:hideMark/>
          </w:tcPr>
          <w:p w14:paraId="1513D71B" w14:textId="77777777" w:rsidR="000201AE" w:rsidRPr="000201AE" w:rsidRDefault="000201AE" w:rsidP="000201AE">
            <w:pPr>
              <w:spacing w:after="0" w:line="240" w:lineRule="auto"/>
              <w:ind w:firstLineChars="200" w:firstLine="400"/>
              <w:jc w:val="right"/>
              <w:rPr>
                <w:rFonts w:ascii="Times New Roman" w:eastAsia="Times New Roman" w:hAnsi="Times New Roman" w:cs="Times New Roman"/>
                <w:sz w:val="20"/>
                <w:szCs w:val="20"/>
                <w:lang w:eastAsia="pt-BR"/>
              </w:rPr>
            </w:pPr>
          </w:p>
        </w:tc>
        <w:tc>
          <w:tcPr>
            <w:tcW w:w="862" w:type="pct"/>
            <w:tcBorders>
              <w:top w:val="nil"/>
              <w:left w:val="nil"/>
              <w:bottom w:val="nil"/>
              <w:right w:val="nil"/>
            </w:tcBorders>
            <w:shd w:val="clear" w:color="auto" w:fill="auto"/>
            <w:noWrap/>
            <w:vAlign w:val="bottom"/>
            <w:hideMark/>
          </w:tcPr>
          <w:p w14:paraId="352FDF01" w14:textId="77777777" w:rsidR="000201AE" w:rsidRPr="000201AE" w:rsidRDefault="000201AE" w:rsidP="000201AE">
            <w:pPr>
              <w:spacing w:after="0" w:line="240" w:lineRule="auto"/>
              <w:jc w:val="right"/>
              <w:rPr>
                <w:rFonts w:ascii="Times New Roman" w:eastAsia="Times New Roman" w:hAnsi="Times New Roman" w:cs="Times New Roman"/>
                <w:sz w:val="20"/>
                <w:szCs w:val="20"/>
                <w:lang w:eastAsia="pt-BR"/>
              </w:rPr>
            </w:pPr>
          </w:p>
        </w:tc>
      </w:tr>
      <w:tr w:rsidR="000201AE" w:rsidRPr="000201AE" w14:paraId="1CE2F31C" w14:textId="77777777" w:rsidTr="003072B4">
        <w:trPr>
          <w:trHeight w:val="20"/>
        </w:trPr>
        <w:tc>
          <w:tcPr>
            <w:tcW w:w="3191" w:type="pct"/>
            <w:tcBorders>
              <w:top w:val="nil"/>
              <w:left w:val="nil"/>
              <w:bottom w:val="nil"/>
              <w:right w:val="nil"/>
            </w:tcBorders>
            <w:shd w:val="clear" w:color="auto" w:fill="auto"/>
            <w:noWrap/>
            <w:vAlign w:val="bottom"/>
            <w:hideMark/>
          </w:tcPr>
          <w:p w14:paraId="5959E44D" w14:textId="77777777" w:rsidR="000201AE" w:rsidRPr="000201AE" w:rsidRDefault="000201AE" w:rsidP="000201AE">
            <w:pPr>
              <w:spacing w:after="0" w:line="240" w:lineRule="auto"/>
              <w:ind w:firstLineChars="200" w:firstLine="400"/>
              <w:rPr>
                <w:rFonts w:ascii="Times New Roman" w:eastAsia="Times New Roman" w:hAnsi="Times New Roman" w:cs="Times New Roman"/>
                <w:sz w:val="20"/>
                <w:szCs w:val="20"/>
                <w:lang w:eastAsia="pt-BR"/>
              </w:rPr>
            </w:pPr>
          </w:p>
        </w:tc>
        <w:tc>
          <w:tcPr>
            <w:tcW w:w="874" w:type="pct"/>
            <w:tcBorders>
              <w:top w:val="nil"/>
              <w:left w:val="nil"/>
              <w:bottom w:val="nil"/>
              <w:right w:val="nil"/>
            </w:tcBorders>
            <w:shd w:val="clear" w:color="auto" w:fill="auto"/>
            <w:noWrap/>
            <w:vAlign w:val="bottom"/>
            <w:hideMark/>
          </w:tcPr>
          <w:p w14:paraId="689843CC" w14:textId="77777777" w:rsidR="000201AE" w:rsidRPr="000201AE" w:rsidRDefault="000201AE" w:rsidP="000201AE">
            <w:pPr>
              <w:spacing w:after="0" w:line="240" w:lineRule="auto"/>
              <w:jc w:val="right"/>
              <w:rPr>
                <w:rFonts w:ascii="Times New Roman" w:eastAsia="Times New Roman" w:hAnsi="Times New Roman" w:cs="Times New Roman"/>
                <w:sz w:val="20"/>
                <w:szCs w:val="20"/>
                <w:lang w:eastAsia="pt-BR"/>
              </w:rPr>
            </w:pPr>
          </w:p>
        </w:tc>
        <w:tc>
          <w:tcPr>
            <w:tcW w:w="73" w:type="pct"/>
            <w:tcBorders>
              <w:top w:val="nil"/>
              <w:left w:val="nil"/>
              <w:bottom w:val="nil"/>
              <w:right w:val="nil"/>
            </w:tcBorders>
            <w:shd w:val="clear" w:color="auto" w:fill="auto"/>
            <w:noWrap/>
            <w:vAlign w:val="bottom"/>
            <w:hideMark/>
          </w:tcPr>
          <w:p w14:paraId="346DE38B" w14:textId="77777777" w:rsidR="000201AE" w:rsidRPr="000201AE" w:rsidRDefault="000201AE" w:rsidP="000201AE">
            <w:pPr>
              <w:spacing w:after="0" w:line="240" w:lineRule="auto"/>
              <w:ind w:firstLineChars="200" w:firstLine="400"/>
              <w:jc w:val="right"/>
              <w:rPr>
                <w:rFonts w:ascii="Times New Roman" w:eastAsia="Times New Roman" w:hAnsi="Times New Roman" w:cs="Times New Roman"/>
                <w:sz w:val="20"/>
                <w:szCs w:val="20"/>
                <w:lang w:eastAsia="pt-BR"/>
              </w:rPr>
            </w:pPr>
          </w:p>
        </w:tc>
        <w:tc>
          <w:tcPr>
            <w:tcW w:w="862" w:type="pct"/>
            <w:tcBorders>
              <w:top w:val="nil"/>
              <w:left w:val="nil"/>
              <w:bottom w:val="nil"/>
              <w:right w:val="nil"/>
            </w:tcBorders>
            <w:shd w:val="clear" w:color="auto" w:fill="auto"/>
            <w:noWrap/>
            <w:vAlign w:val="bottom"/>
            <w:hideMark/>
          </w:tcPr>
          <w:p w14:paraId="76BF1DB0" w14:textId="77777777" w:rsidR="000201AE" w:rsidRPr="000201AE" w:rsidRDefault="000201AE" w:rsidP="000201AE">
            <w:pPr>
              <w:spacing w:after="0" w:line="240" w:lineRule="auto"/>
              <w:jc w:val="right"/>
              <w:rPr>
                <w:rFonts w:ascii="Times New Roman" w:eastAsia="Times New Roman" w:hAnsi="Times New Roman" w:cs="Times New Roman"/>
                <w:sz w:val="20"/>
                <w:szCs w:val="20"/>
                <w:lang w:eastAsia="pt-BR"/>
              </w:rPr>
            </w:pPr>
          </w:p>
        </w:tc>
      </w:tr>
      <w:tr w:rsidR="000201AE" w:rsidRPr="000201AE" w14:paraId="763FDDC2" w14:textId="77777777" w:rsidTr="003072B4">
        <w:trPr>
          <w:trHeight w:val="20"/>
        </w:trPr>
        <w:tc>
          <w:tcPr>
            <w:tcW w:w="3191" w:type="pct"/>
            <w:tcBorders>
              <w:top w:val="nil"/>
              <w:left w:val="nil"/>
              <w:bottom w:val="nil"/>
              <w:right w:val="nil"/>
            </w:tcBorders>
            <w:shd w:val="clear" w:color="auto" w:fill="auto"/>
            <w:noWrap/>
            <w:vAlign w:val="bottom"/>
            <w:hideMark/>
          </w:tcPr>
          <w:p w14:paraId="49952A8D" w14:textId="77777777" w:rsidR="000201AE" w:rsidRPr="000201AE" w:rsidRDefault="000201AE" w:rsidP="000201AE">
            <w:pPr>
              <w:spacing w:after="0" w:line="240" w:lineRule="auto"/>
              <w:ind w:firstLineChars="200" w:firstLine="360"/>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Aquisição de ativo imobilizado</w:t>
            </w:r>
          </w:p>
        </w:tc>
        <w:tc>
          <w:tcPr>
            <w:tcW w:w="874" w:type="pct"/>
            <w:tcBorders>
              <w:top w:val="nil"/>
              <w:left w:val="nil"/>
              <w:bottom w:val="nil"/>
              <w:right w:val="nil"/>
            </w:tcBorders>
            <w:shd w:val="clear" w:color="auto" w:fill="auto"/>
            <w:noWrap/>
            <w:vAlign w:val="bottom"/>
            <w:hideMark/>
          </w:tcPr>
          <w:p w14:paraId="7A8E3198" w14:textId="08E444ED"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w:t>
            </w:r>
          </w:p>
        </w:tc>
        <w:tc>
          <w:tcPr>
            <w:tcW w:w="73" w:type="pct"/>
            <w:tcBorders>
              <w:top w:val="nil"/>
              <w:left w:val="nil"/>
              <w:bottom w:val="nil"/>
              <w:right w:val="nil"/>
            </w:tcBorders>
            <w:shd w:val="clear" w:color="auto" w:fill="auto"/>
            <w:noWrap/>
            <w:vAlign w:val="bottom"/>
            <w:hideMark/>
          </w:tcPr>
          <w:p w14:paraId="3C119446" w14:textId="77777777"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p>
        </w:tc>
        <w:tc>
          <w:tcPr>
            <w:tcW w:w="862" w:type="pct"/>
            <w:tcBorders>
              <w:top w:val="nil"/>
              <w:left w:val="nil"/>
              <w:bottom w:val="nil"/>
              <w:right w:val="nil"/>
            </w:tcBorders>
            <w:shd w:val="clear" w:color="auto" w:fill="auto"/>
            <w:noWrap/>
            <w:vAlign w:val="bottom"/>
            <w:hideMark/>
          </w:tcPr>
          <w:p w14:paraId="0972053E" w14:textId="65B8DCDA"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(190.563)</w:t>
            </w:r>
          </w:p>
        </w:tc>
      </w:tr>
      <w:tr w:rsidR="000201AE" w:rsidRPr="000201AE" w14:paraId="1E7064C7" w14:textId="77777777" w:rsidTr="003072B4">
        <w:trPr>
          <w:trHeight w:val="20"/>
        </w:trPr>
        <w:tc>
          <w:tcPr>
            <w:tcW w:w="3191" w:type="pct"/>
            <w:tcBorders>
              <w:top w:val="nil"/>
              <w:left w:val="nil"/>
              <w:bottom w:val="nil"/>
              <w:right w:val="nil"/>
            </w:tcBorders>
            <w:shd w:val="clear" w:color="auto" w:fill="auto"/>
            <w:noWrap/>
            <w:vAlign w:val="bottom"/>
            <w:hideMark/>
          </w:tcPr>
          <w:p w14:paraId="0B2B4B33" w14:textId="77777777" w:rsidR="000201AE" w:rsidRPr="000201AE" w:rsidRDefault="000201AE" w:rsidP="000201AE">
            <w:pPr>
              <w:spacing w:after="0" w:line="240" w:lineRule="auto"/>
              <w:ind w:firstLineChars="200" w:firstLine="360"/>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Aquisição de ativo intangível</w:t>
            </w:r>
          </w:p>
        </w:tc>
        <w:tc>
          <w:tcPr>
            <w:tcW w:w="874" w:type="pct"/>
            <w:tcBorders>
              <w:top w:val="nil"/>
              <w:left w:val="nil"/>
              <w:bottom w:val="nil"/>
              <w:right w:val="nil"/>
            </w:tcBorders>
            <w:shd w:val="clear" w:color="auto" w:fill="auto"/>
            <w:noWrap/>
            <w:vAlign w:val="bottom"/>
            <w:hideMark/>
          </w:tcPr>
          <w:p w14:paraId="16F0906A" w14:textId="6596E871"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w:t>
            </w:r>
          </w:p>
        </w:tc>
        <w:tc>
          <w:tcPr>
            <w:tcW w:w="73" w:type="pct"/>
            <w:tcBorders>
              <w:top w:val="nil"/>
              <w:left w:val="nil"/>
              <w:bottom w:val="nil"/>
              <w:right w:val="nil"/>
            </w:tcBorders>
            <w:shd w:val="clear" w:color="auto" w:fill="auto"/>
            <w:noWrap/>
            <w:vAlign w:val="bottom"/>
            <w:hideMark/>
          </w:tcPr>
          <w:p w14:paraId="25E0DE6B" w14:textId="77777777"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p>
        </w:tc>
        <w:tc>
          <w:tcPr>
            <w:tcW w:w="862" w:type="pct"/>
            <w:tcBorders>
              <w:top w:val="nil"/>
              <w:left w:val="nil"/>
              <w:bottom w:val="nil"/>
              <w:right w:val="nil"/>
            </w:tcBorders>
            <w:shd w:val="clear" w:color="auto" w:fill="auto"/>
            <w:noWrap/>
            <w:vAlign w:val="bottom"/>
            <w:hideMark/>
          </w:tcPr>
          <w:p w14:paraId="3EC17348" w14:textId="73DA982C"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(1.183)</w:t>
            </w:r>
          </w:p>
        </w:tc>
      </w:tr>
      <w:tr w:rsidR="000201AE" w:rsidRPr="000201AE" w14:paraId="192C95D9" w14:textId="77777777" w:rsidTr="003072B4">
        <w:trPr>
          <w:trHeight w:val="20"/>
        </w:trPr>
        <w:tc>
          <w:tcPr>
            <w:tcW w:w="3191" w:type="pct"/>
            <w:tcBorders>
              <w:top w:val="nil"/>
              <w:left w:val="nil"/>
              <w:bottom w:val="nil"/>
              <w:right w:val="nil"/>
            </w:tcBorders>
            <w:shd w:val="clear" w:color="auto" w:fill="auto"/>
            <w:noWrap/>
            <w:vAlign w:val="bottom"/>
            <w:hideMark/>
          </w:tcPr>
          <w:p w14:paraId="58D6F50B" w14:textId="77777777" w:rsidR="000201AE" w:rsidRPr="000201AE" w:rsidRDefault="000201AE" w:rsidP="000201AE">
            <w:pPr>
              <w:spacing w:after="0" w:line="240" w:lineRule="auto"/>
              <w:ind w:firstLineChars="200" w:firstLine="360"/>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Aquisição de participação em investidas</w:t>
            </w:r>
          </w:p>
        </w:tc>
        <w:tc>
          <w:tcPr>
            <w:tcW w:w="874" w:type="pct"/>
            <w:tcBorders>
              <w:top w:val="nil"/>
              <w:left w:val="nil"/>
              <w:bottom w:val="nil"/>
              <w:right w:val="nil"/>
            </w:tcBorders>
            <w:shd w:val="clear" w:color="auto" w:fill="auto"/>
            <w:noWrap/>
            <w:vAlign w:val="bottom"/>
            <w:hideMark/>
          </w:tcPr>
          <w:p w14:paraId="49837D2A" w14:textId="7748CC6D"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(4.782.279)</w:t>
            </w:r>
          </w:p>
        </w:tc>
        <w:tc>
          <w:tcPr>
            <w:tcW w:w="73" w:type="pct"/>
            <w:tcBorders>
              <w:top w:val="nil"/>
              <w:left w:val="nil"/>
              <w:bottom w:val="nil"/>
              <w:right w:val="nil"/>
            </w:tcBorders>
            <w:shd w:val="clear" w:color="auto" w:fill="auto"/>
            <w:noWrap/>
            <w:vAlign w:val="bottom"/>
            <w:hideMark/>
          </w:tcPr>
          <w:p w14:paraId="546589C0" w14:textId="77777777"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p>
        </w:tc>
        <w:tc>
          <w:tcPr>
            <w:tcW w:w="862" w:type="pct"/>
            <w:tcBorders>
              <w:top w:val="nil"/>
              <w:left w:val="nil"/>
              <w:bottom w:val="nil"/>
              <w:right w:val="nil"/>
            </w:tcBorders>
            <w:shd w:val="clear" w:color="auto" w:fill="auto"/>
            <w:noWrap/>
            <w:vAlign w:val="bottom"/>
            <w:hideMark/>
          </w:tcPr>
          <w:p w14:paraId="56626E41" w14:textId="697F3BE9"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(1.290.036)</w:t>
            </w:r>
          </w:p>
        </w:tc>
      </w:tr>
      <w:tr w:rsidR="000201AE" w:rsidRPr="000201AE" w14:paraId="29115EEB" w14:textId="77777777" w:rsidTr="003072B4">
        <w:trPr>
          <w:trHeight w:val="20"/>
        </w:trPr>
        <w:tc>
          <w:tcPr>
            <w:tcW w:w="3191" w:type="pct"/>
            <w:tcBorders>
              <w:top w:val="nil"/>
              <w:left w:val="nil"/>
              <w:bottom w:val="nil"/>
              <w:right w:val="nil"/>
            </w:tcBorders>
            <w:shd w:val="clear" w:color="auto" w:fill="auto"/>
            <w:noWrap/>
            <w:vAlign w:val="bottom"/>
            <w:hideMark/>
          </w:tcPr>
          <w:p w14:paraId="5E7D5E54" w14:textId="77777777" w:rsidR="000201AE" w:rsidRPr="000201AE" w:rsidRDefault="000201AE" w:rsidP="000201AE">
            <w:pPr>
              <w:spacing w:after="0" w:line="240" w:lineRule="auto"/>
              <w:ind w:firstLineChars="200" w:firstLine="360"/>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Resgate de títulos e valores mobiliários</w:t>
            </w:r>
          </w:p>
        </w:tc>
        <w:tc>
          <w:tcPr>
            <w:tcW w:w="874" w:type="pct"/>
            <w:tcBorders>
              <w:top w:val="nil"/>
              <w:left w:val="nil"/>
              <w:bottom w:val="nil"/>
              <w:right w:val="nil"/>
            </w:tcBorders>
            <w:shd w:val="clear" w:color="auto" w:fill="auto"/>
            <w:noWrap/>
            <w:vAlign w:val="bottom"/>
            <w:hideMark/>
          </w:tcPr>
          <w:p w14:paraId="0A9894B6" w14:textId="7C94E76F"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(7.757)</w:t>
            </w:r>
          </w:p>
        </w:tc>
        <w:tc>
          <w:tcPr>
            <w:tcW w:w="73" w:type="pct"/>
            <w:tcBorders>
              <w:top w:val="nil"/>
              <w:left w:val="nil"/>
              <w:bottom w:val="nil"/>
              <w:right w:val="nil"/>
            </w:tcBorders>
            <w:shd w:val="clear" w:color="auto" w:fill="auto"/>
            <w:noWrap/>
            <w:vAlign w:val="bottom"/>
            <w:hideMark/>
          </w:tcPr>
          <w:p w14:paraId="1A8DB594" w14:textId="77777777"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p>
        </w:tc>
        <w:tc>
          <w:tcPr>
            <w:tcW w:w="862" w:type="pct"/>
            <w:tcBorders>
              <w:top w:val="nil"/>
              <w:left w:val="nil"/>
              <w:bottom w:val="nil"/>
              <w:right w:val="nil"/>
            </w:tcBorders>
            <w:shd w:val="clear" w:color="auto" w:fill="auto"/>
            <w:noWrap/>
            <w:vAlign w:val="bottom"/>
            <w:hideMark/>
          </w:tcPr>
          <w:p w14:paraId="497BAFBA" w14:textId="0909C3E5"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(3.515.501)</w:t>
            </w:r>
          </w:p>
        </w:tc>
      </w:tr>
      <w:tr w:rsidR="000201AE" w:rsidRPr="000201AE" w14:paraId="09855C1B" w14:textId="77777777" w:rsidTr="003072B4">
        <w:trPr>
          <w:trHeight w:val="20"/>
        </w:trPr>
        <w:tc>
          <w:tcPr>
            <w:tcW w:w="3191" w:type="pct"/>
            <w:tcBorders>
              <w:top w:val="nil"/>
              <w:left w:val="nil"/>
              <w:bottom w:val="nil"/>
              <w:right w:val="nil"/>
            </w:tcBorders>
            <w:shd w:val="clear" w:color="auto" w:fill="auto"/>
            <w:vAlign w:val="bottom"/>
            <w:hideMark/>
          </w:tcPr>
          <w:p w14:paraId="1A7329E0" w14:textId="370E1107" w:rsidR="000201AE" w:rsidRPr="000201AE" w:rsidRDefault="000201AE" w:rsidP="000201AE">
            <w:pPr>
              <w:spacing w:after="0" w:line="240" w:lineRule="auto"/>
              <w:rPr>
                <w:rFonts w:ascii="Verdana" w:eastAsia="Times New Roman" w:hAnsi="Verdana" w:cs="Calibri"/>
                <w:b/>
                <w:bCs/>
                <w:sz w:val="18"/>
                <w:szCs w:val="18"/>
                <w:lang w:eastAsia="pt-BR"/>
              </w:rPr>
            </w:pPr>
            <w:r w:rsidRPr="000201AE">
              <w:rPr>
                <w:rFonts w:ascii="Verdana" w:eastAsia="Times New Roman" w:hAnsi="Verdana" w:cs="Calibri"/>
                <w:b/>
                <w:bCs/>
                <w:sz w:val="18"/>
                <w:szCs w:val="18"/>
                <w:lang w:eastAsia="pt-BR"/>
              </w:rPr>
              <w:t>Caixa líquido proveniente das atividades de investimento</w:t>
            </w:r>
          </w:p>
        </w:tc>
        <w:tc>
          <w:tcPr>
            <w:tcW w:w="874" w:type="pct"/>
            <w:tcBorders>
              <w:top w:val="single" w:sz="4" w:space="0" w:color="000000"/>
              <w:left w:val="nil"/>
              <w:bottom w:val="double" w:sz="6" w:space="0" w:color="000000"/>
              <w:right w:val="nil"/>
            </w:tcBorders>
            <w:shd w:val="clear" w:color="auto" w:fill="auto"/>
            <w:noWrap/>
            <w:vAlign w:val="bottom"/>
            <w:hideMark/>
          </w:tcPr>
          <w:p w14:paraId="4F1A3B4F" w14:textId="4C84A7B6" w:rsidR="000201AE" w:rsidRPr="000201AE" w:rsidRDefault="000201AE" w:rsidP="000201AE">
            <w:pPr>
              <w:spacing w:after="0" w:line="240" w:lineRule="auto"/>
              <w:ind w:firstLineChars="200" w:firstLine="361"/>
              <w:jc w:val="right"/>
              <w:rPr>
                <w:rFonts w:ascii="Verdana" w:eastAsia="Times New Roman" w:hAnsi="Verdana" w:cs="Calibri"/>
                <w:b/>
                <w:bCs/>
                <w:sz w:val="18"/>
                <w:szCs w:val="18"/>
                <w:lang w:eastAsia="pt-BR"/>
              </w:rPr>
            </w:pPr>
            <w:r w:rsidRPr="000201AE">
              <w:rPr>
                <w:rFonts w:ascii="Verdana" w:eastAsia="Times New Roman" w:hAnsi="Verdana" w:cs="Calibri"/>
                <w:b/>
                <w:bCs/>
                <w:sz w:val="18"/>
                <w:szCs w:val="18"/>
                <w:lang w:eastAsia="pt-BR"/>
              </w:rPr>
              <w:t>(4.790.036)</w:t>
            </w:r>
          </w:p>
        </w:tc>
        <w:tc>
          <w:tcPr>
            <w:tcW w:w="73" w:type="pct"/>
            <w:tcBorders>
              <w:top w:val="nil"/>
              <w:left w:val="nil"/>
              <w:bottom w:val="nil"/>
              <w:right w:val="nil"/>
            </w:tcBorders>
            <w:shd w:val="clear" w:color="auto" w:fill="auto"/>
            <w:noWrap/>
            <w:vAlign w:val="bottom"/>
            <w:hideMark/>
          </w:tcPr>
          <w:p w14:paraId="3C6223BC" w14:textId="77777777" w:rsidR="000201AE" w:rsidRPr="000201AE" w:rsidRDefault="000201AE" w:rsidP="000201AE">
            <w:pPr>
              <w:spacing w:after="0" w:line="240" w:lineRule="auto"/>
              <w:ind w:firstLineChars="200" w:firstLine="361"/>
              <w:jc w:val="right"/>
              <w:rPr>
                <w:rFonts w:ascii="Verdana" w:eastAsia="Times New Roman" w:hAnsi="Verdana" w:cs="Calibri"/>
                <w:b/>
                <w:bCs/>
                <w:sz w:val="18"/>
                <w:szCs w:val="18"/>
                <w:lang w:eastAsia="pt-BR"/>
              </w:rPr>
            </w:pPr>
          </w:p>
        </w:tc>
        <w:tc>
          <w:tcPr>
            <w:tcW w:w="862" w:type="pct"/>
            <w:tcBorders>
              <w:top w:val="single" w:sz="4" w:space="0" w:color="000000"/>
              <w:left w:val="nil"/>
              <w:bottom w:val="double" w:sz="6" w:space="0" w:color="000000"/>
              <w:right w:val="nil"/>
            </w:tcBorders>
            <w:shd w:val="clear" w:color="auto" w:fill="auto"/>
            <w:noWrap/>
            <w:vAlign w:val="bottom"/>
            <w:hideMark/>
          </w:tcPr>
          <w:p w14:paraId="1C01BB91" w14:textId="739DBDFF" w:rsidR="000201AE" w:rsidRPr="000201AE" w:rsidRDefault="000201AE" w:rsidP="000201AE">
            <w:pPr>
              <w:spacing w:after="0" w:line="240" w:lineRule="auto"/>
              <w:ind w:firstLineChars="200" w:firstLine="361"/>
              <w:jc w:val="right"/>
              <w:rPr>
                <w:rFonts w:ascii="Verdana" w:eastAsia="Times New Roman" w:hAnsi="Verdana" w:cs="Calibri"/>
                <w:b/>
                <w:bCs/>
                <w:sz w:val="18"/>
                <w:szCs w:val="18"/>
                <w:lang w:eastAsia="pt-BR"/>
              </w:rPr>
            </w:pPr>
            <w:r w:rsidRPr="000201AE">
              <w:rPr>
                <w:rFonts w:ascii="Verdana" w:eastAsia="Times New Roman" w:hAnsi="Verdana" w:cs="Calibri"/>
                <w:b/>
                <w:bCs/>
                <w:sz w:val="18"/>
                <w:szCs w:val="18"/>
                <w:lang w:eastAsia="pt-BR"/>
              </w:rPr>
              <w:t>(4.997.283)</w:t>
            </w:r>
          </w:p>
        </w:tc>
      </w:tr>
      <w:tr w:rsidR="000201AE" w:rsidRPr="000201AE" w14:paraId="602638EB" w14:textId="77777777" w:rsidTr="003072B4">
        <w:trPr>
          <w:trHeight w:val="20"/>
        </w:trPr>
        <w:tc>
          <w:tcPr>
            <w:tcW w:w="3191" w:type="pct"/>
            <w:tcBorders>
              <w:top w:val="nil"/>
              <w:left w:val="nil"/>
              <w:bottom w:val="nil"/>
              <w:right w:val="nil"/>
            </w:tcBorders>
            <w:shd w:val="clear" w:color="auto" w:fill="auto"/>
            <w:noWrap/>
            <w:vAlign w:val="bottom"/>
            <w:hideMark/>
          </w:tcPr>
          <w:p w14:paraId="5C2B34A6" w14:textId="77777777" w:rsidR="000201AE" w:rsidRPr="000201AE" w:rsidRDefault="000201AE" w:rsidP="000201AE">
            <w:pPr>
              <w:spacing w:after="0" w:line="240" w:lineRule="auto"/>
              <w:ind w:firstLineChars="200" w:firstLine="361"/>
              <w:rPr>
                <w:rFonts w:ascii="Verdana" w:eastAsia="Times New Roman" w:hAnsi="Verdana" w:cs="Calibri"/>
                <w:b/>
                <w:bCs/>
                <w:sz w:val="18"/>
                <w:szCs w:val="18"/>
                <w:lang w:eastAsia="pt-BR"/>
              </w:rPr>
            </w:pPr>
          </w:p>
        </w:tc>
        <w:tc>
          <w:tcPr>
            <w:tcW w:w="874" w:type="pct"/>
            <w:tcBorders>
              <w:top w:val="nil"/>
              <w:left w:val="nil"/>
              <w:bottom w:val="nil"/>
              <w:right w:val="nil"/>
            </w:tcBorders>
            <w:shd w:val="clear" w:color="auto" w:fill="auto"/>
            <w:noWrap/>
            <w:vAlign w:val="bottom"/>
            <w:hideMark/>
          </w:tcPr>
          <w:p w14:paraId="008FB108" w14:textId="77777777" w:rsidR="000201AE" w:rsidRPr="000201AE" w:rsidRDefault="000201AE" w:rsidP="000201AE">
            <w:pPr>
              <w:spacing w:after="0" w:line="240" w:lineRule="auto"/>
              <w:jc w:val="right"/>
              <w:rPr>
                <w:rFonts w:ascii="Times New Roman" w:eastAsia="Times New Roman" w:hAnsi="Times New Roman" w:cs="Times New Roman"/>
                <w:sz w:val="20"/>
                <w:szCs w:val="20"/>
                <w:lang w:eastAsia="pt-BR"/>
              </w:rPr>
            </w:pPr>
          </w:p>
        </w:tc>
        <w:tc>
          <w:tcPr>
            <w:tcW w:w="73" w:type="pct"/>
            <w:tcBorders>
              <w:top w:val="nil"/>
              <w:left w:val="nil"/>
              <w:bottom w:val="nil"/>
              <w:right w:val="nil"/>
            </w:tcBorders>
            <w:shd w:val="clear" w:color="auto" w:fill="auto"/>
            <w:noWrap/>
            <w:vAlign w:val="bottom"/>
            <w:hideMark/>
          </w:tcPr>
          <w:p w14:paraId="23872286" w14:textId="77777777" w:rsidR="000201AE" w:rsidRPr="000201AE" w:rsidRDefault="000201AE" w:rsidP="000201AE">
            <w:pPr>
              <w:spacing w:after="0" w:line="240" w:lineRule="auto"/>
              <w:ind w:firstLineChars="200" w:firstLine="400"/>
              <w:jc w:val="right"/>
              <w:rPr>
                <w:rFonts w:ascii="Times New Roman" w:eastAsia="Times New Roman" w:hAnsi="Times New Roman" w:cs="Times New Roman"/>
                <w:sz w:val="20"/>
                <w:szCs w:val="20"/>
                <w:lang w:eastAsia="pt-BR"/>
              </w:rPr>
            </w:pPr>
          </w:p>
        </w:tc>
        <w:tc>
          <w:tcPr>
            <w:tcW w:w="862" w:type="pct"/>
            <w:tcBorders>
              <w:top w:val="nil"/>
              <w:left w:val="nil"/>
              <w:bottom w:val="nil"/>
              <w:right w:val="nil"/>
            </w:tcBorders>
            <w:shd w:val="clear" w:color="auto" w:fill="auto"/>
            <w:noWrap/>
            <w:vAlign w:val="bottom"/>
            <w:hideMark/>
          </w:tcPr>
          <w:p w14:paraId="12444560" w14:textId="77777777" w:rsidR="000201AE" w:rsidRPr="000201AE" w:rsidRDefault="000201AE" w:rsidP="000201AE">
            <w:pPr>
              <w:spacing w:after="0" w:line="240" w:lineRule="auto"/>
              <w:jc w:val="right"/>
              <w:rPr>
                <w:rFonts w:ascii="Times New Roman" w:eastAsia="Times New Roman" w:hAnsi="Times New Roman" w:cs="Times New Roman"/>
                <w:sz w:val="20"/>
                <w:szCs w:val="20"/>
                <w:lang w:eastAsia="pt-BR"/>
              </w:rPr>
            </w:pPr>
          </w:p>
        </w:tc>
      </w:tr>
      <w:tr w:rsidR="000201AE" w:rsidRPr="000201AE" w14:paraId="1E323512" w14:textId="77777777" w:rsidTr="003072B4">
        <w:trPr>
          <w:trHeight w:val="20"/>
        </w:trPr>
        <w:tc>
          <w:tcPr>
            <w:tcW w:w="3191" w:type="pct"/>
            <w:tcBorders>
              <w:top w:val="nil"/>
              <w:left w:val="nil"/>
              <w:bottom w:val="nil"/>
              <w:right w:val="nil"/>
            </w:tcBorders>
            <w:shd w:val="clear" w:color="auto" w:fill="auto"/>
            <w:noWrap/>
            <w:vAlign w:val="bottom"/>
          </w:tcPr>
          <w:p w14:paraId="5CF3919F" w14:textId="77777777" w:rsidR="000201AE" w:rsidRPr="000201AE" w:rsidRDefault="000201AE" w:rsidP="000201AE">
            <w:pPr>
              <w:spacing w:after="0" w:line="240" w:lineRule="auto"/>
              <w:ind w:firstLineChars="200" w:firstLine="201"/>
              <w:rPr>
                <w:rFonts w:ascii="Verdana" w:eastAsia="Times New Roman" w:hAnsi="Verdana" w:cs="Calibri"/>
                <w:b/>
                <w:bCs/>
                <w:sz w:val="10"/>
                <w:szCs w:val="10"/>
                <w:lang w:eastAsia="pt-BR"/>
              </w:rPr>
            </w:pPr>
          </w:p>
        </w:tc>
        <w:tc>
          <w:tcPr>
            <w:tcW w:w="874" w:type="pct"/>
            <w:tcBorders>
              <w:top w:val="nil"/>
              <w:left w:val="nil"/>
              <w:bottom w:val="single" w:sz="4" w:space="0" w:color="auto"/>
              <w:right w:val="nil"/>
            </w:tcBorders>
            <w:shd w:val="clear" w:color="auto" w:fill="auto"/>
            <w:noWrap/>
            <w:vAlign w:val="bottom"/>
          </w:tcPr>
          <w:p w14:paraId="07265C41" w14:textId="77777777" w:rsidR="000201AE" w:rsidRPr="000201AE" w:rsidRDefault="000201AE" w:rsidP="000201AE">
            <w:pPr>
              <w:spacing w:after="0" w:line="240" w:lineRule="auto"/>
              <w:jc w:val="right"/>
              <w:rPr>
                <w:rFonts w:ascii="Times New Roman" w:eastAsia="Times New Roman" w:hAnsi="Times New Roman" w:cs="Times New Roman"/>
                <w:sz w:val="10"/>
                <w:szCs w:val="10"/>
                <w:lang w:eastAsia="pt-BR"/>
              </w:rPr>
            </w:pPr>
          </w:p>
        </w:tc>
        <w:tc>
          <w:tcPr>
            <w:tcW w:w="73" w:type="pct"/>
            <w:tcBorders>
              <w:top w:val="nil"/>
              <w:left w:val="nil"/>
              <w:bottom w:val="nil"/>
              <w:right w:val="nil"/>
            </w:tcBorders>
            <w:shd w:val="clear" w:color="auto" w:fill="auto"/>
            <w:noWrap/>
            <w:vAlign w:val="bottom"/>
          </w:tcPr>
          <w:p w14:paraId="65ADD4C5" w14:textId="77777777" w:rsidR="000201AE" w:rsidRPr="000201AE" w:rsidRDefault="000201AE" w:rsidP="000201AE">
            <w:pPr>
              <w:spacing w:after="0" w:line="240" w:lineRule="auto"/>
              <w:ind w:firstLineChars="200" w:firstLine="200"/>
              <w:jc w:val="right"/>
              <w:rPr>
                <w:rFonts w:ascii="Times New Roman" w:eastAsia="Times New Roman" w:hAnsi="Times New Roman" w:cs="Times New Roman"/>
                <w:sz w:val="10"/>
                <w:szCs w:val="10"/>
                <w:lang w:eastAsia="pt-BR"/>
              </w:rPr>
            </w:pPr>
          </w:p>
        </w:tc>
        <w:tc>
          <w:tcPr>
            <w:tcW w:w="862" w:type="pct"/>
            <w:tcBorders>
              <w:top w:val="nil"/>
              <w:left w:val="nil"/>
              <w:bottom w:val="single" w:sz="4" w:space="0" w:color="auto"/>
              <w:right w:val="nil"/>
            </w:tcBorders>
            <w:shd w:val="clear" w:color="auto" w:fill="auto"/>
            <w:noWrap/>
            <w:vAlign w:val="bottom"/>
          </w:tcPr>
          <w:p w14:paraId="58C87B62" w14:textId="77777777" w:rsidR="000201AE" w:rsidRPr="000201AE" w:rsidRDefault="000201AE" w:rsidP="000201AE">
            <w:pPr>
              <w:spacing w:after="0" w:line="240" w:lineRule="auto"/>
              <w:jc w:val="right"/>
              <w:rPr>
                <w:rFonts w:ascii="Times New Roman" w:eastAsia="Times New Roman" w:hAnsi="Times New Roman" w:cs="Times New Roman"/>
                <w:sz w:val="10"/>
                <w:szCs w:val="10"/>
                <w:lang w:eastAsia="pt-BR"/>
              </w:rPr>
            </w:pPr>
          </w:p>
        </w:tc>
      </w:tr>
      <w:tr w:rsidR="000201AE" w:rsidRPr="000201AE" w14:paraId="4F7DE37C" w14:textId="77777777" w:rsidTr="003072B4">
        <w:trPr>
          <w:trHeight w:val="20"/>
        </w:trPr>
        <w:tc>
          <w:tcPr>
            <w:tcW w:w="3191" w:type="pct"/>
            <w:tcBorders>
              <w:top w:val="nil"/>
              <w:left w:val="nil"/>
              <w:bottom w:val="nil"/>
              <w:right w:val="nil"/>
            </w:tcBorders>
            <w:shd w:val="clear" w:color="auto" w:fill="auto"/>
            <w:noWrap/>
            <w:vAlign w:val="bottom"/>
            <w:hideMark/>
          </w:tcPr>
          <w:p w14:paraId="09BD5B01" w14:textId="4438689E" w:rsidR="000201AE" w:rsidRPr="000201AE" w:rsidRDefault="000201AE" w:rsidP="000201AE">
            <w:pPr>
              <w:spacing w:after="0" w:line="240" w:lineRule="auto"/>
              <w:rPr>
                <w:rFonts w:ascii="Verdana" w:eastAsia="Times New Roman" w:hAnsi="Verdana" w:cs="Calibri"/>
                <w:b/>
                <w:bCs/>
                <w:sz w:val="18"/>
                <w:szCs w:val="18"/>
                <w:lang w:eastAsia="pt-BR"/>
              </w:rPr>
            </w:pPr>
            <w:r>
              <w:rPr>
                <w:rFonts w:ascii="Verdana" w:eastAsia="Times New Roman" w:hAnsi="Verdana" w:cs="Calibri"/>
                <w:b/>
                <w:bCs/>
                <w:sz w:val="18"/>
                <w:szCs w:val="18"/>
                <w:lang w:eastAsia="pt-BR"/>
              </w:rPr>
              <w:t>A</w:t>
            </w:r>
            <w:r w:rsidRPr="000201AE">
              <w:rPr>
                <w:rFonts w:ascii="Verdana" w:eastAsia="Times New Roman" w:hAnsi="Verdana" w:cs="Calibri"/>
                <w:b/>
                <w:bCs/>
                <w:sz w:val="18"/>
                <w:szCs w:val="18"/>
                <w:lang w:eastAsia="pt-BR"/>
              </w:rPr>
              <w:t>umento no caixa e equivalentes de caixa</w:t>
            </w:r>
          </w:p>
        </w:tc>
        <w:tc>
          <w:tcPr>
            <w:tcW w:w="874" w:type="pct"/>
            <w:tcBorders>
              <w:top w:val="single" w:sz="4" w:space="0" w:color="auto"/>
              <w:left w:val="nil"/>
              <w:bottom w:val="nil"/>
              <w:right w:val="nil"/>
            </w:tcBorders>
            <w:shd w:val="clear" w:color="auto" w:fill="auto"/>
            <w:noWrap/>
            <w:vAlign w:val="bottom"/>
            <w:hideMark/>
          </w:tcPr>
          <w:p w14:paraId="4058F607" w14:textId="1DE94085" w:rsidR="000201AE" w:rsidRPr="000201AE" w:rsidRDefault="000201AE" w:rsidP="000201AE">
            <w:pPr>
              <w:spacing w:after="0" w:line="240" w:lineRule="auto"/>
              <w:jc w:val="right"/>
              <w:rPr>
                <w:rFonts w:ascii="Verdana" w:eastAsia="Times New Roman" w:hAnsi="Verdana" w:cs="Calibri"/>
                <w:b/>
                <w:bCs/>
                <w:sz w:val="18"/>
                <w:szCs w:val="18"/>
                <w:lang w:eastAsia="pt-BR"/>
              </w:rPr>
            </w:pPr>
            <w:r w:rsidRPr="000201AE">
              <w:rPr>
                <w:rFonts w:ascii="Verdana" w:eastAsia="Times New Roman" w:hAnsi="Verdana" w:cs="Calibri"/>
                <w:b/>
                <w:bCs/>
                <w:sz w:val="18"/>
                <w:szCs w:val="18"/>
                <w:lang w:eastAsia="pt-BR"/>
              </w:rPr>
              <w:t>1.545.707</w:t>
            </w:r>
          </w:p>
        </w:tc>
        <w:tc>
          <w:tcPr>
            <w:tcW w:w="73" w:type="pct"/>
            <w:tcBorders>
              <w:top w:val="nil"/>
              <w:left w:val="nil"/>
              <w:bottom w:val="nil"/>
              <w:right w:val="nil"/>
            </w:tcBorders>
            <w:shd w:val="clear" w:color="auto" w:fill="auto"/>
            <w:noWrap/>
            <w:vAlign w:val="bottom"/>
            <w:hideMark/>
          </w:tcPr>
          <w:p w14:paraId="2FE33B04" w14:textId="77777777" w:rsidR="000201AE" w:rsidRPr="000201AE" w:rsidRDefault="000201AE" w:rsidP="000201AE">
            <w:pPr>
              <w:spacing w:after="0" w:line="240" w:lineRule="auto"/>
              <w:ind w:firstLineChars="200" w:firstLine="400"/>
              <w:jc w:val="right"/>
              <w:rPr>
                <w:rFonts w:ascii="Times New Roman" w:eastAsia="Times New Roman" w:hAnsi="Times New Roman" w:cs="Times New Roman"/>
                <w:sz w:val="20"/>
                <w:szCs w:val="20"/>
                <w:lang w:eastAsia="pt-BR"/>
              </w:rPr>
            </w:pPr>
          </w:p>
        </w:tc>
        <w:tc>
          <w:tcPr>
            <w:tcW w:w="862" w:type="pct"/>
            <w:tcBorders>
              <w:top w:val="single" w:sz="4" w:space="0" w:color="auto"/>
              <w:left w:val="nil"/>
              <w:bottom w:val="single" w:sz="4" w:space="0" w:color="auto"/>
              <w:right w:val="nil"/>
            </w:tcBorders>
            <w:shd w:val="clear" w:color="auto" w:fill="auto"/>
            <w:noWrap/>
            <w:vAlign w:val="bottom"/>
            <w:hideMark/>
          </w:tcPr>
          <w:p w14:paraId="3B5BE571" w14:textId="185CE371" w:rsidR="000201AE" w:rsidRPr="000201AE" w:rsidRDefault="000201AE" w:rsidP="000201AE">
            <w:pPr>
              <w:spacing w:after="0" w:line="240" w:lineRule="auto"/>
              <w:jc w:val="right"/>
              <w:rPr>
                <w:rFonts w:ascii="Verdana" w:eastAsia="Times New Roman" w:hAnsi="Verdana" w:cs="Calibri"/>
                <w:b/>
                <w:bCs/>
                <w:sz w:val="18"/>
                <w:szCs w:val="18"/>
                <w:lang w:eastAsia="pt-BR"/>
              </w:rPr>
            </w:pPr>
            <w:r w:rsidRPr="000201AE">
              <w:rPr>
                <w:rFonts w:ascii="Verdana" w:eastAsia="Times New Roman" w:hAnsi="Verdana" w:cs="Calibri"/>
                <w:b/>
                <w:bCs/>
                <w:sz w:val="18"/>
                <w:szCs w:val="18"/>
                <w:lang w:eastAsia="pt-BR"/>
              </w:rPr>
              <w:t>1.544.465</w:t>
            </w:r>
          </w:p>
        </w:tc>
      </w:tr>
      <w:tr w:rsidR="000201AE" w:rsidRPr="000201AE" w14:paraId="1E758C0D" w14:textId="77777777" w:rsidTr="003072B4">
        <w:trPr>
          <w:trHeight w:val="20"/>
        </w:trPr>
        <w:tc>
          <w:tcPr>
            <w:tcW w:w="3191" w:type="pct"/>
            <w:tcBorders>
              <w:top w:val="nil"/>
              <w:left w:val="nil"/>
              <w:bottom w:val="nil"/>
              <w:right w:val="nil"/>
            </w:tcBorders>
            <w:shd w:val="clear" w:color="auto" w:fill="auto"/>
            <w:noWrap/>
            <w:vAlign w:val="bottom"/>
            <w:hideMark/>
          </w:tcPr>
          <w:p w14:paraId="2C61E502" w14:textId="77777777" w:rsidR="000201AE" w:rsidRPr="000201AE" w:rsidRDefault="000201AE" w:rsidP="000201AE">
            <w:pPr>
              <w:spacing w:after="0" w:line="240" w:lineRule="auto"/>
              <w:ind w:firstLineChars="200" w:firstLine="361"/>
              <w:rPr>
                <w:rFonts w:ascii="Verdana" w:eastAsia="Times New Roman" w:hAnsi="Verdana" w:cs="Calibri"/>
                <w:b/>
                <w:bCs/>
                <w:sz w:val="18"/>
                <w:szCs w:val="18"/>
                <w:lang w:eastAsia="pt-BR"/>
              </w:rPr>
            </w:pPr>
          </w:p>
        </w:tc>
        <w:tc>
          <w:tcPr>
            <w:tcW w:w="874" w:type="pct"/>
            <w:tcBorders>
              <w:top w:val="nil"/>
              <w:left w:val="nil"/>
              <w:bottom w:val="single" w:sz="4" w:space="0" w:color="auto"/>
              <w:right w:val="nil"/>
            </w:tcBorders>
            <w:shd w:val="clear" w:color="auto" w:fill="auto"/>
            <w:noWrap/>
            <w:vAlign w:val="bottom"/>
            <w:hideMark/>
          </w:tcPr>
          <w:p w14:paraId="429B529F" w14:textId="77777777" w:rsidR="000201AE" w:rsidRPr="000201AE" w:rsidRDefault="000201AE" w:rsidP="000201AE">
            <w:pPr>
              <w:spacing w:after="0" w:line="240" w:lineRule="auto"/>
              <w:jc w:val="right"/>
              <w:rPr>
                <w:rFonts w:ascii="Times New Roman" w:eastAsia="Times New Roman" w:hAnsi="Times New Roman" w:cs="Times New Roman"/>
                <w:sz w:val="20"/>
                <w:szCs w:val="20"/>
                <w:lang w:eastAsia="pt-BR"/>
              </w:rPr>
            </w:pPr>
          </w:p>
        </w:tc>
        <w:tc>
          <w:tcPr>
            <w:tcW w:w="73" w:type="pct"/>
            <w:tcBorders>
              <w:top w:val="nil"/>
              <w:left w:val="nil"/>
              <w:bottom w:val="nil"/>
              <w:right w:val="nil"/>
            </w:tcBorders>
            <w:shd w:val="clear" w:color="auto" w:fill="auto"/>
            <w:noWrap/>
            <w:vAlign w:val="bottom"/>
            <w:hideMark/>
          </w:tcPr>
          <w:p w14:paraId="5BBD6FE2" w14:textId="77777777" w:rsidR="000201AE" w:rsidRPr="000201AE" w:rsidRDefault="000201AE" w:rsidP="000201AE">
            <w:pPr>
              <w:spacing w:after="0" w:line="240" w:lineRule="auto"/>
              <w:ind w:firstLineChars="200" w:firstLine="400"/>
              <w:jc w:val="right"/>
              <w:rPr>
                <w:rFonts w:ascii="Times New Roman" w:eastAsia="Times New Roman" w:hAnsi="Times New Roman" w:cs="Times New Roman"/>
                <w:sz w:val="20"/>
                <w:szCs w:val="20"/>
                <w:lang w:eastAsia="pt-BR"/>
              </w:rPr>
            </w:pPr>
          </w:p>
        </w:tc>
        <w:tc>
          <w:tcPr>
            <w:tcW w:w="862" w:type="pct"/>
            <w:tcBorders>
              <w:top w:val="single" w:sz="4" w:space="0" w:color="auto"/>
              <w:left w:val="nil"/>
              <w:bottom w:val="nil"/>
              <w:right w:val="nil"/>
            </w:tcBorders>
            <w:shd w:val="clear" w:color="auto" w:fill="auto"/>
            <w:noWrap/>
            <w:vAlign w:val="bottom"/>
            <w:hideMark/>
          </w:tcPr>
          <w:p w14:paraId="0D7A0DF1" w14:textId="77777777" w:rsidR="000201AE" w:rsidRPr="000201AE" w:rsidRDefault="000201AE" w:rsidP="000201AE">
            <w:pPr>
              <w:spacing w:after="0" w:line="240" w:lineRule="auto"/>
              <w:jc w:val="right"/>
              <w:rPr>
                <w:rFonts w:ascii="Times New Roman" w:eastAsia="Times New Roman" w:hAnsi="Times New Roman" w:cs="Times New Roman"/>
                <w:sz w:val="20"/>
                <w:szCs w:val="20"/>
                <w:lang w:eastAsia="pt-BR"/>
              </w:rPr>
            </w:pPr>
          </w:p>
        </w:tc>
      </w:tr>
      <w:tr w:rsidR="000201AE" w:rsidRPr="000201AE" w14:paraId="1C14EFF6" w14:textId="77777777" w:rsidTr="003072B4">
        <w:trPr>
          <w:trHeight w:val="20"/>
        </w:trPr>
        <w:tc>
          <w:tcPr>
            <w:tcW w:w="3191" w:type="pct"/>
            <w:tcBorders>
              <w:top w:val="nil"/>
              <w:left w:val="nil"/>
              <w:bottom w:val="nil"/>
              <w:right w:val="nil"/>
            </w:tcBorders>
            <w:shd w:val="clear" w:color="auto" w:fill="auto"/>
            <w:noWrap/>
            <w:vAlign w:val="bottom"/>
            <w:hideMark/>
          </w:tcPr>
          <w:p w14:paraId="1E8A9CBA" w14:textId="77777777" w:rsidR="000201AE" w:rsidRPr="000201AE" w:rsidRDefault="000201AE" w:rsidP="000201AE">
            <w:pPr>
              <w:spacing w:after="0" w:line="240" w:lineRule="auto"/>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 xml:space="preserve">      Caixa e equivalentes de caixa no início do período</w:t>
            </w:r>
          </w:p>
        </w:tc>
        <w:tc>
          <w:tcPr>
            <w:tcW w:w="874" w:type="pct"/>
            <w:tcBorders>
              <w:top w:val="single" w:sz="4" w:space="0" w:color="auto"/>
              <w:left w:val="nil"/>
              <w:bottom w:val="nil"/>
              <w:right w:val="nil"/>
            </w:tcBorders>
            <w:shd w:val="clear" w:color="auto" w:fill="auto"/>
            <w:noWrap/>
            <w:vAlign w:val="bottom"/>
            <w:hideMark/>
          </w:tcPr>
          <w:p w14:paraId="46AB426B" w14:textId="171CF83F"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w:t>
            </w:r>
          </w:p>
        </w:tc>
        <w:tc>
          <w:tcPr>
            <w:tcW w:w="73" w:type="pct"/>
            <w:tcBorders>
              <w:top w:val="nil"/>
              <w:left w:val="nil"/>
              <w:bottom w:val="nil"/>
              <w:right w:val="nil"/>
            </w:tcBorders>
            <w:shd w:val="clear" w:color="auto" w:fill="auto"/>
            <w:noWrap/>
            <w:vAlign w:val="bottom"/>
            <w:hideMark/>
          </w:tcPr>
          <w:p w14:paraId="331FDB36" w14:textId="77777777"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p>
        </w:tc>
        <w:tc>
          <w:tcPr>
            <w:tcW w:w="862" w:type="pct"/>
            <w:tcBorders>
              <w:top w:val="nil"/>
              <w:left w:val="nil"/>
              <w:bottom w:val="nil"/>
              <w:right w:val="nil"/>
            </w:tcBorders>
            <w:shd w:val="clear" w:color="auto" w:fill="auto"/>
            <w:noWrap/>
            <w:vAlign w:val="bottom"/>
            <w:hideMark/>
          </w:tcPr>
          <w:p w14:paraId="68298660" w14:textId="6F093F91"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7.852</w:t>
            </w:r>
          </w:p>
        </w:tc>
      </w:tr>
      <w:tr w:rsidR="000201AE" w:rsidRPr="000201AE" w14:paraId="046FEFE1" w14:textId="77777777" w:rsidTr="003072B4">
        <w:trPr>
          <w:trHeight w:val="20"/>
        </w:trPr>
        <w:tc>
          <w:tcPr>
            <w:tcW w:w="3191" w:type="pct"/>
            <w:tcBorders>
              <w:top w:val="nil"/>
              <w:left w:val="nil"/>
              <w:bottom w:val="nil"/>
              <w:right w:val="nil"/>
            </w:tcBorders>
            <w:shd w:val="clear" w:color="auto" w:fill="auto"/>
            <w:noWrap/>
            <w:vAlign w:val="bottom"/>
            <w:hideMark/>
          </w:tcPr>
          <w:p w14:paraId="6A467719" w14:textId="77777777" w:rsidR="000201AE" w:rsidRPr="000201AE" w:rsidRDefault="000201AE" w:rsidP="000201AE">
            <w:pPr>
              <w:spacing w:after="0" w:line="240" w:lineRule="auto"/>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 xml:space="preserve">      Caixa e equivalentes de caixa no fim do período</w:t>
            </w:r>
          </w:p>
        </w:tc>
        <w:tc>
          <w:tcPr>
            <w:tcW w:w="874" w:type="pct"/>
            <w:tcBorders>
              <w:top w:val="nil"/>
              <w:left w:val="nil"/>
              <w:bottom w:val="nil"/>
              <w:right w:val="nil"/>
            </w:tcBorders>
            <w:shd w:val="clear" w:color="auto" w:fill="auto"/>
            <w:noWrap/>
            <w:vAlign w:val="bottom"/>
            <w:hideMark/>
          </w:tcPr>
          <w:p w14:paraId="2C53E5E8" w14:textId="2C48C322"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1.545.707</w:t>
            </w:r>
          </w:p>
        </w:tc>
        <w:tc>
          <w:tcPr>
            <w:tcW w:w="73" w:type="pct"/>
            <w:tcBorders>
              <w:top w:val="nil"/>
              <w:left w:val="nil"/>
              <w:bottom w:val="nil"/>
              <w:right w:val="nil"/>
            </w:tcBorders>
            <w:shd w:val="clear" w:color="auto" w:fill="auto"/>
            <w:noWrap/>
            <w:vAlign w:val="bottom"/>
            <w:hideMark/>
          </w:tcPr>
          <w:p w14:paraId="29A7B75F" w14:textId="77777777"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p>
        </w:tc>
        <w:tc>
          <w:tcPr>
            <w:tcW w:w="862" w:type="pct"/>
            <w:tcBorders>
              <w:top w:val="nil"/>
              <w:left w:val="nil"/>
              <w:bottom w:val="nil"/>
              <w:right w:val="nil"/>
            </w:tcBorders>
            <w:shd w:val="clear" w:color="auto" w:fill="auto"/>
            <w:noWrap/>
            <w:vAlign w:val="bottom"/>
            <w:hideMark/>
          </w:tcPr>
          <w:p w14:paraId="223272EF" w14:textId="382A1D6D" w:rsidR="000201AE" w:rsidRPr="000201AE" w:rsidRDefault="000201AE" w:rsidP="000201AE">
            <w:pPr>
              <w:spacing w:after="0" w:line="240" w:lineRule="auto"/>
              <w:ind w:firstLineChars="200" w:firstLine="360"/>
              <w:jc w:val="right"/>
              <w:rPr>
                <w:rFonts w:ascii="Verdana" w:eastAsia="Times New Roman" w:hAnsi="Verdana" w:cs="Calibri"/>
                <w:sz w:val="18"/>
                <w:szCs w:val="18"/>
                <w:lang w:eastAsia="pt-BR"/>
              </w:rPr>
            </w:pPr>
            <w:r w:rsidRPr="000201AE">
              <w:rPr>
                <w:rFonts w:ascii="Verdana" w:eastAsia="Times New Roman" w:hAnsi="Verdana" w:cs="Calibri"/>
                <w:sz w:val="18"/>
                <w:szCs w:val="18"/>
                <w:lang w:eastAsia="pt-BR"/>
              </w:rPr>
              <w:t>1.552.317</w:t>
            </w:r>
          </w:p>
        </w:tc>
      </w:tr>
      <w:tr w:rsidR="000201AE" w:rsidRPr="000201AE" w14:paraId="21B59B54" w14:textId="77777777" w:rsidTr="003072B4">
        <w:trPr>
          <w:trHeight w:val="20"/>
        </w:trPr>
        <w:tc>
          <w:tcPr>
            <w:tcW w:w="3191" w:type="pct"/>
            <w:tcBorders>
              <w:top w:val="nil"/>
              <w:left w:val="nil"/>
              <w:bottom w:val="nil"/>
              <w:right w:val="nil"/>
            </w:tcBorders>
            <w:shd w:val="clear" w:color="auto" w:fill="auto"/>
            <w:noWrap/>
            <w:vAlign w:val="bottom"/>
            <w:hideMark/>
          </w:tcPr>
          <w:p w14:paraId="55522EED" w14:textId="77777777" w:rsidR="000201AE" w:rsidRPr="000201AE" w:rsidRDefault="000201AE" w:rsidP="000201AE">
            <w:pPr>
              <w:spacing w:after="0" w:line="240" w:lineRule="auto"/>
              <w:ind w:firstLineChars="200" w:firstLine="360"/>
              <w:rPr>
                <w:rFonts w:ascii="Verdana" w:eastAsia="Times New Roman" w:hAnsi="Verdana" w:cs="Calibri"/>
                <w:sz w:val="18"/>
                <w:szCs w:val="18"/>
                <w:lang w:eastAsia="pt-BR"/>
              </w:rPr>
            </w:pPr>
          </w:p>
        </w:tc>
        <w:tc>
          <w:tcPr>
            <w:tcW w:w="874" w:type="pct"/>
            <w:tcBorders>
              <w:top w:val="single" w:sz="4" w:space="0" w:color="auto"/>
              <w:left w:val="nil"/>
              <w:bottom w:val="double" w:sz="6" w:space="0" w:color="auto"/>
              <w:right w:val="nil"/>
            </w:tcBorders>
            <w:shd w:val="clear" w:color="auto" w:fill="auto"/>
            <w:noWrap/>
            <w:vAlign w:val="center"/>
            <w:hideMark/>
          </w:tcPr>
          <w:p w14:paraId="4CDF3009" w14:textId="16F6A9AA" w:rsidR="000201AE" w:rsidRPr="000201AE" w:rsidRDefault="000201AE" w:rsidP="000201AE">
            <w:pPr>
              <w:spacing w:after="0" w:line="240" w:lineRule="auto"/>
              <w:jc w:val="right"/>
              <w:rPr>
                <w:rFonts w:ascii="Verdana" w:eastAsia="Times New Roman" w:hAnsi="Verdana" w:cs="Calibri"/>
                <w:b/>
                <w:bCs/>
                <w:sz w:val="18"/>
                <w:szCs w:val="18"/>
                <w:lang w:eastAsia="pt-BR"/>
              </w:rPr>
            </w:pPr>
            <w:r w:rsidRPr="000201AE">
              <w:rPr>
                <w:rFonts w:ascii="Verdana" w:eastAsia="Times New Roman" w:hAnsi="Verdana" w:cs="Calibri"/>
                <w:b/>
                <w:bCs/>
                <w:sz w:val="18"/>
                <w:szCs w:val="18"/>
                <w:lang w:eastAsia="pt-BR"/>
              </w:rPr>
              <w:t>(1.545.707)</w:t>
            </w:r>
          </w:p>
        </w:tc>
        <w:tc>
          <w:tcPr>
            <w:tcW w:w="73" w:type="pct"/>
            <w:tcBorders>
              <w:top w:val="nil"/>
              <w:left w:val="nil"/>
              <w:bottom w:val="nil"/>
              <w:right w:val="nil"/>
            </w:tcBorders>
            <w:shd w:val="clear" w:color="auto" w:fill="auto"/>
            <w:noWrap/>
            <w:vAlign w:val="bottom"/>
            <w:hideMark/>
          </w:tcPr>
          <w:p w14:paraId="29429F5D" w14:textId="77777777" w:rsidR="000201AE" w:rsidRPr="000201AE" w:rsidRDefault="000201AE" w:rsidP="000201AE">
            <w:pPr>
              <w:spacing w:after="0" w:line="240" w:lineRule="auto"/>
              <w:jc w:val="right"/>
              <w:rPr>
                <w:rFonts w:ascii="Verdana" w:eastAsia="Times New Roman" w:hAnsi="Verdana" w:cs="Calibri"/>
                <w:b/>
                <w:bCs/>
                <w:sz w:val="18"/>
                <w:szCs w:val="18"/>
                <w:lang w:eastAsia="pt-BR"/>
              </w:rPr>
            </w:pPr>
          </w:p>
        </w:tc>
        <w:tc>
          <w:tcPr>
            <w:tcW w:w="862" w:type="pct"/>
            <w:tcBorders>
              <w:top w:val="single" w:sz="4" w:space="0" w:color="auto"/>
              <w:left w:val="nil"/>
              <w:bottom w:val="double" w:sz="6" w:space="0" w:color="auto"/>
              <w:right w:val="nil"/>
            </w:tcBorders>
            <w:shd w:val="clear" w:color="auto" w:fill="auto"/>
            <w:noWrap/>
            <w:vAlign w:val="center"/>
            <w:hideMark/>
          </w:tcPr>
          <w:p w14:paraId="7BE8814F" w14:textId="48A0BB69" w:rsidR="000201AE" w:rsidRPr="000201AE" w:rsidRDefault="000201AE" w:rsidP="000201AE">
            <w:pPr>
              <w:spacing w:after="0" w:line="240" w:lineRule="auto"/>
              <w:jc w:val="right"/>
              <w:rPr>
                <w:rFonts w:ascii="Verdana" w:eastAsia="Times New Roman" w:hAnsi="Verdana" w:cs="Calibri"/>
                <w:b/>
                <w:bCs/>
                <w:sz w:val="18"/>
                <w:szCs w:val="18"/>
                <w:lang w:eastAsia="pt-BR"/>
              </w:rPr>
            </w:pPr>
            <w:r w:rsidRPr="000201AE">
              <w:rPr>
                <w:rFonts w:ascii="Verdana" w:eastAsia="Times New Roman" w:hAnsi="Verdana" w:cs="Calibri"/>
                <w:b/>
                <w:bCs/>
                <w:sz w:val="18"/>
                <w:szCs w:val="18"/>
                <w:lang w:eastAsia="pt-BR"/>
              </w:rPr>
              <w:t>(1.544.465)</w:t>
            </w:r>
          </w:p>
        </w:tc>
      </w:tr>
    </w:tbl>
    <w:p w14:paraId="4230F545" w14:textId="77777777" w:rsidR="003D318B" w:rsidRPr="00F7132F" w:rsidRDefault="003D318B" w:rsidP="007835BD">
      <w:pPr>
        <w:spacing w:after="0" w:line="240" w:lineRule="auto"/>
        <w:jc w:val="both"/>
        <w:rPr>
          <w:rFonts w:ascii="Verdana" w:hAnsi="Verdana" w:cstheme="minorHAnsi"/>
          <w:b/>
        </w:rPr>
      </w:pPr>
    </w:p>
    <w:p w14:paraId="4CE4F941" w14:textId="41DFD1B5" w:rsidR="007835BD" w:rsidRPr="00966F59" w:rsidRDefault="007835BD" w:rsidP="007835BD">
      <w:pPr>
        <w:widowControl w:val="0"/>
        <w:tabs>
          <w:tab w:val="left" w:leader="dot" w:pos="9837"/>
        </w:tabs>
        <w:rPr>
          <w:rFonts w:ascii="Verdana" w:hAnsi="Verdana" w:cstheme="minorHAnsi"/>
          <w:sz w:val="20"/>
          <w:szCs w:val="20"/>
        </w:rPr>
      </w:pPr>
      <w:r w:rsidRPr="00966F59">
        <w:rPr>
          <w:rFonts w:ascii="Verdana" w:hAnsi="Verdana" w:cstheme="minorHAnsi"/>
          <w:sz w:val="20"/>
          <w:szCs w:val="20"/>
        </w:rPr>
        <w:t>As notas explicativas são parte integrante das demonstrações</w:t>
      </w:r>
      <w:r w:rsidR="00590B3C" w:rsidRPr="00966F59">
        <w:rPr>
          <w:rFonts w:ascii="Verdana" w:hAnsi="Verdana" w:cstheme="minorHAnsi"/>
          <w:sz w:val="20"/>
          <w:szCs w:val="20"/>
        </w:rPr>
        <w:t xml:space="preserve"> </w:t>
      </w:r>
      <w:r w:rsidR="00590B3C" w:rsidRPr="00966F59">
        <w:rPr>
          <w:rFonts w:ascii="Verdana" w:hAnsi="Verdana"/>
          <w:bCs/>
          <w:sz w:val="20"/>
          <w:szCs w:val="24"/>
        </w:rPr>
        <w:t>financeiras intermediárias</w:t>
      </w:r>
      <w:r w:rsidRPr="00966F59">
        <w:rPr>
          <w:rFonts w:ascii="Verdana" w:hAnsi="Verdana" w:cstheme="minorHAnsi"/>
          <w:sz w:val="20"/>
          <w:szCs w:val="20"/>
        </w:rPr>
        <w:t>.</w:t>
      </w:r>
    </w:p>
    <w:p w14:paraId="073B09E9" w14:textId="77777777" w:rsidR="007835BD" w:rsidRPr="00BC2D0E" w:rsidRDefault="007835BD" w:rsidP="00CF5F07">
      <w:pPr>
        <w:spacing w:after="0" w:line="240" w:lineRule="auto"/>
        <w:jc w:val="both"/>
        <w:rPr>
          <w:rFonts w:ascii="Verdana" w:hAnsi="Verdana" w:cstheme="minorHAnsi"/>
        </w:rPr>
        <w:sectPr w:rsidR="007835BD" w:rsidRPr="00BC2D0E" w:rsidSect="00966F59">
          <w:pgSz w:w="11906" w:h="16838"/>
          <w:pgMar w:top="1417" w:right="991" w:bottom="1417" w:left="1701" w:header="708" w:footer="708" w:gutter="0"/>
          <w:cols w:space="708"/>
          <w:docGrid w:linePitch="360"/>
        </w:sectPr>
      </w:pPr>
    </w:p>
    <w:p w14:paraId="7EF7D435" w14:textId="77777777" w:rsidR="00B02848" w:rsidRPr="00164F8C" w:rsidRDefault="006E1B4F" w:rsidP="00164F8C">
      <w:pPr>
        <w:tabs>
          <w:tab w:val="left" w:pos="567"/>
          <w:tab w:val="left" w:pos="1134"/>
          <w:tab w:val="left" w:pos="1701"/>
          <w:tab w:val="left" w:pos="2268"/>
          <w:tab w:val="left" w:pos="2835"/>
        </w:tabs>
        <w:outlineLvl w:val="0"/>
        <w:rPr>
          <w:rFonts w:ascii="Verdana" w:hAnsi="Verdana" w:cstheme="minorHAnsi"/>
          <w:b/>
        </w:rPr>
      </w:pPr>
      <w:r w:rsidRPr="00164F8C">
        <w:rPr>
          <w:rFonts w:ascii="Verdana" w:hAnsi="Verdana" w:cstheme="minorHAnsi"/>
          <w:b/>
        </w:rPr>
        <w:lastRenderedPageBreak/>
        <w:t>1</w:t>
      </w:r>
      <w:r w:rsidR="00B02848" w:rsidRPr="00164F8C">
        <w:rPr>
          <w:rFonts w:ascii="Verdana" w:hAnsi="Verdana" w:cstheme="minorHAnsi"/>
          <w:b/>
        </w:rPr>
        <w:t xml:space="preserve"> – CONTEXTO OPERACIONAL</w:t>
      </w:r>
    </w:p>
    <w:p w14:paraId="0494E7AC" w14:textId="77777777" w:rsidR="00B02848" w:rsidRPr="00BC2D0E" w:rsidRDefault="00437724" w:rsidP="00CF5F07">
      <w:pPr>
        <w:autoSpaceDE w:val="0"/>
        <w:autoSpaceDN w:val="0"/>
        <w:adjustRightInd w:val="0"/>
        <w:spacing w:after="0" w:line="240" w:lineRule="auto"/>
        <w:jc w:val="both"/>
        <w:rPr>
          <w:rFonts w:ascii="Verdana" w:hAnsi="Verdana" w:cstheme="minorHAnsi"/>
        </w:rPr>
      </w:pPr>
      <w:r w:rsidRPr="00BC2D0E">
        <w:rPr>
          <w:rFonts w:ascii="Verdana" w:hAnsi="Verdana" w:cstheme="minorHAnsi"/>
        </w:rPr>
        <w:t>A Empresa Brasileira de Participações em Energia Nuclear e Bi</w:t>
      </w:r>
      <w:r w:rsidR="008910E6" w:rsidRPr="00BC2D0E">
        <w:rPr>
          <w:rFonts w:ascii="Verdana" w:hAnsi="Verdana" w:cstheme="minorHAnsi"/>
        </w:rPr>
        <w:t>n</w:t>
      </w:r>
      <w:r w:rsidR="00A129C5" w:rsidRPr="00BC2D0E">
        <w:rPr>
          <w:rFonts w:ascii="Verdana" w:hAnsi="Verdana" w:cstheme="minorHAnsi"/>
        </w:rPr>
        <w:t>acional S.</w:t>
      </w:r>
      <w:r w:rsidRPr="00BC2D0E">
        <w:rPr>
          <w:rFonts w:ascii="Verdana" w:hAnsi="Verdana" w:cstheme="minorHAnsi"/>
        </w:rPr>
        <w:t>A</w:t>
      </w:r>
      <w:r w:rsidR="00A129C5" w:rsidRPr="00BC2D0E">
        <w:rPr>
          <w:rFonts w:ascii="Verdana" w:hAnsi="Verdana" w:cstheme="minorHAnsi"/>
        </w:rPr>
        <w:t>.</w:t>
      </w:r>
      <w:r w:rsidRPr="00BC2D0E">
        <w:rPr>
          <w:rFonts w:ascii="Verdana" w:hAnsi="Verdana" w:cstheme="minorHAnsi"/>
        </w:rPr>
        <w:t xml:space="preserve"> - </w:t>
      </w:r>
      <w:proofErr w:type="spellStart"/>
      <w:r w:rsidRPr="00BC2D0E">
        <w:rPr>
          <w:rFonts w:ascii="Verdana" w:hAnsi="Verdana" w:cstheme="minorHAnsi"/>
        </w:rPr>
        <w:t>ENBPar</w:t>
      </w:r>
      <w:proofErr w:type="spellEnd"/>
      <w:r w:rsidRPr="00BC2D0E">
        <w:rPr>
          <w:rFonts w:ascii="Verdana" w:hAnsi="Verdana" w:cstheme="minorHAnsi"/>
        </w:rPr>
        <w:t xml:space="preserve"> (“</w:t>
      </w:r>
      <w:proofErr w:type="spellStart"/>
      <w:r w:rsidRPr="00BC2D0E">
        <w:rPr>
          <w:rFonts w:ascii="Verdana" w:hAnsi="Verdana" w:cstheme="minorHAnsi"/>
        </w:rPr>
        <w:t>ENBPar</w:t>
      </w:r>
      <w:proofErr w:type="spellEnd"/>
      <w:r w:rsidRPr="00BC2D0E">
        <w:rPr>
          <w:rFonts w:ascii="Verdana" w:hAnsi="Verdana" w:cstheme="minorHAnsi"/>
        </w:rPr>
        <w:t>” ou “Companhia”</w:t>
      </w:r>
      <w:r w:rsidR="004B779E" w:rsidRPr="00BC2D0E">
        <w:rPr>
          <w:rFonts w:ascii="Verdana" w:hAnsi="Verdana" w:cstheme="minorHAnsi"/>
        </w:rPr>
        <w:t xml:space="preserve"> ou “Controladora”</w:t>
      </w:r>
      <w:r w:rsidRPr="00BC2D0E">
        <w:rPr>
          <w:rFonts w:ascii="Verdana" w:hAnsi="Verdana" w:cstheme="minorHAnsi"/>
        </w:rPr>
        <w:t xml:space="preserve">) </w:t>
      </w:r>
      <w:r w:rsidR="00B02848" w:rsidRPr="00BC2D0E">
        <w:rPr>
          <w:rFonts w:ascii="Verdana" w:hAnsi="Verdana" w:cstheme="minorHAnsi"/>
        </w:rPr>
        <w:t>é uma empresa pública</w:t>
      </w:r>
      <w:r w:rsidR="004B779E" w:rsidRPr="00BC2D0E">
        <w:rPr>
          <w:rFonts w:ascii="Verdana" w:hAnsi="Verdana" w:cstheme="minorHAnsi"/>
        </w:rPr>
        <w:t xml:space="preserve">, organizada </w:t>
      </w:r>
      <w:r w:rsidR="00B02848" w:rsidRPr="00BC2D0E">
        <w:rPr>
          <w:rFonts w:ascii="Verdana" w:hAnsi="Verdana" w:cstheme="minorHAnsi"/>
        </w:rPr>
        <w:t>sob a forma de sociedade</w:t>
      </w:r>
      <w:r w:rsidRPr="00BC2D0E">
        <w:rPr>
          <w:rFonts w:ascii="Verdana" w:hAnsi="Verdana" w:cstheme="minorHAnsi"/>
        </w:rPr>
        <w:t xml:space="preserve"> </w:t>
      </w:r>
      <w:r w:rsidR="00B02848" w:rsidRPr="00BC2D0E">
        <w:rPr>
          <w:rFonts w:ascii="Verdana" w:hAnsi="Verdana" w:cstheme="minorHAnsi"/>
        </w:rPr>
        <w:t>anônima.</w:t>
      </w:r>
      <w:r w:rsidRPr="00BC2D0E">
        <w:rPr>
          <w:rFonts w:ascii="Verdana" w:hAnsi="Verdana" w:cstheme="minorHAnsi"/>
        </w:rPr>
        <w:t xml:space="preserve"> A Companhia foi criada a partir do Decreto nº 10.791, de 10 de setembro de 2021 </w:t>
      </w:r>
      <w:r w:rsidR="004B779E" w:rsidRPr="00BC2D0E">
        <w:rPr>
          <w:rFonts w:ascii="Verdana" w:hAnsi="Verdana" w:cstheme="minorHAnsi"/>
        </w:rPr>
        <w:t>e constituída em 04 de janeiro de 2022 com sua sede</w:t>
      </w:r>
      <w:r w:rsidRPr="00BC2D0E">
        <w:rPr>
          <w:rFonts w:ascii="Verdana" w:hAnsi="Verdana" w:cstheme="minorHAnsi"/>
        </w:rPr>
        <w:t xml:space="preserve"> fixada na Esplanada nos Ministérios, bloco “U”, Brasília – Distrito Federal.</w:t>
      </w:r>
    </w:p>
    <w:p w14:paraId="5F88730C" w14:textId="77777777" w:rsidR="00437724" w:rsidRPr="00BC2D0E" w:rsidRDefault="00437724" w:rsidP="00CF5F07">
      <w:pPr>
        <w:autoSpaceDE w:val="0"/>
        <w:autoSpaceDN w:val="0"/>
        <w:adjustRightInd w:val="0"/>
        <w:spacing w:after="0" w:line="240" w:lineRule="auto"/>
        <w:jc w:val="both"/>
        <w:rPr>
          <w:rFonts w:ascii="Verdana" w:hAnsi="Verdana" w:cstheme="minorHAnsi"/>
        </w:rPr>
      </w:pPr>
    </w:p>
    <w:p w14:paraId="10B26ABB" w14:textId="77777777" w:rsidR="00437724" w:rsidRPr="00BC2D0E" w:rsidRDefault="00E8674E" w:rsidP="00CF5F07">
      <w:pPr>
        <w:autoSpaceDE w:val="0"/>
        <w:autoSpaceDN w:val="0"/>
        <w:adjustRightInd w:val="0"/>
        <w:spacing w:after="0" w:line="240" w:lineRule="auto"/>
        <w:jc w:val="both"/>
        <w:rPr>
          <w:rFonts w:ascii="Verdana" w:hAnsi="Verdana" w:cstheme="minorHAnsi"/>
        </w:rPr>
      </w:pPr>
      <w:r w:rsidRPr="00BC2D0E">
        <w:rPr>
          <w:rFonts w:ascii="Verdana" w:hAnsi="Verdana" w:cstheme="minorHAnsi"/>
        </w:rPr>
        <w:t>A Companhia tem com</w:t>
      </w:r>
      <w:r w:rsidR="0083170C" w:rsidRPr="00BC2D0E">
        <w:rPr>
          <w:rFonts w:ascii="Verdana" w:hAnsi="Verdana" w:cstheme="minorHAnsi"/>
        </w:rPr>
        <w:t>o</w:t>
      </w:r>
      <w:r w:rsidRPr="00BC2D0E">
        <w:rPr>
          <w:rFonts w:ascii="Verdana" w:hAnsi="Verdana" w:cstheme="minorHAnsi"/>
        </w:rPr>
        <w:t xml:space="preserve"> atividades </w:t>
      </w:r>
      <w:r w:rsidR="00437724" w:rsidRPr="00BC2D0E">
        <w:rPr>
          <w:rFonts w:ascii="Verdana" w:hAnsi="Verdana" w:cstheme="minorHAnsi"/>
        </w:rPr>
        <w:t>manter sob o controle da União a operação das Usinas Nucleares</w:t>
      </w:r>
      <w:r w:rsidRPr="00BC2D0E">
        <w:rPr>
          <w:rFonts w:ascii="Verdana" w:hAnsi="Verdana" w:cstheme="minorHAnsi"/>
        </w:rPr>
        <w:t>,</w:t>
      </w:r>
      <w:r w:rsidR="00437724" w:rsidRPr="00BC2D0E">
        <w:rPr>
          <w:rFonts w:ascii="Verdana" w:hAnsi="Verdana" w:cstheme="minorHAnsi"/>
        </w:rPr>
        <w:t xml:space="preserve"> </w:t>
      </w:r>
      <w:r w:rsidR="005D7C77" w:rsidRPr="00BC2D0E">
        <w:rPr>
          <w:rFonts w:ascii="Verdana" w:hAnsi="Verdana"/>
        </w:rPr>
        <w:t xml:space="preserve">manter a titularidade do capital social e a aquisição dos serviços de eletricidade </w:t>
      </w:r>
      <w:r w:rsidR="005D7C77" w:rsidRPr="00F7132F">
        <w:rPr>
          <w:rFonts w:ascii="Verdana" w:hAnsi="Verdana"/>
        </w:rPr>
        <w:t>da</w:t>
      </w:r>
      <w:r w:rsidR="005D7C77" w:rsidRPr="00BC2D0E">
        <w:rPr>
          <w:rFonts w:ascii="Verdana" w:hAnsi="Verdana"/>
        </w:rPr>
        <w:t xml:space="preserve"> Itaipu por órgão ou por entidade da administração pública federal, </w:t>
      </w:r>
      <w:r w:rsidR="00A129C5" w:rsidRPr="00BC2D0E">
        <w:rPr>
          <w:rFonts w:ascii="Verdana" w:hAnsi="Verdana"/>
        </w:rPr>
        <w:t>afim de</w:t>
      </w:r>
      <w:r w:rsidR="005D7C77" w:rsidRPr="00BC2D0E">
        <w:rPr>
          <w:rFonts w:ascii="Verdana" w:hAnsi="Verdana"/>
        </w:rPr>
        <w:t xml:space="preserve"> atender ao disposto no Tratado celebrado entre a República Federativa do Brasil e a República do Paraguai ("Tratado de Itaipu")</w:t>
      </w:r>
      <w:r w:rsidR="00A129C5" w:rsidRPr="00BC2D0E">
        <w:rPr>
          <w:rFonts w:ascii="Verdana" w:hAnsi="Verdana"/>
        </w:rPr>
        <w:t>,</w:t>
      </w:r>
      <w:r w:rsidR="00437724" w:rsidRPr="00BC2D0E">
        <w:rPr>
          <w:rFonts w:ascii="Verdana" w:hAnsi="Verdana" w:cstheme="minorHAnsi"/>
        </w:rPr>
        <w:t xml:space="preserve"> gerir</w:t>
      </w:r>
      <w:r w:rsidRPr="00BC2D0E">
        <w:rPr>
          <w:rFonts w:ascii="Verdana" w:hAnsi="Verdana" w:cstheme="minorHAnsi"/>
        </w:rPr>
        <w:t xml:space="preserve"> </w:t>
      </w:r>
      <w:r w:rsidR="00437724" w:rsidRPr="00BC2D0E">
        <w:rPr>
          <w:rFonts w:ascii="Verdana" w:hAnsi="Verdana" w:cstheme="minorHAnsi"/>
        </w:rPr>
        <w:t>contratos de financiamento que utilizem os recursos da Reserva</w:t>
      </w:r>
      <w:r w:rsidRPr="00BC2D0E">
        <w:rPr>
          <w:rFonts w:ascii="Verdana" w:hAnsi="Verdana" w:cstheme="minorHAnsi"/>
        </w:rPr>
        <w:t xml:space="preserve"> </w:t>
      </w:r>
      <w:r w:rsidR="00437724" w:rsidRPr="00BC2D0E">
        <w:rPr>
          <w:rFonts w:ascii="Verdana" w:hAnsi="Verdana" w:cstheme="minorHAnsi"/>
        </w:rPr>
        <w:t xml:space="preserve">Global de Reversão </w:t>
      </w:r>
      <w:r w:rsidRPr="00BC2D0E">
        <w:rPr>
          <w:rFonts w:ascii="Verdana" w:hAnsi="Verdana" w:cstheme="minorHAnsi"/>
        </w:rPr>
        <w:t>–</w:t>
      </w:r>
      <w:r w:rsidR="00437724" w:rsidRPr="00BC2D0E">
        <w:rPr>
          <w:rFonts w:ascii="Verdana" w:hAnsi="Verdana" w:cstheme="minorHAnsi"/>
        </w:rPr>
        <w:t xml:space="preserve"> RGR</w:t>
      </w:r>
      <w:r w:rsidRPr="00BC2D0E">
        <w:rPr>
          <w:rFonts w:ascii="Verdana" w:hAnsi="Verdana" w:cstheme="minorHAnsi"/>
        </w:rPr>
        <w:t>,</w:t>
      </w:r>
      <w:r w:rsidR="00437724" w:rsidRPr="00BC2D0E">
        <w:rPr>
          <w:rFonts w:ascii="Verdana" w:hAnsi="Verdana" w:cstheme="minorHAnsi"/>
        </w:rPr>
        <w:t xml:space="preserve"> administrar os bens da União</w:t>
      </w:r>
      <w:r w:rsidR="00A129C5" w:rsidRPr="00BC2D0E">
        <w:rPr>
          <w:rFonts w:ascii="Verdana" w:hAnsi="Verdana" w:cstheme="minorHAnsi"/>
        </w:rPr>
        <w:t xml:space="preserve"> - BUSA</w:t>
      </w:r>
      <w:r w:rsidRPr="00BC2D0E">
        <w:rPr>
          <w:rFonts w:ascii="Verdana" w:hAnsi="Verdana" w:cstheme="minorHAnsi"/>
        </w:rPr>
        <w:t xml:space="preserve">, </w:t>
      </w:r>
      <w:r w:rsidR="00437724" w:rsidRPr="00BC2D0E">
        <w:rPr>
          <w:rFonts w:ascii="Verdana" w:hAnsi="Verdana" w:cstheme="minorHAnsi"/>
        </w:rPr>
        <w:t xml:space="preserve">administrar a </w:t>
      </w:r>
      <w:r w:rsidR="00BC3060" w:rsidRPr="00BC2D0E">
        <w:rPr>
          <w:rFonts w:ascii="Verdana" w:hAnsi="Verdana" w:cstheme="minorHAnsi"/>
        </w:rPr>
        <w:t>conta corrente</w:t>
      </w:r>
      <w:r w:rsidR="00437724" w:rsidRPr="00BC2D0E">
        <w:rPr>
          <w:rFonts w:ascii="Verdana" w:hAnsi="Verdana" w:cstheme="minorHAnsi"/>
        </w:rPr>
        <w:t xml:space="preserve"> denominada Programa Nacional de</w:t>
      </w:r>
      <w:r w:rsidRPr="00BC2D0E">
        <w:rPr>
          <w:rFonts w:ascii="Verdana" w:hAnsi="Verdana" w:cstheme="minorHAnsi"/>
        </w:rPr>
        <w:t xml:space="preserve"> </w:t>
      </w:r>
      <w:r w:rsidR="00437724" w:rsidRPr="00BC2D0E">
        <w:rPr>
          <w:rFonts w:ascii="Verdana" w:hAnsi="Verdana" w:cstheme="minorHAnsi"/>
        </w:rPr>
        <w:t>Conservação de Ene</w:t>
      </w:r>
      <w:r w:rsidR="005D7D92" w:rsidRPr="00BC2D0E">
        <w:rPr>
          <w:rFonts w:ascii="Verdana" w:hAnsi="Verdana" w:cstheme="minorHAnsi"/>
        </w:rPr>
        <w:t>r</w:t>
      </w:r>
      <w:r w:rsidR="00437724" w:rsidRPr="00BC2D0E">
        <w:rPr>
          <w:rFonts w:ascii="Verdana" w:hAnsi="Verdana" w:cstheme="minorHAnsi"/>
        </w:rPr>
        <w:t xml:space="preserve">gia Elétrica </w:t>
      </w:r>
      <w:r w:rsidRPr="00BC2D0E">
        <w:rPr>
          <w:rFonts w:ascii="Verdana" w:hAnsi="Verdana" w:cstheme="minorHAnsi"/>
        </w:rPr>
        <w:t>–</w:t>
      </w:r>
      <w:r w:rsidR="00437724" w:rsidRPr="00BC2D0E">
        <w:rPr>
          <w:rFonts w:ascii="Verdana" w:hAnsi="Verdana" w:cstheme="minorHAnsi"/>
        </w:rPr>
        <w:t xml:space="preserve"> </w:t>
      </w:r>
      <w:proofErr w:type="spellStart"/>
      <w:r w:rsidR="00437724" w:rsidRPr="00BC2D0E">
        <w:rPr>
          <w:rFonts w:ascii="Verdana" w:hAnsi="Verdana" w:cstheme="minorHAnsi"/>
        </w:rPr>
        <w:t>Procel</w:t>
      </w:r>
      <w:proofErr w:type="spellEnd"/>
      <w:r w:rsidR="00437724" w:rsidRPr="00BC2D0E">
        <w:rPr>
          <w:rFonts w:ascii="Verdana" w:hAnsi="Verdana" w:cstheme="minorHAnsi"/>
        </w:rPr>
        <w:t xml:space="preserve"> e gerir contratos de</w:t>
      </w:r>
      <w:r w:rsidRPr="00BC2D0E">
        <w:rPr>
          <w:rFonts w:ascii="Verdana" w:hAnsi="Verdana" w:cstheme="minorHAnsi"/>
        </w:rPr>
        <w:t xml:space="preserve"> </w:t>
      </w:r>
      <w:r w:rsidR="00437724" w:rsidRPr="00BC2D0E">
        <w:rPr>
          <w:rFonts w:ascii="Verdana" w:hAnsi="Verdana" w:cstheme="minorHAnsi"/>
        </w:rPr>
        <w:t xml:space="preserve">comercialização de energia gerada pelos </w:t>
      </w:r>
      <w:proofErr w:type="spellStart"/>
      <w:r w:rsidR="00437724" w:rsidRPr="00BC2D0E">
        <w:rPr>
          <w:rFonts w:ascii="Verdana" w:hAnsi="Verdana" w:cstheme="minorHAnsi"/>
        </w:rPr>
        <w:t>empreendimentos</w:t>
      </w:r>
      <w:proofErr w:type="spellEnd"/>
      <w:r w:rsidRPr="00BC2D0E">
        <w:rPr>
          <w:rFonts w:ascii="Verdana" w:hAnsi="Verdana" w:cstheme="minorHAnsi"/>
        </w:rPr>
        <w:t xml:space="preserve"> </w:t>
      </w:r>
      <w:r w:rsidR="00437724" w:rsidRPr="00BC2D0E">
        <w:rPr>
          <w:rFonts w:ascii="Verdana" w:hAnsi="Verdana" w:cstheme="minorHAnsi"/>
        </w:rPr>
        <w:t xml:space="preserve">contratados </w:t>
      </w:r>
      <w:r w:rsidRPr="00BC2D0E">
        <w:rPr>
          <w:rFonts w:ascii="Verdana" w:hAnsi="Verdana" w:cstheme="minorHAnsi"/>
        </w:rPr>
        <w:t>no âm</w:t>
      </w:r>
      <w:r w:rsidR="00437724" w:rsidRPr="00BC2D0E">
        <w:rPr>
          <w:rFonts w:ascii="Verdana" w:hAnsi="Verdana" w:cstheme="minorHAnsi"/>
        </w:rPr>
        <w:t>bito do Programa de Incentivo às Fontes</w:t>
      </w:r>
      <w:r w:rsidRPr="00BC2D0E">
        <w:rPr>
          <w:rFonts w:ascii="Verdana" w:hAnsi="Verdana" w:cstheme="minorHAnsi"/>
        </w:rPr>
        <w:t xml:space="preserve"> </w:t>
      </w:r>
      <w:r w:rsidR="00437724" w:rsidRPr="00BC2D0E">
        <w:rPr>
          <w:rFonts w:ascii="Verdana" w:hAnsi="Verdana" w:cstheme="minorHAnsi"/>
        </w:rPr>
        <w:t xml:space="preserve">Alternativas de Energia Elétrica - </w:t>
      </w:r>
      <w:proofErr w:type="spellStart"/>
      <w:r w:rsidR="00437724" w:rsidRPr="00BC2D0E">
        <w:rPr>
          <w:rFonts w:ascii="Verdana" w:hAnsi="Verdana" w:cstheme="minorHAnsi"/>
        </w:rPr>
        <w:t>Proinfa</w:t>
      </w:r>
      <w:proofErr w:type="spellEnd"/>
      <w:r w:rsidR="00437724" w:rsidRPr="00BC2D0E">
        <w:rPr>
          <w:rFonts w:ascii="Verdana" w:hAnsi="Verdana" w:cstheme="minorHAnsi"/>
        </w:rPr>
        <w:t>.</w:t>
      </w:r>
    </w:p>
    <w:p w14:paraId="27B53378" w14:textId="77777777" w:rsidR="00B31184" w:rsidRPr="00BC2D0E" w:rsidRDefault="00B31184" w:rsidP="00CF5F07">
      <w:pPr>
        <w:autoSpaceDE w:val="0"/>
        <w:autoSpaceDN w:val="0"/>
        <w:adjustRightInd w:val="0"/>
        <w:spacing w:after="0" w:line="240" w:lineRule="auto"/>
        <w:jc w:val="both"/>
        <w:rPr>
          <w:rFonts w:ascii="Verdana" w:hAnsi="Verdana" w:cstheme="minorHAnsi"/>
        </w:rPr>
      </w:pPr>
    </w:p>
    <w:p w14:paraId="6D844A86" w14:textId="77777777" w:rsidR="00723938" w:rsidRPr="00BC2D0E" w:rsidRDefault="00020B8F" w:rsidP="00CF5F07">
      <w:pPr>
        <w:autoSpaceDE w:val="0"/>
        <w:autoSpaceDN w:val="0"/>
        <w:adjustRightInd w:val="0"/>
        <w:spacing w:after="0" w:line="240" w:lineRule="auto"/>
        <w:jc w:val="both"/>
        <w:rPr>
          <w:rFonts w:ascii="Verdana" w:hAnsi="Verdana" w:cstheme="minorHAnsi"/>
          <w:b/>
        </w:rPr>
      </w:pPr>
      <w:r w:rsidRPr="00BC2D0E">
        <w:rPr>
          <w:rFonts w:ascii="Verdana" w:hAnsi="Verdana" w:cstheme="minorHAnsi"/>
          <w:b/>
        </w:rPr>
        <w:t xml:space="preserve">Desestatização </w:t>
      </w:r>
      <w:r w:rsidRPr="00F7132F">
        <w:rPr>
          <w:rFonts w:ascii="Verdana" w:hAnsi="Verdana" w:cstheme="minorHAnsi"/>
          <w:b/>
        </w:rPr>
        <w:t>da</w:t>
      </w:r>
      <w:r w:rsidR="005635AD" w:rsidRPr="00F7132F">
        <w:rPr>
          <w:rFonts w:ascii="Verdana" w:hAnsi="Verdana" w:cstheme="minorHAnsi"/>
          <w:b/>
        </w:rPr>
        <w:t>s</w:t>
      </w:r>
      <w:r w:rsidRPr="00BC2D0E">
        <w:rPr>
          <w:rFonts w:ascii="Verdana" w:hAnsi="Verdana" w:cstheme="minorHAnsi"/>
          <w:b/>
        </w:rPr>
        <w:t xml:space="preserve"> Centrais Elétricas Brasileiras S.A – Eletrobras e reflexos na </w:t>
      </w:r>
      <w:proofErr w:type="spellStart"/>
      <w:r w:rsidRPr="00BC2D0E">
        <w:rPr>
          <w:rFonts w:ascii="Verdana" w:hAnsi="Verdana" w:cstheme="minorHAnsi"/>
          <w:b/>
        </w:rPr>
        <w:t>ENBP</w:t>
      </w:r>
      <w:r w:rsidR="005C611E" w:rsidRPr="00BC2D0E">
        <w:rPr>
          <w:rFonts w:ascii="Verdana" w:hAnsi="Verdana" w:cstheme="minorHAnsi"/>
          <w:b/>
        </w:rPr>
        <w:t>ar</w:t>
      </w:r>
      <w:proofErr w:type="spellEnd"/>
    </w:p>
    <w:p w14:paraId="072BDEE9" w14:textId="77777777" w:rsidR="00842755" w:rsidRPr="00BC2D0E" w:rsidRDefault="00842755" w:rsidP="00CF5F07">
      <w:pPr>
        <w:autoSpaceDE w:val="0"/>
        <w:autoSpaceDN w:val="0"/>
        <w:adjustRightInd w:val="0"/>
        <w:spacing w:after="0" w:line="240" w:lineRule="auto"/>
        <w:jc w:val="both"/>
        <w:rPr>
          <w:rFonts w:ascii="Verdana" w:hAnsi="Verdana" w:cstheme="minorHAnsi"/>
        </w:rPr>
      </w:pPr>
    </w:p>
    <w:p w14:paraId="3913373C" w14:textId="77777777" w:rsidR="002E6364" w:rsidRPr="00BC2D0E" w:rsidRDefault="00F16866" w:rsidP="00A129C5">
      <w:pPr>
        <w:pStyle w:val="Corpodetexto"/>
        <w:spacing w:before="19"/>
        <w:ind w:left="20" w:right="17"/>
        <w:rPr>
          <w:rFonts w:ascii="Verdana" w:eastAsiaTheme="minorHAnsi" w:hAnsi="Verdana" w:cstheme="minorHAnsi"/>
          <w:sz w:val="22"/>
          <w:szCs w:val="22"/>
          <w:lang w:val="pt-BR" w:eastAsia="en-US"/>
        </w:rPr>
      </w:pPr>
      <w:r w:rsidRPr="00BC2D0E">
        <w:rPr>
          <w:rFonts w:ascii="Verdana" w:eastAsiaTheme="minorHAnsi" w:hAnsi="Verdana" w:cstheme="minorHAnsi"/>
          <w:sz w:val="22"/>
          <w:szCs w:val="22"/>
          <w:lang w:val="pt-BR" w:eastAsia="en-US"/>
        </w:rPr>
        <w:t xml:space="preserve">Nos termos da Lei nº 14.182/2021 e da Resolução CPPI nº 203/2021, com as alterações da Resolução CPPI nº 221/2021, a </w:t>
      </w:r>
      <w:r w:rsidR="002E6364" w:rsidRPr="00BC2D0E">
        <w:rPr>
          <w:rFonts w:ascii="Verdana" w:eastAsiaTheme="minorHAnsi" w:hAnsi="Verdana" w:cstheme="minorHAnsi"/>
          <w:sz w:val="22"/>
          <w:szCs w:val="22"/>
          <w:lang w:val="pt-BR" w:eastAsia="en-US"/>
        </w:rPr>
        <w:t xml:space="preserve">desestatização da Eletrobras ocorreu em </w:t>
      </w:r>
      <w:r w:rsidR="00B33B8B" w:rsidRPr="00BC2D0E">
        <w:rPr>
          <w:rFonts w:ascii="Verdana" w:eastAsiaTheme="minorHAnsi" w:hAnsi="Verdana" w:cstheme="minorHAnsi"/>
          <w:sz w:val="22"/>
          <w:szCs w:val="22"/>
          <w:lang w:val="pt-BR" w:eastAsia="en-US"/>
        </w:rPr>
        <w:t>17</w:t>
      </w:r>
      <w:r w:rsidR="002E6364" w:rsidRPr="00BC2D0E">
        <w:rPr>
          <w:rFonts w:ascii="Verdana" w:eastAsiaTheme="minorHAnsi" w:hAnsi="Verdana" w:cstheme="minorHAnsi"/>
          <w:sz w:val="22"/>
          <w:szCs w:val="22"/>
          <w:lang w:val="pt-BR" w:eastAsia="en-US"/>
        </w:rPr>
        <w:t xml:space="preserve"> de junho de 2022,</w:t>
      </w:r>
      <w:r w:rsidR="00020B8F" w:rsidRPr="00BC2D0E">
        <w:rPr>
          <w:rFonts w:ascii="Verdana" w:eastAsiaTheme="minorHAnsi" w:hAnsi="Verdana" w:cstheme="minorHAnsi"/>
          <w:sz w:val="22"/>
          <w:szCs w:val="22"/>
          <w:lang w:val="pt-BR" w:eastAsia="en-US"/>
        </w:rPr>
        <w:t xml:space="preserve"> conforme </w:t>
      </w:r>
      <w:r w:rsidR="00A129C5" w:rsidRPr="00BC2D0E">
        <w:rPr>
          <w:rFonts w:ascii="Verdana" w:eastAsiaTheme="minorHAnsi" w:hAnsi="Verdana" w:cstheme="minorHAnsi"/>
          <w:sz w:val="22"/>
          <w:szCs w:val="22"/>
          <w:lang w:val="pt-BR" w:eastAsia="en-US"/>
        </w:rPr>
        <w:t xml:space="preserve">a </w:t>
      </w:r>
      <w:r w:rsidR="00020B8F" w:rsidRPr="00BC2D0E">
        <w:rPr>
          <w:rFonts w:ascii="Verdana" w:eastAsiaTheme="minorHAnsi" w:hAnsi="Verdana" w:cstheme="minorHAnsi"/>
          <w:sz w:val="22"/>
          <w:szCs w:val="22"/>
          <w:lang w:val="pt-BR" w:eastAsia="en-US"/>
        </w:rPr>
        <w:t>181ª Assembleia Ger</w:t>
      </w:r>
      <w:r w:rsidR="00A129C5" w:rsidRPr="00BC2D0E">
        <w:rPr>
          <w:rFonts w:ascii="Verdana" w:eastAsiaTheme="minorHAnsi" w:hAnsi="Verdana" w:cstheme="minorHAnsi"/>
          <w:sz w:val="22"/>
          <w:szCs w:val="22"/>
          <w:lang w:val="pt-BR" w:eastAsia="en-US"/>
        </w:rPr>
        <w:t>al Extraordinária da Eletrobr</w:t>
      </w:r>
      <w:r w:rsidR="005C611E" w:rsidRPr="00BC2D0E">
        <w:rPr>
          <w:rFonts w:ascii="Verdana" w:eastAsiaTheme="minorHAnsi" w:hAnsi="Verdana" w:cstheme="minorHAnsi"/>
          <w:sz w:val="22"/>
          <w:szCs w:val="22"/>
          <w:lang w:val="pt-BR" w:eastAsia="en-US"/>
        </w:rPr>
        <w:t>a</w:t>
      </w:r>
      <w:r w:rsidR="00A129C5" w:rsidRPr="00BC2D0E">
        <w:rPr>
          <w:rFonts w:ascii="Verdana" w:eastAsiaTheme="minorHAnsi" w:hAnsi="Verdana" w:cstheme="minorHAnsi"/>
          <w:sz w:val="22"/>
          <w:szCs w:val="22"/>
          <w:lang w:val="pt-BR" w:eastAsia="en-US"/>
        </w:rPr>
        <w:t>s. C</w:t>
      </w:r>
      <w:r w:rsidR="002E6364" w:rsidRPr="00BC2D0E">
        <w:rPr>
          <w:rFonts w:ascii="Verdana" w:eastAsiaTheme="minorHAnsi" w:hAnsi="Verdana" w:cstheme="minorHAnsi"/>
          <w:sz w:val="22"/>
          <w:szCs w:val="22"/>
          <w:lang w:val="pt-BR" w:eastAsia="en-US"/>
        </w:rPr>
        <w:t>om isso</w:t>
      </w:r>
      <w:r w:rsidR="00A129C5" w:rsidRPr="00BC2D0E">
        <w:rPr>
          <w:rFonts w:ascii="Verdana" w:eastAsiaTheme="minorHAnsi" w:hAnsi="Verdana" w:cstheme="minorHAnsi"/>
          <w:sz w:val="22"/>
          <w:szCs w:val="22"/>
          <w:lang w:val="pt-BR" w:eastAsia="en-US"/>
        </w:rPr>
        <w:t>,</w:t>
      </w:r>
      <w:r w:rsidR="002E6364" w:rsidRPr="00BC2D0E">
        <w:rPr>
          <w:rFonts w:ascii="Verdana" w:eastAsiaTheme="minorHAnsi" w:hAnsi="Verdana" w:cstheme="minorHAnsi"/>
          <w:sz w:val="22"/>
          <w:szCs w:val="22"/>
          <w:lang w:val="pt-BR" w:eastAsia="en-US"/>
        </w:rPr>
        <w:t xml:space="preserve"> a </w:t>
      </w:r>
      <w:proofErr w:type="spellStart"/>
      <w:r w:rsidR="00E0105A" w:rsidRPr="00BC2D0E">
        <w:rPr>
          <w:rFonts w:ascii="Verdana" w:eastAsiaTheme="minorHAnsi" w:hAnsi="Verdana" w:cstheme="minorHAnsi"/>
          <w:sz w:val="22"/>
          <w:szCs w:val="22"/>
          <w:lang w:val="pt-BR" w:eastAsia="en-US"/>
        </w:rPr>
        <w:t>ENBPar</w:t>
      </w:r>
      <w:proofErr w:type="spellEnd"/>
      <w:r w:rsidR="00E0105A" w:rsidRPr="00BC2D0E">
        <w:rPr>
          <w:rFonts w:ascii="Verdana" w:eastAsiaTheme="minorHAnsi" w:hAnsi="Verdana" w:cstheme="minorHAnsi"/>
          <w:sz w:val="22"/>
          <w:szCs w:val="22"/>
          <w:lang w:val="pt-BR" w:eastAsia="en-US"/>
        </w:rPr>
        <w:t xml:space="preserve"> </w:t>
      </w:r>
      <w:r w:rsidR="002E6364" w:rsidRPr="00BC2D0E">
        <w:rPr>
          <w:rFonts w:ascii="Verdana" w:eastAsiaTheme="minorHAnsi" w:hAnsi="Verdana" w:cstheme="minorHAnsi"/>
          <w:sz w:val="22"/>
          <w:szCs w:val="22"/>
          <w:lang w:val="pt-BR" w:eastAsia="en-US"/>
        </w:rPr>
        <w:t>assumiu as atividades de agente de comercialização de energia elétrica de Itaipu Binacional atra</w:t>
      </w:r>
      <w:r w:rsidR="00AB0DD2" w:rsidRPr="00BC2D0E">
        <w:rPr>
          <w:rFonts w:ascii="Verdana" w:eastAsiaTheme="minorHAnsi" w:hAnsi="Verdana" w:cstheme="minorHAnsi"/>
          <w:sz w:val="22"/>
          <w:szCs w:val="22"/>
          <w:lang w:val="pt-BR" w:eastAsia="en-US"/>
        </w:rPr>
        <w:t>vés da transferência societária</w:t>
      </w:r>
      <w:r w:rsidR="005921A4" w:rsidRPr="00F7132F">
        <w:rPr>
          <w:rFonts w:ascii="Verdana" w:eastAsiaTheme="minorHAnsi" w:hAnsi="Verdana" w:cstheme="minorHAnsi"/>
          <w:sz w:val="22"/>
          <w:szCs w:val="22"/>
          <w:lang w:val="pt-BR" w:eastAsia="en-US"/>
        </w:rPr>
        <w:t>;</w:t>
      </w:r>
      <w:r w:rsidR="00AB0DD2" w:rsidRPr="00BC2D0E">
        <w:rPr>
          <w:rFonts w:ascii="Verdana" w:eastAsiaTheme="minorHAnsi" w:hAnsi="Verdana" w:cstheme="minorHAnsi"/>
          <w:sz w:val="22"/>
          <w:szCs w:val="22"/>
          <w:lang w:val="pt-BR" w:eastAsia="en-US"/>
        </w:rPr>
        <w:t xml:space="preserve"> as</w:t>
      </w:r>
      <w:r w:rsidR="00020B8F" w:rsidRPr="00BC2D0E">
        <w:rPr>
          <w:rFonts w:ascii="Verdana" w:eastAsiaTheme="minorHAnsi" w:hAnsi="Verdana" w:cstheme="minorHAnsi"/>
          <w:sz w:val="22"/>
          <w:szCs w:val="22"/>
          <w:lang w:val="pt-BR" w:eastAsia="en-US"/>
        </w:rPr>
        <w:t xml:space="preserve"> participações</w:t>
      </w:r>
      <w:r w:rsidR="00AB0DD2" w:rsidRPr="00BC2D0E">
        <w:rPr>
          <w:rFonts w:ascii="Verdana" w:eastAsiaTheme="minorHAnsi" w:hAnsi="Verdana" w:cstheme="minorHAnsi"/>
          <w:sz w:val="22"/>
          <w:szCs w:val="22"/>
          <w:lang w:val="pt-BR" w:eastAsia="en-US"/>
        </w:rPr>
        <w:t xml:space="preserve"> em Itaipu Binacional (“Itaipu”), entidade binacional, criada pelo tratado assinado em 26 de abril de 1973 (aprovado pelo Decreto Legislativo nº 23/1973), entre a República Federativa do Brasil e a República do </w:t>
      </w:r>
      <w:r w:rsidR="00AB0DD2" w:rsidRPr="00F7132F">
        <w:rPr>
          <w:rFonts w:ascii="Verdana" w:eastAsiaTheme="minorHAnsi" w:hAnsi="Verdana" w:cstheme="minorHAnsi"/>
          <w:sz w:val="22"/>
          <w:szCs w:val="22"/>
          <w:lang w:val="pt-BR" w:eastAsia="en-US"/>
        </w:rPr>
        <w:t>Paraguai</w:t>
      </w:r>
      <w:r w:rsidR="005921A4" w:rsidRPr="00F7132F">
        <w:rPr>
          <w:rFonts w:ascii="Verdana" w:eastAsiaTheme="minorHAnsi" w:hAnsi="Verdana" w:cstheme="minorHAnsi"/>
          <w:sz w:val="22"/>
          <w:szCs w:val="22"/>
          <w:lang w:val="pt-BR" w:eastAsia="en-US"/>
        </w:rPr>
        <w:t>;</w:t>
      </w:r>
      <w:r w:rsidR="00AB0DD2" w:rsidRPr="00BC2D0E">
        <w:rPr>
          <w:rFonts w:ascii="Verdana" w:eastAsiaTheme="minorHAnsi" w:hAnsi="Verdana" w:cstheme="minorHAnsi"/>
          <w:sz w:val="22"/>
          <w:szCs w:val="22"/>
          <w:lang w:val="pt-BR" w:eastAsia="en-US"/>
        </w:rPr>
        <w:t xml:space="preserve"> e </w:t>
      </w:r>
      <w:r w:rsidR="00AB0DD2" w:rsidRPr="00F7132F">
        <w:rPr>
          <w:rFonts w:ascii="Verdana" w:eastAsiaTheme="minorHAnsi" w:hAnsi="Verdana" w:cstheme="minorHAnsi"/>
          <w:sz w:val="22"/>
          <w:szCs w:val="22"/>
          <w:lang w:val="pt-BR" w:eastAsia="en-US"/>
        </w:rPr>
        <w:t>na</w:t>
      </w:r>
      <w:r w:rsidR="00020B8F" w:rsidRPr="00BC2D0E">
        <w:rPr>
          <w:rFonts w:ascii="Verdana" w:eastAsiaTheme="minorHAnsi" w:hAnsi="Verdana" w:cstheme="minorHAnsi"/>
          <w:sz w:val="22"/>
          <w:szCs w:val="22"/>
          <w:lang w:val="pt-BR" w:eastAsia="en-US"/>
        </w:rPr>
        <w:t xml:space="preserve"> Eletrobras Termonuclear S.A.</w:t>
      </w:r>
      <w:r w:rsidR="00AB0DD2" w:rsidRPr="00BC2D0E">
        <w:rPr>
          <w:rFonts w:ascii="Verdana" w:eastAsiaTheme="minorHAnsi" w:hAnsi="Verdana" w:cstheme="minorHAnsi"/>
          <w:sz w:val="22"/>
          <w:szCs w:val="22"/>
          <w:lang w:val="pt-BR" w:eastAsia="en-US"/>
        </w:rPr>
        <w:t xml:space="preserve">, atualmente Eletronuclear S.A. </w:t>
      </w:r>
      <w:r w:rsidR="00020B8F" w:rsidRPr="00BC2D0E">
        <w:rPr>
          <w:rFonts w:ascii="Verdana" w:eastAsiaTheme="minorHAnsi" w:hAnsi="Verdana" w:cstheme="minorHAnsi"/>
          <w:sz w:val="22"/>
          <w:szCs w:val="22"/>
          <w:lang w:val="pt-BR" w:eastAsia="en-US"/>
        </w:rPr>
        <w:t>(“Eletronuclear”).</w:t>
      </w:r>
    </w:p>
    <w:p w14:paraId="313AC12E" w14:textId="77777777" w:rsidR="004A1E74" w:rsidRPr="00BC2D0E" w:rsidRDefault="004A1E74" w:rsidP="00CF5F07">
      <w:pPr>
        <w:jc w:val="both"/>
        <w:rPr>
          <w:rFonts w:ascii="Verdana" w:hAnsi="Verdana" w:cstheme="minorHAnsi"/>
          <w:b/>
          <w:u w:val="single"/>
        </w:rPr>
      </w:pPr>
    </w:p>
    <w:p w14:paraId="3611C705" w14:textId="77777777" w:rsidR="00020B8F" w:rsidRPr="00BC2D0E" w:rsidRDefault="00020B8F" w:rsidP="00CF5F07">
      <w:pPr>
        <w:jc w:val="both"/>
        <w:rPr>
          <w:rFonts w:ascii="Verdana" w:hAnsi="Verdana" w:cstheme="minorHAnsi"/>
          <w:b/>
          <w:u w:val="single"/>
        </w:rPr>
      </w:pPr>
      <w:r w:rsidRPr="00BC2D0E">
        <w:rPr>
          <w:rFonts w:ascii="Verdana" w:hAnsi="Verdana" w:cstheme="minorHAnsi"/>
          <w:b/>
          <w:u w:val="single"/>
        </w:rPr>
        <w:t>Eletronuclear</w:t>
      </w:r>
    </w:p>
    <w:p w14:paraId="630CE554" w14:textId="77777777" w:rsidR="00152E57" w:rsidRPr="00BC2D0E" w:rsidRDefault="007B4E97" w:rsidP="007B4E97">
      <w:pPr>
        <w:pStyle w:val="Corpodetexto"/>
        <w:spacing w:before="19"/>
        <w:ind w:left="20" w:right="17"/>
        <w:rPr>
          <w:rFonts w:ascii="Verdana" w:hAnsi="Verdana" w:cstheme="minorHAnsi"/>
        </w:rPr>
      </w:pPr>
      <w:r w:rsidRPr="00BC2D0E">
        <w:rPr>
          <w:rFonts w:ascii="Verdana" w:eastAsiaTheme="minorHAnsi" w:hAnsi="Verdana" w:cstheme="minorHAnsi"/>
          <w:sz w:val="22"/>
          <w:szCs w:val="22"/>
          <w:lang w:val="pt-BR" w:eastAsia="en-US"/>
        </w:rPr>
        <w:t xml:space="preserve">O controle societário detido pela Eletrobras na Eletronuclear foi transferido para a </w:t>
      </w:r>
      <w:proofErr w:type="spellStart"/>
      <w:r w:rsidRPr="00BC2D0E">
        <w:rPr>
          <w:rFonts w:ascii="Verdana" w:eastAsiaTheme="minorHAnsi" w:hAnsi="Verdana" w:cstheme="minorHAnsi"/>
          <w:sz w:val="22"/>
          <w:szCs w:val="22"/>
          <w:lang w:val="pt-BR" w:eastAsia="en-US"/>
        </w:rPr>
        <w:t>ENB</w:t>
      </w:r>
      <w:r w:rsidR="004A1E74" w:rsidRPr="00BC2D0E">
        <w:rPr>
          <w:rFonts w:ascii="Verdana" w:eastAsiaTheme="minorHAnsi" w:hAnsi="Verdana" w:cstheme="minorHAnsi"/>
          <w:sz w:val="22"/>
          <w:szCs w:val="22"/>
          <w:lang w:val="pt-BR" w:eastAsia="en-US"/>
        </w:rPr>
        <w:t>P</w:t>
      </w:r>
      <w:r w:rsidRPr="00BC2D0E">
        <w:rPr>
          <w:rFonts w:ascii="Verdana" w:eastAsiaTheme="minorHAnsi" w:hAnsi="Verdana" w:cstheme="minorHAnsi"/>
          <w:sz w:val="22"/>
          <w:szCs w:val="22"/>
          <w:lang w:val="pt-BR" w:eastAsia="en-US"/>
        </w:rPr>
        <w:t>ar</w:t>
      </w:r>
      <w:proofErr w:type="spellEnd"/>
      <w:r w:rsidRPr="00BC2D0E">
        <w:rPr>
          <w:rFonts w:ascii="Verdana" w:eastAsiaTheme="minorHAnsi" w:hAnsi="Verdana" w:cstheme="minorHAnsi"/>
          <w:sz w:val="22"/>
          <w:szCs w:val="22"/>
          <w:lang w:val="pt-BR" w:eastAsia="en-US"/>
        </w:rPr>
        <w:t xml:space="preserve"> mediante aporte de capital no montante de R$ 3.500.000</w:t>
      </w:r>
      <w:r w:rsidR="00AB0DD2" w:rsidRPr="00BC2D0E">
        <w:rPr>
          <w:rFonts w:ascii="Verdana" w:eastAsiaTheme="minorHAnsi" w:hAnsi="Verdana" w:cstheme="minorHAnsi"/>
          <w:sz w:val="22"/>
          <w:szCs w:val="22"/>
          <w:lang w:val="pt-BR" w:eastAsia="en-US"/>
        </w:rPr>
        <w:t xml:space="preserve"> realizado </w:t>
      </w:r>
      <w:r w:rsidRPr="00BC2D0E">
        <w:rPr>
          <w:rFonts w:ascii="Verdana" w:eastAsiaTheme="minorHAnsi" w:hAnsi="Verdana" w:cstheme="minorHAnsi"/>
          <w:sz w:val="22"/>
          <w:szCs w:val="22"/>
          <w:lang w:val="pt-BR" w:eastAsia="en-US"/>
        </w:rPr>
        <w:t>e</w:t>
      </w:r>
      <w:r w:rsidR="00842755" w:rsidRPr="00BC2D0E">
        <w:rPr>
          <w:rFonts w:ascii="Verdana" w:eastAsiaTheme="minorHAnsi" w:hAnsi="Verdana" w:cstheme="minorHAnsi"/>
          <w:sz w:val="22"/>
          <w:szCs w:val="22"/>
          <w:lang w:val="pt-BR" w:eastAsia="en-US"/>
        </w:rPr>
        <w:t xml:space="preserve">m 20 de junho de 2022. </w:t>
      </w:r>
      <w:r w:rsidR="00AB0DD2" w:rsidRPr="00BC2D0E">
        <w:rPr>
          <w:rFonts w:ascii="Verdana" w:eastAsiaTheme="minorHAnsi" w:hAnsi="Verdana" w:cstheme="minorHAnsi"/>
          <w:sz w:val="22"/>
          <w:szCs w:val="22"/>
          <w:lang w:val="pt-BR" w:eastAsia="en-US"/>
        </w:rPr>
        <w:t>Este</w:t>
      </w:r>
      <w:r w:rsidR="00842755" w:rsidRPr="00BC2D0E">
        <w:rPr>
          <w:rFonts w:ascii="Verdana" w:eastAsiaTheme="minorHAnsi" w:hAnsi="Verdana" w:cstheme="minorHAnsi"/>
          <w:sz w:val="22"/>
          <w:szCs w:val="22"/>
          <w:lang w:val="pt-BR" w:eastAsia="en-US"/>
        </w:rPr>
        <w:t xml:space="preserve"> valor estava previsto no Acordo de Investimentos, celebrado entre a Eletrobras e a </w:t>
      </w:r>
      <w:proofErr w:type="spellStart"/>
      <w:r w:rsidR="00842755" w:rsidRPr="00BC2D0E">
        <w:rPr>
          <w:rFonts w:ascii="Verdana" w:eastAsiaTheme="minorHAnsi" w:hAnsi="Verdana" w:cstheme="minorHAnsi"/>
          <w:sz w:val="22"/>
          <w:szCs w:val="22"/>
          <w:lang w:val="pt-BR" w:eastAsia="en-US"/>
        </w:rPr>
        <w:t>ENBPar</w:t>
      </w:r>
      <w:proofErr w:type="spellEnd"/>
      <w:r w:rsidR="00842755" w:rsidRPr="00BC2D0E">
        <w:rPr>
          <w:rFonts w:ascii="Verdana" w:eastAsiaTheme="minorHAnsi" w:hAnsi="Verdana" w:cstheme="minorHAnsi"/>
          <w:sz w:val="22"/>
          <w:szCs w:val="22"/>
          <w:lang w:val="pt-BR" w:eastAsia="en-US"/>
        </w:rPr>
        <w:t>, no âmbito do processo de desestatização da Eletrobras</w:t>
      </w:r>
      <w:r w:rsidR="00FD348C" w:rsidRPr="00BC2D0E">
        <w:rPr>
          <w:rFonts w:ascii="Verdana" w:eastAsiaTheme="minorHAnsi" w:hAnsi="Verdana" w:cstheme="minorHAnsi"/>
          <w:sz w:val="22"/>
          <w:szCs w:val="22"/>
          <w:lang w:val="pt-BR" w:eastAsia="en-US"/>
        </w:rPr>
        <w:t xml:space="preserve">, com isso a </w:t>
      </w:r>
      <w:proofErr w:type="spellStart"/>
      <w:r w:rsidR="00FD348C" w:rsidRPr="00BC2D0E">
        <w:rPr>
          <w:rFonts w:ascii="Verdana" w:eastAsiaTheme="minorHAnsi" w:hAnsi="Verdana" w:cstheme="minorHAnsi"/>
          <w:sz w:val="22"/>
          <w:szCs w:val="22"/>
          <w:lang w:val="pt-BR" w:eastAsia="en-US"/>
        </w:rPr>
        <w:t>ENBP</w:t>
      </w:r>
      <w:r w:rsidR="00220248" w:rsidRPr="00BC2D0E">
        <w:rPr>
          <w:rFonts w:ascii="Verdana" w:eastAsiaTheme="minorHAnsi" w:hAnsi="Verdana" w:cstheme="minorHAnsi"/>
          <w:sz w:val="22"/>
          <w:szCs w:val="22"/>
          <w:lang w:val="pt-BR" w:eastAsia="en-US"/>
        </w:rPr>
        <w:t>ar</w:t>
      </w:r>
      <w:proofErr w:type="spellEnd"/>
      <w:r w:rsidR="00FD348C" w:rsidRPr="00BC2D0E">
        <w:rPr>
          <w:rFonts w:ascii="Verdana" w:eastAsiaTheme="minorHAnsi" w:hAnsi="Verdana" w:cstheme="minorHAnsi"/>
          <w:sz w:val="22"/>
          <w:szCs w:val="22"/>
          <w:lang w:val="pt-BR" w:eastAsia="en-US"/>
        </w:rPr>
        <w:t xml:space="preserve"> passou a ser a controladora societária da Eletronuclear.</w:t>
      </w:r>
      <w:r w:rsidRPr="00BC2D0E">
        <w:rPr>
          <w:rFonts w:ascii="Verdana" w:eastAsiaTheme="minorHAnsi" w:hAnsi="Verdana" w:cstheme="minorHAnsi"/>
          <w:sz w:val="22"/>
          <w:szCs w:val="22"/>
          <w:lang w:val="pt-BR" w:eastAsia="en-US"/>
        </w:rPr>
        <w:t xml:space="preserve"> </w:t>
      </w:r>
      <w:r w:rsidR="00152E57" w:rsidRPr="00BC2D0E">
        <w:rPr>
          <w:rFonts w:ascii="Verdana" w:eastAsiaTheme="minorHAnsi" w:hAnsi="Verdana" w:cstheme="minorHAnsi"/>
          <w:sz w:val="22"/>
          <w:szCs w:val="22"/>
          <w:lang w:val="pt-BR" w:eastAsia="en-US"/>
        </w:rPr>
        <w:t>O Acordo de Investimentos Eletronuclear definiu que:</w:t>
      </w:r>
    </w:p>
    <w:p w14:paraId="00C6B18B" w14:textId="77777777" w:rsidR="007B4E97" w:rsidRPr="00BC2D0E" w:rsidRDefault="007B4E97" w:rsidP="007B4E97">
      <w:pPr>
        <w:pStyle w:val="PargrafodaLista"/>
        <w:autoSpaceDE w:val="0"/>
        <w:autoSpaceDN w:val="0"/>
        <w:adjustRightInd w:val="0"/>
        <w:ind w:left="426"/>
        <w:rPr>
          <w:rFonts w:ascii="Verdana" w:hAnsi="Verdana" w:cstheme="minorHAnsi"/>
          <w:szCs w:val="22"/>
        </w:rPr>
      </w:pPr>
    </w:p>
    <w:p w14:paraId="6195D5CB" w14:textId="77777777" w:rsidR="00152E57" w:rsidRPr="00BC2D0E" w:rsidRDefault="00152E57" w:rsidP="00CF5F07">
      <w:pPr>
        <w:pStyle w:val="PargrafodaLista"/>
        <w:numPr>
          <w:ilvl w:val="0"/>
          <w:numId w:val="6"/>
        </w:numPr>
        <w:autoSpaceDE w:val="0"/>
        <w:autoSpaceDN w:val="0"/>
        <w:adjustRightInd w:val="0"/>
        <w:ind w:left="426" w:hanging="426"/>
        <w:rPr>
          <w:rFonts w:ascii="Verdana" w:hAnsi="Verdana" w:cstheme="minorHAnsi"/>
          <w:szCs w:val="22"/>
        </w:rPr>
      </w:pPr>
      <w:r w:rsidRPr="00BC2D0E">
        <w:rPr>
          <w:rFonts w:ascii="Verdana" w:hAnsi="Verdana" w:cstheme="minorHAnsi"/>
          <w:szCs w:val="22"/>
        </w:rPr>
        <w:t xml:space="preserve">a </w:t>
      </w:r>
      <w:proofErr w:type="spellStart"/>
      <w:r w:rsidRPr="00BC2D0E">
        <w:rPr>
          <w:rFonts w:ascii="Verdana" w:hAnsi="Verdana" w:cstheme="minorHAnsi"/>
          <w:szCs w:val="22"/>
        </w:rPr>
        <w:t>ENBPar</w:t>
      </w:r>
      <w:proofErr w:type="spellEnd"/>
      <w:r w:rsidRPr="00BC2D0E">
        <w:rPr>
          <w:rFonts w:ascii="Verdana" w:hAnsi="Verdana" w:cstheme="minorHAnsi"/>
          <w:szCs w:val="22"/>
        </w:rPr>
        <w:t xml:space="preserve"> deve</w:t>
      </w:r>
      <w:r w:rsidR="007B4E97" w:rsidRPr="00BC2D0E">
        <w:rPr>
          <w:rFonts w:ascii="Verdana" w:hAnsi="Verdana" w:cstheme="minorHAnsi"/>
          <w:szCs w:val="22"/>
        </w:rPr>
        <w:t>ria</w:t>
      </w:r>
      <w:r w:rsidRPr="00BC2D0E">
        <w:rPr>
          <w:rFonts w:ascii="Verdana" w:hAnsi="Verdana" w:cstheme="minorHAnsi"/>
          <w:szCs w:val="22"/>
        </w:rPr>
        <w:t xml:space="preserve"> integralizar 141.916.224.437 Ações Ordinárias, no valor total de </w:t>
      </w:r>
      <w:r w:rsidRPr="00F7132F">
        <w:rPr>
          <w:rFonts w:ascii="Verdana" w:hAnsi="Verdana" w:cstheme="minorHAnsi"/>
          <w:szCs w:val="22"/>
        </w:rPr>
        <w:t>R$</w:t>
      </w:r>
      <w:r w:rsidR="001C67F9" w:rsidRPr="00BC2D0E">
        <w:rPr>
          <w:rFonts w:ascii="Verdana" w:hAnsi="Verdana" w:cstheme="minorHAnsi"/>
          <w:szCs w:val="22"/>
        </w:rPr>
        <w:t xml:space="preserve"> </w:t>
      </w:r>
      <w:r w:rsidRPr="00BC2D0E">
        <w:rPr>
          <w:rFonts w:ascii="Verdana" w:hAnsi="Verdana" w:cstheme="minorHAnsi"/>
          <w:szCs w:val="22"/>
        </w:rPr>
        <w:t xml:space="preserve">3.500.000 ("Integralização Eletronuclear – </w:t>
      </w:r>
      <w:proofErr w:type="spellStart"/>
      <w:r w:rsidRPr="00BC2D0E">
        <w:rPr>
          <w:rFonts w:ascii="Verdana" w:hAnsi="Verdana" w:cstheme="minorHAnsi"/>
          <w:szCs w:val="22"/>
        </w:rPr>
        <w:t>ENBPar</w:t>
      </w:r>
      <w:proofErr w:type="spellEnd"/>
      <w:r w:rsidRPr="00BC2D0E">
        <w:rPr>
          <w:rFonts w:ascii="Verdana" w:hAnsi="Verdana" w:cstheme="minorHAnsi"/>
          <w:szCs w:val="22"/>
        </w:rPr>
        <w:t>")</w:t>
      </w:r>
    </w:p>
    <w:p w14:paraId="4C37C4B5" w14:textId="77777777" w:rsidR="00F57F41" w:rsidRPr="00BC2D0E" w:rsidRDefault="00F57F41" w:rsidP="00CF5F07">
      <w:pPr>
        <w:pStyle w:val="PargrafodaLista"/>
        <w:autoSpaceDE w:val="0"/>
        <w:autoSpaceDN w:val="0"/>
        <w:adjustRightInd w:val="0"/>
        <w:ind w:left="426"/>
        <w:rPr>
          <w:rFonts w:ascii="Verdana" w:hAnsi="Verdana" w:cstheme="minorHAnsi"/>
          <w:szCs w:val="22"/>
        </w:rPr>
      </w:pPr>
    </w:p>
    <w:p w14:paraId="128231A4" w14:textId="77777777" w:rsidR="00152E57" w:rsidRPr="00BC2D0E" w:rsidRDefault="00152E57" w:rsidP="00CF5F07">
      <w:pPr>
        <w:pStyle w:val="PargrafodaLista"/>
        <w:numPr>
          <w:ilvl w:val="0"/>
          <w:numId w:val="6"/>
        </w:numPr>
        <w:autoSpaceDE w:val="0"/>
        <w:autoSpaceDN w:val="0"/>
        <w:adjustRightInd w:val="0"/>
        <w:ind w:left="426" w:hanging="426"/>
        <w:rPr>
          <w:rFonts w:ascii="Verdana" w:hAnsi="Verdana" w:cstheme="minorHAnsi"/>
          <w:szCs w:val="22"/>
        </w:rPr>
      </w:pPr>
      <w:r w:rsidRPr="00BC2D0E">
        <w:rPr>
          <w:rFonts w:ascii="Verdana" w:hAnsi="Verdana" w:cstheme="minorHAnsi"/>
          <w:szCs w:val="22"/>
        </w:rPr>
        <w:t xml:space="preserve">a </w:t>
      </w:r>
      <w:r w:rsidR="007B4E97" w:rsidRPr="00F7132F">
        <w:rPr>
          <w:rFonts w:ascii="Verdana" w:hAnsi="Verdana" w:cstheme="minorHAnsi"/>
          <w:szCs w:val="22"/>
        </w:rPr>
        <w:t>Eletrobr</w:t>
      </w:r>
      <w:r w:rsidR="007C6DEA" w:rsidRPr="00F7132F">
        <w:rPr>
          <w:rFonts w:ascii="Verdana" w:hAnsi="Verdana" w:cstheme="minorHAnsi"/>
          <w:szCs w:val="22"/>
        </w:rPr>
        <w:t>a</w:t>
      </w:r>
      <w:r w:rsidR="007B4E97" w:rsidRPr="00F7132F">
        <w:rPr>
          <w:rFonts w:ascii="Verdana" w:hAnsi="Verdana" w:cstheme="minorHAnsi"/>
          <w:szCs w:val="22"/>
        </w:rPr>
        <w:t>s</w:t>
      </w:r>
      <w:r w:rsidRPr="00BC2D0E">
        <w:rPr>
          <w:rFonts w:ascii="Verdana" w:hAnsi="Verdana" w:cstheme="minorHAnsi"/>
          <w:szCs w:val="22"/>
        </w:rPr>
        <w:t xml:space="preserve"> e a </w:t>
      </w:r>
      <w:proofErr w:type="spellStart"/>
      <w:r w:rsidRPr="00BC2D0E">
        <w:rPr>
          <w:rFonts w:ascii="Verdana" w:hAnsi="Verdana" w:cstheme="minorHAnsi"/>
          <w:szCs w:val="22"/>
        </w:rPr>
        <w:t>ENBPar</w:t>
      </w:r>
      <w:proofErr w:type="spellEnd"/>
      <w:r w:rsidRPr="00BC2D0E">
        <w:rPr>
          <w:rFonts w:ascii="Verdana" w:hAnsi="Verdana" w:cstheme="minorHAnsi"/>
          <w:szCs w:val="22"/>
        </w:rPr>
        <w:t xml:space="preserve"> dev</w:t>
      </w:r>
      <w:r w:rsidR="007B4E97" w:rsidRPr="00BC2D0E">
        <w:rPr>
          <w:rFonts w:ascii="Verdana" w:hAnsi="Verdana" w:cstheme="minorHAnsi"/>
          <w:szCs w:val="22"/>
        </w:rPr>
        <w:t>em</w:t>
      </w:r>
      <w:r w:rsidRPr="00BC2D0E">
        <w:rPr>
          <w:rFonts w:ascii="Verdana" w:hAnsi="Verdana" w:cstheme="minorHAnsi"/>
          <w:szCs w:val="22"/>
        </w:rPr>
        <w:t xml:space="preserve"> participar, resguardada a proporção de suas ações, conforme previsto no Acordo de Acionistas Eletronuclear, na obtenção dos recursos necessários para a viabilização da construção de Angra 3. Esses recursos podem ser obtidos por meio de (i) capitalizações; e (</w:t>
      </w:r>
      <w:proofErr w:type="spellStart"/>
      <w:r w:rsidRPr="00BC2D0E">
        <w:rPr>
          <w:rFonts w:ascii="Verdana" w:hAnsi="Verdana" w:cstheme="minorHAnsi"/>
          <w:szCs w:val="22"/>
        </w:rPr>
        <w:t>ii</w:t>
      </w:r>
      <w:proofErr w:type="spellEnd"/>
      <w:r w:rsidRPr="00BC2D0E">
        <w:rPr>
          <w:rFonts w:ascii="Verdana" w:hAnsi="Verdana" w:cstheme="minorHAnsi"/>
          <w:szCs w:val="22"/>
        </w:rPr>
        <w:t xml:space="preserve">) financiamentos na forma de mútuos. O volume necessário de novas capitalizações e novos financiamentos </w:t>
      </w:r>
      <w:r w:rsidRPr="00BC2D0E">
        <w:rPr>
          <w:rFonts w:ascii="Verdana" w:hAnsi="Verdana" w:cstheme="minorHAnsi"/>
          <w:szCs w:val="22"/>
        </w:rPr>
        <w:lastRenderedPageBreak/>
        <w:t xml:space="preserve">para viabilizar o empreendimento de Angra 3 será determinado por estudos conduzidos pelo BNDES. Para tanto, a </w:t>
      </w:r>
      <w:r w:rsidR="001C2E70" w:rsidRPr="00BC2D0E">
        <w:rPr>
          <w:rFonts w:ascii="Verdana" w:hAnsi="Verdana" w:cstheme="minorHAnsi"/>
          <w:szCs w:val="22"/>
        </w:rPr>
        <w:t>Eletrobras</w:t>
      </w:r>
      <w:r w:rsidRPr="00BC2D0E">
        <w:rPr>
          <w:rFonts w:ascii="Verdana" w:hAnsi="Verdana" w:cstheme="minorHAnsi"/>
          <w:szCs w:val="22"/>
        </w:rPr>
        <w:t xml:space="preserve"> e a </w:t>
      </w:r>
      <w:proofErr w:type="spellStart"/>
      <w:r w:rsidRPr="00BC2D0E">
        <w:rPr>
          <w:rFonts w:ascii="Verdana" w:hAnsi="Verdana" w:cstheme="minorHAnsi"/>
          <w:szCs w:val="22"/>
        </w:rPr>
        <w:t>ENBPar</w:t>
      </w:r>
      <w:proofErr w:type="spellEnd"/>
      <w:r w:rsidRPr="00BC2D0E">
        <w:rPr>
          <w:rFonts w:ascii="Verdana" w:hAnsi="Verdana" w:cstheme="minorHAnsi"/>
          <w:szCs w:val="22"/>
        </w:rPr>
        <w:t xml:space="preserve"> ficam obrigadas a (i) fazer com que a Eletronuclear emita novas ações de forma a</w:t>
      </w:r>
      <w:r w:rsidR="000F4984" w:rsidRPr="00BC2D0E">
        <w:rPr>
          <w:rFonts w:ascii="Verdana" w:hAnsi="Verdana" w:cstheme="minorHAnsi"/>
          <w:szCs w:val="22"/>
        </w:rPr>
        <w:t xml:space="preserve"> viabilizar novas capitalizações; e (</w:t>
      </w:r>
      <w:proofErr w:type="spellStart"/>
      <w:r w:rsidR="000F4984" w:rsidRPr="00BC2D0E">
        <w:rPr>
          <w:rFonts w:ascii="Verdana" w:hAnsi="Verdana" w:cstheme="minorHAnsi"/>
          <w:szCs w:val="22"/>
        </w:rPr>
        <w:t>ii</w:t>
      </w:r>
      <w:proofErr w:type="spellEnd"/>
      <w:r w:rsidR="000F4984" w:rsidRPr="00BC2D0E">
        <w:rPr>
          <w:rFonts w:ascii="Verdana" w:hAnsi="Verdana" w:cstheme="minorHAnsi"/>
          <w:szCs w:val="22"/>
        </w:rPr>
        <w:t>) fazer com que a diretoria da Eletronuclear submeta propostas de financiamento para aprovação do COANGRA, podendo, a Eletronuclear, para tanto, outorgar garantias fidejussórias e/ou estruturar operações de repasse para obtenção de recursos, em todos os casos, conforme determinado pelos estudos do BNDES, observado que (a) cada parte somente será obrigada a honrar seu compromisso para obtenção de tais recursos na proporção de suas participações no capital social votante da Eletronuclear, conforme previsto no Acordo de Acionistas Eletronuclear; e (b) nenhuma das partes será obrigada a participar na obtenção de tais recursos em valores superiores ao previsto nos referidos estudos.</w:t>
      </w:r>
    </w:p>
    <w:p w14:paraId="27B72AE9" w14:textId="77777777" w:rsidR="004244FC" w:rsidRPr="00BC2D0E" w:rsidRDefault="004244FC" w:rsidP="00CF5F07">
      <w:pPr>
        <w:jc w:val="both"/>
        <w:rPr>
          <w:rFonts w:ascii="Verdana" w:hAnsi="Verdana" w:cstheme="minorHAnsi"/>
        </w:rPr>
      </w:pPr>
    </w:p>
    <w:p w14:paraId="38F5E750" w14:textId="77777777" w:rsidR="00842755" w:rsidRPr="00BC2D0E" w:rsidRDefault="00152E57" w:rsidP="00CF5F07">
      <w:pPr>
        <w:jc w:val="both"/>
        <w:rPr>
          <w:rFonts w:ascii="Verdana" w:hAnsi="Verdana" w:cstheme="minorHAnsi"/>
          <w:b/>
          <w:u w:val="single"/>
        </w:rPr>
      </w:pPr>
      <w:r w:rsidRPr="00BC2D0E">
        <w:rPr>
          <w:rFonts w:ascii="Verdana" w:hAnsi="Verdana" w:cstheme="minorHAnsi"/>
          <w:b/>
          <w:u w:val="single"/>
        </w:rPr>
        <w:t>I</w:t>
      </w:r>
      <w:r w:rsidR="00020B8F" w:rsidRPr="00BC2D0E">
        <w:rPr>
          <w:rFonts w:ascii="Verdana" w:hAnsi="Verdana" w:cstheme="minorHAnsi"/>
          <w:b/>
          <w:u w:val="single"/>
        </w:rPr>
        <w:t>taipu</w:t>
      </w:r>
    </w:p>
    <w:p w14:paraId="4CB7CA85" w14:textId="77777777" w:rsidR="00E0105A" w:rsidRPr="00F7132F" w:rsidRDefault="00E0105A" w:rsidP="00E0105A">
      <w:pPr>
        <w:autoSpaceDE w:val="0"/>
        <w:autoSpaceDN w:val="0"/>
        <w:adjustRightInd w:val="0"/>
        <w:spacing w:after="0" w:line="240" w:lineRule="auto"/>
        <w:jc w:val="both"/>
        <w:rPr>
          <w:rFonts w:ascii="Verdana" w:eastAsia="Times New Roman" w:hAnsi="Verdana" w:cstheme="minorHAnsi"/>
          <w:lang w:eastAsia="pt-BR"/>
        </w:rPr>
      </w:pPr>
      <w:r w:rsidRPr="00F7132F">
        <w:rPr>
          <w:rFonts w:ascii="Verdana" w:eastAsia="Times New Roman" w:hAnsi="Verdana" w:cstheme="minorHAnsi"/>
          <w:lang w:eastAsia="pt-BR"/>
        </w:rPr>
        <w:t xml:space="preserve">O Contrato de Transferência de Participação Societária em Itaipu pela Eletrobras transferiu a totalidade de sua participação societária no capital social da Itaipu para a </w:t>
      </w:r>
      <w:proofErr w:type="spellStart"/>
      <w:r w:rsidRPr="00F7132F">
        <w:rPr>
          <w:rFonts w:ascii="Verdana" w:eastAsia="Times New Roman" w:hAnsi="Verdana" w:cstheme="minorHAnsi"/>
          <w:lang w:eastAsia="pt-BR"/>
        </w:rPr>
        <w:t>ENBPar</w:t>
      </w:r>
      <w:proofErr w:type="spellEnd"/>
      <w:r w:rsidRPr="00F7132F">
        <w:rPr>
          <w:rFonts w:ascii="Verdana" w:eastAsia="Times New Roman" w:hAnsi="Verdana" w:cstheme="minorHAnsi"/>
          <w:lang w:eastAsia="pt-BR"/>
        </w:rPr>
        <w:t xml:space="preserve">. A transferência de Itaipu foi notificada pela Eletrobras, em conjunto com a União, à ANDE – </w:t>
      </w:r>
      <w:proofErr w:type="spellStart"/>
      <w:r w:rsidRPr="00F7132F">
        <w:rPr>
          <w:rFonts w:ascii="Verdana" w:eastAsia="Times New Roman" w:hAnsi="Verdana" w:cstheme="minorHAnsi"/>
          <w:i/>
          <w:lang w:eastAsia="pt-BR"/>
        </w:rPr>
        <w:t>Administración</w:t>
      </w:r>
      <w:proofErr w:type="spellEnd"/>
      <w:r w:rsidRPr="00F7132F">
        <w:rPr>
          <w:rFonts w:ascii="Verdana" w:eastAsia="Times New Roman" w:hAnsi="Verdana" w:cstheme="minorHAnsi"/>
          <w:i/>
          <w:lang w:eastAsia="pt-BR"/>
        </w:rPr>
        <w:t xml:space="preserve"> Nacional de </w:t>
      </w:r>
      <w:proofErr w:type="spellStart"/>
      <w:r w:rsidRPr="00F7132F">
        <w:rPr>
          <w:rFonts w:ascii="Verdana" w:eastAsia="Times New Roman" w:hAnsi="Verdana" w:cstheme="minorHAnsi"/>
          <w:i/>
          <w:lang w:eastAsia="pt-BR"/>
        </w:rPr>
        <w:t>Eletricidad</w:t>
      </w:r>
      <w:proofErr w:type="spellEnd"/>
      <w:r w:rsidRPr="00F7132F">
        <w:rPr>
          <w:rFonts w:ascii="Verdana" w:eastAsia="Times New Roman" w:hAnsi="Verdana" w:cstheme="minorHAnsi"/>
          <w:lang w:eastAsia="pt-BR"/>
        </w:rPr>
        <w:t xml:space="preserve"> e ao Governo do Paraguai. O preço a ser pago pela </w:t>
      </w:r>
      <w:proofErr w:type="spellStart"/>
      <w:r w:rsidRPr="00F7132F">
        <w:rPr>
          <w:rFonts w:ascii="Verdana" w:eastAsia="Times New Roman" w:hAnsi="Verdana" w:cstheme="minorHAnsi"/>
          <w:lang w:eastAsia="pt-BR"/>
        </w:rPr>
        <w:t>ENBPar</w:t>
      </w:r>
      <w:proofErr w:type="spellEnd"/>
      <w:r w:rsidRPr="00F7132F">
        <w:rPr>
          <w:rFonts w:ascii="Verdana" w:eastAsia="Times New Roman" w:hAnsi="Verdana" w:cstheme="minorHAnsi"/>
          <w:lang w:eastAsia="pt-BR"/>
        </w:rPr>
        <w:t xml:space="preserve"> à Eletrobras pela aquisição da participação societária é de R$</w:t>
      </w:r>
      <w:r w:rsidR="00955D7C">
        <w:rPr>
          <w:rFonts w:ascii="Verdana" w:eastAsia="Times New Roman" w:hAnsi="Verdana" w:cstheme="minorHAnsi"/>
          <w:lang w:eastAsia="pt-BR"/>
        </w:rPr>
        <w:t xml:space="preserve"> </w:t>
      </w:r>
      <w:r w:rsidRPr="00F7132F">
        <w:rPr>
          <w:rFonts w:ascii="Verdana" w:eastAsia="Times New Roman" w:hAnsi="Verdana" w:cstheme="minorHAnsi"/>
          <w:lang w:eastAsia="pt-BR"/>
        </w:rPr>
        <w:t>1.212.148.</w:t>
      </w:r>
    </w:p>
    <w:p w14:paraId="41E11DB8" w14:textId="77777777" w:rsidR="00E0105A" w:rsidRPr="00F7132F" w:rsidRDefault="00E0105A" w:rsidP="00E0105A">
      <w:pPr>
        <w:autoSpaceDE w:val="0"/>
        <w:autoSpaceDN w:val="0"/>
        <w:adjustRightInd w:val="0"/>
        <w:spacing w:after="0" w:line="240" w:lineRule="auto"/>
        <w:jc w:val="both"/>
        <w:rPr>
          <w:rFonts w:ascii="Verdana" w:eastAsia="Times New Roman" w:hAnsi="Verdana" w:cstheme="minorHAnsi"/>
          <w:lang w:eastAsia="pt-BR"/>
        </w:rPr>
      </w:pPr>
    </w:p>
    <w:p w14:paraId="743DE7AB" w14:textId="77777777" w:rsidR="00E0105A" w:rsidRPr="00F7132F" w:rsidRDefault="00E0105A" w:rsidP="00E0105A">
      <w:pPr>
        <w:autoSpaceDE w:val="0"/>
        <w:autoSpaceDN w:val="0"/>
        <w:adjustRightInd w:val="0"/>
        <w:spacing w:after="0" w:line="240" w:lineRule="auto"/>
        <w:jc w:val="both"/>
        <w:rPr>
          <w:rFonts w:ascii="Verdana" w:eastAsia="Times New Roman" w:hAnsi="Verdana" w:cstheme="minorHAnsi"/>
          <w:lang w:eastAsia="pt-BR"/>
        </w:rPr>
      </w:pPr>
      <w:r w:rsidRPr="00F7132F">
        <w:rPr>
          <w:rFonts w:ascii="Verdana" w:eastAsia="Times New Roman" w:hAnsi="Verdana" w:cstheme="minorHAnsi"/>
          <w:lang w:eastAsia="pt-BR"/>
        </w:rPr>
        <w:t xml:space="preserve">A responsabilidade pela gestão brasileira de Itaipu e a responsabilidade pela comercialização da energia elétrica produzida por Itaipu e consumida no Brasil foram imediatamente transferidas à </w:t>
      </w:r>
      <w:proofErr w:type="spellStart"/>
      <w:r w:rsidRPr="00F7132F">
        <w:rPr>
          <w:rFonts w:ascii="Verdana" w:eastAsia="Times New Roman" w:hAnsi="Verdana" w:cstheme="minorHAnsi"/>
          <w:lang w:eastAsia="pt-BR"/>
        </w:rPr>
        <w:t>ENBPar</w:t>
      </w:r>
      <w:proofErr w:type="spellEnd"/>
      <w:r w:rsidRPr="00F7132F">
        <w:rPr>
          <w:rFonts w:ascii="Verdana" w:eastAsia="Times New Roman" w:hAnsi="Verdana" w:cstheme="minorHAnsi"/>
          <w:lang w:eastAsia="pt-BR"/>
        </w:rPr>
        <w:t xml:space="preserve"> a partir da data da Efetiva Transferência de Itaipu. A Eletrobras deverá prestar assistência financeira, comercial, regulatória, administrativa e operacional à </w:t>
      </w:r>
      <w:proofErr w:type="spellStart"/>
      <w:r w:rsidRPr="00F7132F">
        <w:rPr>
          <w:rFonts w:ascii="Verdana" w:eastAsia="Times New Roman" w:hAnsi="Verdana" w:cstheme="minorHAnsi"/>
          <w:lang w:eastAsia="pt-BR"/>
        </w:rPr>
        <w:t>ENBPar</w:t>
      </w:r>
      <w:proofErr w:type="spellEnd"/>
      <w:r w:rsidRPr="00F7132F">
        <w:rPr>
          <w:rFonts w:ascii="Verdana" w:eastAsia="Times New Roman" w:hAnsi="Verdana" w:cstheme="minorHAnsi"/>
          <w:lang w:eastAsia="pt-BR"/>
        </w:rPr>
        <w:t xml:space="preserve"> durante a transição de gestão, por até 180 dias (até dezembro de 2022). A Eletrobras é remunerada pelos serviços de transição pelo valor de R$</w:t>
      </w:r>
      <w:r w:rsidR="00955D7C">
        <w:rPr>
          <w:rFonts w:ascii="Verdana" w:eastAsia="Times New Roman" w:hAnsi="Verdana" w:cstheme="minorHAnsi"/>
          <w:lang w:eastAsia="pt-BR"/>
        </w:rPr>
        <w:t xml:space="preserve"> </w:t>
      </w:r>
      <w:r w:rsidRPr="00F7132F">
        <w:rPr>
          <w:rFonts w:ascii="Verdana" w:eastAsia="Times New Roman" w:hAnsi="Verdana" w:cstheme="minorHAnsi"/>
          <w:lang w:eastAsia="pt-BR"/>
        </w:rPr>
        <w:t>2,85 milhões. O Contrato de Transferência Itaipu será automaticamente rescindido caso a Data de Liquidação da Oferta Global não seja implementada até 31 de dezembro de 2022.</w:t>
      </w:r>
    </w:p>
    <w:p w14:paraId="05ED846F" w14:textId="77777777" w:rsidR="00DF614A" w:rsidRPr="00BC2D0E" w:rsidRDefault="00DF614A" w:rsidP="00CF5F07">
      <w:pPr>
        <w:autoSpaceDE w:val="0"/>
        <w:autoSpaceDN w:val="0"/>
        <w:adjustRightInd w:val="0"/>
        <w:spacing w:after="0" w:line="240" w:lineRule="auto"/>
        <w:jc w:val="both"/>
        <w:rPr>
          <w:rFonts w:ascii="Verdana" w:hAnsi="Verdana" w:cstheme="minorHAnsi"/>
        </w:rPr>
      </w:pPr>
    </w:p>
    <w:p w14:paraId="03FE4CCD" w14:textId="77777777" w:rsidR="00904BDB" w:rsidRPr="00BC2D0E" w:rsidRDefault="00904BDB" w:rsidP="00CF5F07">
      <w:pPr>
        <w:autoSpaceDE w:val="0"/>
        <w:autoSpaceDN w:val="0"/>
        <w:adjustRightInd w:val="0"/>
        <w:spacing w:after="0" w:line="240" w:lineRule="auto"/>
        <w:jc w:val="both"/>
        <w:rPr>
          <w:rFonts w:ascii="Verdana" w:hAnsi="Verdana" w:cstheme="minorHAnsi"/>
          <w:b/>
          <w:u w:val="single"/>
        </w:rPr>
      </w:pPr>
      <w:r w:rsidRPr="00BC2D0E">
        <w:rPr>
          <w:rFonts w:ascii="Verdana" w:hAnsi="Verdana" w:cstheme="minorHAnsi"/>
          <w:b/>
          <w:u w:val="single"/>
        </w:rPr>
        <w:t>Gestão dos recursos relativos a fundos setoriais e programas governamentais</w:t>
      </w:r>
    </w:p>
    <w:p w14:paraId="4DD509F9" w14:textId="77777777" w:rsidR="00904BDB" w:rsidRPr="00BC2D0E" w:rsidRDefault="00904BDB" w:rsidP="00CF5F07">
      <w:pPr>
        <w:autoSpaceDE w:val="0"/>
        <w:autoSpaceDN w:val="0"/>
        <w:adjustRightInd w:val="0"/>
        <w:spacing w:after="0" w:line="240" w:lineRule="auto"/>
        <w:jc w:val="both"/>
        <w:rPr>
          <w:rFonts w:ascii="Verdana" w:hAnsi="Verdana" w:cstheme="minorHAnsi"/>
        </w:rPr>
      </w:pPr>
    </w:p>
    <w:p w14:paraId="00EC6376" w14:textId="77777777" w:rsidR="00904BDB" w:rsidRPr="00BC2D0E" w:rsidRDefault="005B29A5" w:rsidP="00CF5F07">
      <w:pPr>
        <w:autoSpaceDE w:val="0"/>
        <w:autoSpaceDN w:val="0"/>
        <w:adjustRightInd w:val="0"/>
        <w:spacing w:after="0" w:line="240" w:lineRule="auto"/>
        <w:jc w:val="both"/>
        <w:rPr>
          <w:rFonts w:ascii="Verdana" w:hAnsi="Verdana" w:cstheme="minorHAnsi"/>
        </w:rPr>
      </w:pPr>
      <w:r w:rsidRPr="00BC2D0E">
        <w:rPr>
          <w:rFonts w:ascii="Verdana" w:hAnsi="Verdana" w:cstheme="minorHAnsi"/>
        </w:rPr>
        <w:t xml:space="preserve">A </w:t>
      </w:r>
      <w:proofErr w:type="spellStart"/>
      <w:r w:rsidRPr="00BC2D0E">
        <w:rPr>
          <w:rFonts w:ascii="Verdana" w:hAnsi="Verdana" w:cstheme="minorHAnsi"/>
        </w:rPr>
        <w:t>ENBPar</w:t>
      </w:r>
      <w:proofErr w:type="spellEnd"/>
      <w:r w:rsidRPr="00BC2D0E">
        <w:rPr>
          <w:rFonts w:ascii="Verdana" w:hAnsi="Verdana" w:cstheme="minorHAnsi"/>
        </w:rPr>
        <w:t xml:space="preserve"> passará a ser a gestora dos </w:t>
      </w:r>
      <w:r w:rsidR="00904BDB" w:rsidRPr="00BC2D0E">
        <w:rPr>
          <w:rFonts w:ascii="Verdana" w:hAnsi="Verdana" w:cstheme="minorHAnsi"/>
        </w:rPr>
        <w:t>programas governamentais</w:t>
      </w:r>
      <w:r w:rsidR="004165C4" w:rsidRPr="00BC2D0E">
        <w:rPr>
          <w:rFonts w:ascii="Verdana" w:hAnsi="Verdana" w:cstheme="minorHAnsi"/>
        </w:rPr>
        <w:t xml:space="preserve"> do setor elétrico</w:t>
      </w:r>
      <w:r w:rsidRPr="00BC2D0E">
        <w:rPr>
          <w:rFonts w:ascii="Verdana" w:hAnsi="Verdana" w:cstheme="minorHAnsi"/>
        </w:rPr>
        <w:t>,</w:t>
      </w:r>
      <w:r w:rsidR="00904BDB" w:rsidRPr="00BC2D0E">
        <w:rPr>
          <w:rFonts w:ascii="Verdana" w:hAnsi="Verdana" w:cstheme="minorHAnsi"/>
        </w:rPr>
        <w:t xml:space="preserve"> que serão transferidos </w:t>
      </w:r>
      <w:r w:rsidRPr="00BC2D0E">
        <w:rPr>
          <w:rFonts w:ascii="Verdana" w:hAnsi="Verdana" w:cstheme="minorHAnsi"/>
        </w:rPr>
        <w:t>da</w:t>
      </w:r>
      <w:r w:rsidR="00904BDB" w:rsidRPr="00BC2D0E">
        <w:rPr>
          <w:rFonts w:ascii="Verdana" w:hAnsi="Verdana" w:cstheme="minorHAnsi"/>
        </w:rPr>
        <w:t xml:space="preserve"> </w:t>
      </w:r>
      <w:r w:rsidRPr="00BC2D0E">
        <w:rPr>
          <w:rFonts w:ascii="Verdana" w:hAnsi="Verdana" w:cstheme="minorHAnsi"/>
        </w:rPr>
        <w:t>Eletrobras</w:t>
      </w:r>
      <w:r w:rsidR="00904BDB" w:rsidRPr="00BC2D0E">
        <w:rPr>
          <w:rFonts w:ascii="Verdana" w:hAnsi="Verdana" w:cstheme="minorHAnsi"/>
        </w:rPr>
        <w:t xml:space="preserve"> </w:t>
      </w:r>
      <w:r w:rsidRPr="00BC2D0E">
        <w:rPr>
          <w:rFonts w:ascii="Verdana" w:hAnsi="Verdana" w:cstheme="minorHAnsi"/>
        </w:rPr>
        <w:t>dentro do</w:t>
      </w:r>
      <w:r w:rsidR="00904BDB" w:rsidRPr="00BC2D0E">
        <w:rPr>
          <w:rFonts w:ascii="Verdana" w:hAnsi="Verdana" w:cstheme="minorHAnsi"/>
        </w:rPr>
        <w:t xml:space="preserve"> período de 12 meses contados da </w:t>
      </w:r>
      <w:r w:rsidRPr="00BC2D0E">
        <w:rPr>
          <w:rFonts w:ascii="Verdana" w:hAnsi="Verdana" w:cstheme="minorHAnsi"/>
        </w:rPr>
        <w:t xml:space="preserve">sua </w:t>
      </w:r>
      <w:r w:rsidR="00904BDB" w:rsidRPr="00BC2D0E">
        <w:rPr>
          <w:rFonts w:ascii="Verdana" w:hAnsi="Verdana" w:cstheme="minorHAnsi"/>
        </w:rPr>
        <w:t>privatização</w:t>
      </w:r>
      <w:r w:rsidRPr="00BC2D0E">
        <w:rPr>
          <w:rFonts w:ascii="Verdana" w:hAnsi="Verdana" w:cstheme="minorHAnsi"/>
        </w:rPr>
        <w:t>, ocorrida em junho de 2022. Os programas descrevemos a seguir:</w:t>
      </w:r>
    </w:p>
    <w:p w14:paraId="07B05CB8" w14:textId="77777777" w:rsidR="00904BDB" w:rsidRPr="00BC2D0E" w:rsidRDefault="00904BDB" w:rsidP="00CF5F07">
      <w:pPr>
        <w:autoSpaceDE w:val="0"/>
        <w:autoSpaceDN w:val="0"/>
        <w:adjustRightInd w:val="0"/>
        <w:spacing w:after="0" w:line="240" w:lineRule="auto"/>
        <w:jc w:val="both"/>
        <w:rPr>
          <w:rFonts w:ascii="Verdana" w:hAnsi="Verdana" w:cstheme="minorHAnsi"/>
        </w:rPr>
      </w:pPr>
    </w:p>
    <w:p w14:paraId="13E1B0D3" w14:textId="77777777" w:rsidR="00904BDB" w:rsidRDefault="00904BDB" w:rsidP="00CF5F07">
      <w:pPr>
        <w:pStyle w:val="PargrafodaLista"/>
        <w:numPr>
          <w:ilvl w:val="0"/>
          <w:numId w:val="6"/>
        </w:numPr>
        <w:autoSpaceDE w:val="0"/>
        <w:autoSpaceDN w:val="0"/>
        <w:adjustRightInd w:val="0"/>
        <w:ind w:left="426" w:hanging="426"/>
        <w:rPr>
          <w:rFonts w:ascii="Verdana" w:hAnsi="Verdana" w:cstheme="minorHAnsi"/>
          <w:b/>
          <w:szCs w:val="22"/>
        </w:rPr>
      </w:pPr>
      <w:r w:rsidRPr="00BC2D0E">
        <w:rPr>
          <w:rFonts w:ascii="Verdana" w:hAnsi="Verdana" w:cstheme="minorHAnsi"/>
          <w:b/>
          <w:szCs w:val="22"/>
        </w:rPr>
        <w:t>Luz para Todos</w:t>
      </w:r>
    </w:p>
    <w:p w14:paraId="5449538C" w14:textId="77777777" w:rsidR="00A610F5" w:rsidRPr="00A610F5" w:rsidRDefault="00A610F5" w:rsidP="00A610F5">
      <w:pPr>
        <w:pStyle w:val="PargrafodaLista"/>
        <w:autoSpaceDE w:val="0"/>
        <w:autoSpaceDN w:val="0"/>
        <w:adjustRightInd w:val="0"/>
        <w:ind w:left="426"/>
        <w:rPr>
          <w:rFonts w:ascii="Verdana" w:hAnsi="Verdana" w:cstheme="minorHAnsi"/>
          <w:b/>
          <w:sz w:val="16"/>
          <w:szCs w:val="16"/>
        </w:rPr>
      </w:pPr>
    </w:p>
    <w:p w14:paraId="1C170F98" w14:textId="77777777" w:rsidR="00A610F5" w:rsidRDefault="00320384" w:rsidP="00FA1D23">
      <w:pPr>
        <w:ind w:left="426"/>
        <w:jc w:val="both"/>
        <w:rPr>
          <w:rFonts w:ascii="Verdana" w:hAnsi="Verdana" w:cstheme="minorHAnsi"/>
          <w:bdr w:val="nil"/>
        </w:rPr>
      </w:pPr>
      <w:r w:rsidRPr="00BC2D0E">
        <w:rPr>
          <w:rFonts w:ascii="Verdana" w:hAnsi="Verdana" w:cstheme="minorHAnsi"/>
          <w:bdr w:val="nil"/>
        </w:rPr>
        <w:t xml:space="preserve">De acordo com o Decreto </w:t>
      </w:r>
      <w:r w:rsidR="00955D7C">
        <w:rPr>
          <w:rFonts w:ascii="Verdana" w:hAnsi="Verdana" w:cstheme="minorHAnsi"/>
          <w:bdr w:val="nil"/>
        </w:rPr>
        <w:t>n</w:t>
      </w:r>
      <w:r w:rsidR="00955D7C" w:rsidRPr="00BC2D0E">
        <w:rPr>
          <w:rFonts w:ascii="Verdana" w:hAnsi="Verdana" w:cstheme="minorHAnsi"/>
          <w:bdr w:val="nil"/>
        </w:rPr>
        <w:t>º</w:t>
      </w:r>
      <w:r w:rsidRPr="00BC2D0E">
        <w:rPr>
          <w:rFonts w:ascii="Verdana" w:hAnsi="Verdana" w:cstheme="minorHAnsi"/>
          <w:bdr w:val="nil"/>
        </w:rPr>
        <w:t xml:space="preserve"> 4.873, de 11 de novembro de 2003 ("Decreto 4.873</w:t>
      </w:r>
      <w:r w:rsidR="00D470A7" w:rsidRPr="00F7132F">
        <w:rPr>
          <w:rFonts w:ascii="Verdana" w:hAnsi="Verdana" w:cstheme="minorHAnsi"/>
          <w:bdr w:val="nil"/>
        </w:rPr>
        <w:t>/2003</w:t>
      </w:r>
      <w:r w:rsidRPr="00BC2D0E">
        <w:rPr>
          <w:rFonts w:ascii="Verdana" w:hAnsi="Verdana" w:cstheme="minorHAnsi"/>
          <w:bdr w:val="nil"/>
        </w:rPr>
        <w:t xml:space="preserve">"), o programa "Luz para Todos" tem como objetivo propiciar o atendimento em energia elétrica à parcela da população do meio rural brasileiro que ainda não possui acesso a </w:t>
      </w:r>
      <w:r w:rsidR="002936A4" w:rsidRPr="00F7132F">
        <w:rPr>
          <w:rFonts w:ascii="Verdana" w:hAnsi="Verdana" w:cstheme="minorHAnsi"/>
          <w:bdr w:val="nil"/>
        </w:rPr>
        <w:t>esse</w:t>
      </w:r>
      <w:r w:rsidR="002936A4" w:rsidRPr="00BC2D0E">
        <w:rPr>
          <w:rFonts w:ascii="Verdana" w:hAnsi="Verdana" w:cstheme="minorHAnsi"/>
          <w:bdr w:val="nil"/>
        </w:rPr>
        <w:t xml:space="preserve"> </w:t>
      </w:r>
      <w:r w:rsidRPr="00BC2D0E">
        <w:rPr>
          <w:rFonts w:ascii="Verdana" w:hAnsi="Verdana" w:cstheme="minorHAnsi"/>
          <w:bdr w:val="nil"/>
        </w:rPr>
        <w:t>serviço público. Para tanto, por força do Decreto 4.873</w:t>
      </w:r>
      <w:r w:rsidR="002936A4" w:rsidRPr="00F7132F">
        <w:rPr>
          <w:rFonts w:ascii="Verdana" w:hAnsi="Verdana" w:cstheme="minorHAnsi"/>
          <w:bdr w:val="nil"/>
        </w:rPr>
        <w:t>/2003</w:t>
      </w:r>
      <w:r w:rsidRPr="00BC2D0E">
        <w:rPr>
          <w:rFonts w:ascii="Verdana" w:hAnsi="Verdana" w:cstheme="minorHAnsi"/>
          <w:bdr w:val="nil"/>
        </w:rPr>
        <w:t xml:space="preserve">, a </w:t>
      </w:r>
      <w:r w:rsidR="00797F93" w:rsidRPr="00BC2D0E">
        <w:rPr>
          <w:rFonts w:ascii="Verdana" w:hAnsi="Verdana" w:cstheme="minorHAnsi"/>
          <w:bdr w:val="nil"/>
        </w:rPr>
        <w:t>E</w:t>
      </w:r>
      <w:r w:rsidR="00E11DF3" w:rsidRPr="00BC2D0E">
        <w:rPr>
          <w:rFonts w:ascii="Verdana" w:hAnsi="Verdana" w:cstheme="minorHAnsi"/>
          <w:bdr w:val="nil"/>
        </w:rPr>
        <w:t>le</w:t>
      </w:r>
      <w:r w:rsidR="00797F93" w:rsidRPr="00BC2D0E">
        <w:rPr>
          <w:rFonts w:ascii="Verdana" w:hAnsi="Verdana" w:cstheme="minorHAnsi"/>
          <w:bdr w:val="nil"/>
        </w:rPr>
        <w:t>trobras</w:t>
      </w:r>
      <w:r w:rsidR="00074400" w:rsidRPr="00BC2D0E">
        <w:rPr>
          <w:rFonts w:ascii="Verdana" w:hAnsi="Verdana" w:cstheme="minorHAnsi"/>
          <w:bdr w:val="nil"/>
        </w:rPr>
        <w:t xml:space="preserve">, por ainda não ter transferido o programa para a </w:t>
      </w:r>
      <w:proofErr w:type="spellStart"/>
      <w:r w:rsidR="00074400" w:rsidRPr="00BC2D0E">
        <w:rPr>
          <w:rFonts w:ascii="Verdana" w:hAnsi="Verdana" w:cstheme="minorHAnsi"/>
          <w:bdr w:val="nil"/>
        </w:rPr>
        <w:t>ENBPar</w:t>
      </w:r>
      <w:proofErr w:type="spellEnd"/>
      <w:r w:rsidR="00074400" w:rsidRPr="00BC2D0E">
        <w:rPr>
          <w:rFonts w:ascii="Verdana" w:hAnsi="Verdana" w:cstheme="minorHAnsi"/>
          <w:bdr w:val="nil"/>
        </w:rPr>
        <w:t>,</w:t>
      </w:r>
      <w:r w:rsidRPr="00BC2D0E">
        <w:rPr>
          <w:rFonts w:ascii="Verdana" w:hAnsi="Verdana" w:cstheme="minorHAnsi"/>
          <w:bdr w:val="nil"/>
        </w:rPr>
        <w:t xml:space="preserve"> é </w:t>
      </w:r>
      <w:r w:rsidR="00074400" w:rsidRPr="00BC2D0E">
        <w:rPr>
          <w:rFonts w:ascii="Verdana" w:hAnsi="Verdana" w:cstheme="minorHAnsi"/>
          <w:bdr w:val="nil"/>
        </w:rPr>
        <w:t xml:space="preserve">a </w:t>
      </w:r>
      <w:r w:rsidRPr="00BC2D0E">
        <w:rPr>
          <w:rFonts w:ascii="Verdana" w:hAnsi="Verdana" w:cstheme="minorHAnsi"/>
          <w:bdr w:val="nil"/>
        </w:rPr>
        <w:t xml:space="preserve">responsável pela gestão do programa "Luz para Todos" e, nessa </w:t>
      </w:r>
      <w:r w:rsidRPr="00BC2D0E">
        <w:rPr>
          <w:rFonts w:ascii="Verdana" w:hAnsi="Verdana" w:cstheme="minorHAnsi"/>
          <w:bdr w:val="nil"/>
        </w:rPr>
        <w:lastRenderedPageBreak/>
        <w:t>condição, deve celebrar contratos de operacionalização com as distribuidoras executoras do programa, fazer a análise técnico-orçamentária dos programas de obras propostos pelos agentes executores e gerenciar a execução dos contratos celebrados, fornecendo informações para subsidiar a liberação dos recursos financeiros setoriais e realizando a comprovação da aplicação destes recursos.</w:t>
      </w:r>
    </w:p>
    <w:p w14:paraId="3BBE0167" w14:textId="77777777" w:rsidR="00904BDB" w:rsidRDefault="00320384" w:rsidP="00955D7C">
      <w:pPr>
        <w:pStyle w:val="PargrafodaLista"/>
        <w:numPr>
          <w:ilvl w:val="0"/>
          <w:numId w:val="6"/>
        </w:numPr>
        <w:autoSpaceDE w:val="0"/>
        <w:autoSpaceDN w:val="0"/>
        <w:adjustRightInd w:val="0"/>
        <w:ind w:left="426" w:hanging="426"/>
        <w:rPr>
          <w:rFonts w:ascii="Verdana" w:hAnsi="Verdana" w:cstheme="minorHAnsi"/>
          <w:b/>
          <w:szCs w:val="22"/>
        </w:rPr>
      </w:pPr>
      <w:r w:rsidRPr="00955D7C">
        <w:rPr>
          <w:rFonts w:ascii="Verdana" w:hAnsi="Verdana" w:cstheme="minorHAnsi"/>
          <w:b/>
          <w:szCs w:val="22"/>
        </w:rPr>
        <w:t xml:space="preserve"> </w:t>
      </w:r>
      <w:r w:rsidR="00904BDB" w:rsidRPr="00BC2D0E">
        <w:rPr>
          <w:rFonts w:ascii="Verdana" w:hAnsi="Verdana" w:cstheme="minorHAnsi"/>
          <w:b/>
          <w:szCs w:val="22"/>
        </w:rPr>
        <w:t xml:space="preserve">Programa de Incentivo </w:t>
      </w:r>
      <w:r w:rsidR="003C2E07" w:rsidRPr="00BC2D0E">
        <w:rPr>
          <w:rFonts w:ascii="Verdana" w:hAnsi="Verdana" w:cstheme="minorHAnsi"/>
          <w:b/>
          <w:szCs w:val="22"/>
        </w:rPr>
        <w:t>às</w:t>
      </w:r>
      <w:r w:rsidR="00904BDB" w:rsidRPr="00BC2D0E">
        <w:rPr>
          <w:rFonts w:ascii="Verdana" w:hAnsi="Verdana" w:cstheme="minorHAnsi"/>
          <w:b/>
          <w:szCs w:val="22"/>
        </w:rPr>
        <w:t xml:space="preserve"> Fontes Alternativas de Energia Elétrica ("</w:t>
      </w:r>
      <w:proofErr w:type="spellStart"/>
      <w:r w:rsidR="00904BDB" w:rsidRPr="00BC2D0E">
        <w:rPr>
          <w:rFonts w:ascii="Verdana" w:hAnsi="Verdana" w:cstheme="minorHAnsi"/>
          <w:b/>
          <w:szCs w:val="22"/>
        </w:rPr>
        <w:t>Proinfa</w:t>
      </w:r>
      <w:proofErr w:type="spellEnd"/>
      <w:r w:rsidR="00904BDB" w:rsidRPr="00BC2D0E">
        <w:rPr>
          <w:rFonts w:ascii="Verdana" w:hAnsi="Verdana" w:cstheme="minorHAnsi"/>
          <w:b/>
          <w:szCs w:val="22"/>
        </w:rPr>
        <w:t>")</w:t>
      </w:r>
    </w:p>
    <w:p w14:paraId="03489554" w14:textId="77777777" w:rsidR="00A610F5" w:rsidRPr="00A610F5" w:rsidRDefault="00A610F5" w:rsidP="00A610F5">
      <w:pPr>
        <w:pStyle w:val="PargrafodaLista"/>
        <w:autoSpaceDE w:val="0"/>
        <w:autoSpaceDN w:val="0"/>
        <w:adjustRightInd w:val="0"/>
        <w:ind w:left="426"/>
        <w:rPr>
          <w:rFonts w:ascii="Verdana" w:hAnsi="Verdana" w:cstheme="minorHAnsi"/>
          <w:b/>
          <w:sz w:val="16"/>
          <w:szCs w:val="16"/>
        </w:rPr>
      </w:pPr>
    </w:p>
    <w:p w14:paraId="129560E1" w14:textId="77777777" w:rsidR="003E3A6C" w:rsidRDefault="002D60D7" w:rsidP="00FA1D23">
      <w:pPr>
        <w:ind w:left="426"/>
        <w:jc w:val="both"/>
        <w:rPr>
          <w:rFonts w:ascii="Verdana" w:hAnsi="Verdana" w:cstheme="minorHAnsi"/>
          <w:bdr w:val="nil"/>
        </w:rPr>
      </w:pPr>
      <w:r w:rsidRPr="00BC2D0E">
        <w:rPr>
          <w:rFonts w:ascii="Verdana" w:hAnsi="Verdana" w:cstheme="minorHAnsi"/>
          <w:bdr w:val="nil"/>
        </w:rPr>
        <w:t xml:space="preserve">O </w:t>
      </w:r>
      <w:proofErr w:type="spellStart"/>
      <w:r w:rsidRPr="00BC2D0E">
        <w:rPr>
          <w:rFonts w:ascii="Verdana" w:hAnsi="Verdana" w:cstheme="minorHAnsi"/>
          <w:bdr w:val="nil"/>
        </w:rPr>
        <w:t>Proinfa</w:t>
      </w:r>
      <w:proofErr w:type="spellEnd"/>
      <w:r w:rsidRPr="00BC2D0E">
        <w:rPr>
          <w:rFonts w:ascii="Verdana" w:hAnsi="Verdana" w:cstheme="minorHAnsi"/>
          <w:bdr w:val="nil"/>
        </w:rPr>
        <w:t xml:space="preserve"> foi criado, em 26</w:t>
      </w:r>
      <w:r w:rsidR="00955D7C">
        <w:rPr>
          <w:rFonts w:ascii="Verdana" w:hAnsi="Verdana" w:cstheme="minorHAnsi"/>
          <w:bdr w:val="nil"/>
        </w:rPr>
        <w:t xml:space="preserve"> de abril de 2002, pela Lei nº</w:t>
      </w:r>
      <w:r w:rsidRPr="00BC2D0E">
        <w:rPr>
          <w:rFonts w:ascii="Verdana" w:hAnsi="Verdana" w:cstheme="minorHAnsi"/>
          <w:bdr w:val="nil"/>
        </w:rPr>
        <w:t xml:space="preserve"> 10.438 de 26 de abril de 2002</w:t>
      </w:r>
      <w:r w:rsidR="00E0105A" w:rsidRPr="00F7132F">
        <w:rPr>
          <w:rFonts w:ascii="Verdana" w:hAnsi="Verdana" w:cstheme="minorHAnsi"/>
          <w:bdr w:val="nil"/>
        </w:rPr>
        <w:t xml:space="preserve"> </w:t>
      </w:r>
      <w:r w:rsidR="00556881" w:rsidRPr="00F7132F">
        <w:rPr>
          <w:rFonts w:ascii="Verdana" w:hAnsi="Verdana" w:cstheme="minorHAnsi"/>
          <w:bdr w:val="nil"/>
        </w:rPr>
        <w:t>e suas alterações</w:t>
      </w:r>
      <w:r w:rsidR="00556881" w:rsidRPr="00BC2D0E">
        <w:rPr>
          <w:rFonts w:ascii="Verdana" w:hAnsi="Verdana" w:cstheme="minorHAnsi"/>
          <w:bdr w:val="nil"/>
        </w:rPr>
        <w:t xml:space="preserve"> </w:t>
      </w:r>
      <w:r w:rsidRPr="00BC2D0E">
        <w:rPr>
          <w:rFonts w:ascii="Verdana" w:hAnsi="Verdana" w:cstheme="minorHAnsi"/>
          <w:bdr w:val="nil"/>
        </w:rPr>
        <w:t>("Lei n.º 10.438/</w:t>
      </w:r>
      <w:r w:rsidR="008143D6" w:rsidRPr="00F7132F">
        <w:rPr>
          <w:rFonts w:ascii="Verdana" w:hAnsi="Verdana" w:cstheme="minorHAnsi"/>
          <w:bdr w:val="nil"/>
        </w:rPr>
        <w:t>20</w:t>
      </w:r>
      <w:r w:rsidRPr="00BC2D0E">
        <w:rPr>
          <w:rFonts w:ascii="Verdana" w:hAnsi="Verdana" w:cstheme="minorHAnsi"/>
          <w:bdr w:val="nil"/>
        </w:rPr>
        <w:t xml:space="preserve">02"), e regulamentado através do Decreto n.º 5.025/2004, iniciando o processo de sua implantação em 2004. O </w:t>
      </w:r>
      <w:proofErr w:type="spellStart"/>
      <w:r w:rsidRPr="00BC2D0E">
        <w:rPr>
          <w:rFonts w:ascii="Verdana" w:hAnsi="Verdana" w:cstheme="minorHAnsi"/>
          <w:bdr w:val="nil"/>
        </w:rPr>
        <w:t>Proinfa</w:t>
      </w:r>
      <w:proofErr w:type="spellEnd"/>
      <w:r w:rsidRPr="00BC2D0E">
        <w:rPr>
          <w:rFonts w:ascii="Verdana" w:hAnsi="Verdana" w:cstheme="minorHAnsi"/>
          <w:bdr w:val="nil"/>
        </w:rPr>
        <w:t xml:space="preserve"> tem cumprido seu objetivo de promover a diversificação da matriz energética brasileira a partir do aumento da participação de empreendimentos com base em fontes eólica, Pequena Central Hidrelétrica ("PCH") e biomassa. </w:t>
      </w:r>
      <w:r w:rsidR="00074400" w:rsidRPr="00BC2D0E">
        <w:rPr>
          <w:rFonts w:ascii="Verdana" w:hAnsi="Verdana" w:cstheme="minorHAnsi"/>
          <w:bdr w:val="nil"/>
        </w:rPr>
        <w:t xml:space="preserve">O administrador do </w:t>
      </w:r>
      <w:proofErr w:type="spellStart"/>
      <w:r w:rsidR="00074400" w:rsidRPr="00BC2D0E">
        <w:rPr>
          <w:rFonts w:ascii="Verdana" w:hAnsi="Verdana" w:cstheme="minorHAnsi"/>
          <w:bdr w:val="nil"/>
        </w:rPr>
        <w:t>Proinfa</w:t>
      </w:r>
      <w:proofErr w:type="spellEnd"/>
      <w:r w:rsidRPr="00BC2D0E">
        <w:rPr>
          <w:rFonts w:ascii="Verdana" w:hAnsi="Verdana" w:cstheme="minorHAnsi"/>
          <w:bdr w:val="nil"/>
        </w:rPr>
        <w:t xml:space="preserve"> </w:t>
      </w:r>
      <w:r w:rsidR="00074400" w:rsidRPr="00BC2D0E">
        <w:rPr>
          <w:rFonts w:ascii="Verdana" w:hAnsi="Verdana" w:cstheme="minorHAnsi"/>
          <w:bdr w:val="nil"/>
        </w:rPr>
        <w:t xml:space="preserve">tem o direito assegurado </w:t>
      </w:r>
      <w:r w:rsidRPr="00BC2D0E">
        <w:rPr>
          <w:rFonts w:ascii="Verdana" w:hAnsi="Verdana" w:cstheme="minorHAnsi"/>
          <w:bdr w:val="nil"/>
        </w:rPr>
        <w:t xml:space="preserve">à compra e comercialização da energia contratada das usinas do </w:t>
      </w:r>
      <w:proofErr w:type="spellStart"/>
      <w:r w:rsidRPr="00BC2D0E">
        <w:rPr>
          <w:rFonts w:ascii="Verdana" w:hAnsi="Verdana" w:cstheme="minorHAnsi"/>
          <w:bdr w:val="nil"/>
        </w:rPr>
        <w:t>Proinfa</w:t>
      </w:r>
      <w:proofErr w:type="spellEnd"/>
      <w:r w:rsidRPr="00BC2D0E">
        <w:rPr>
          <w:rFonts w:ascii="Verdana" w:hAnsi="Verdana" w:cstheme="minorHAnsi"/>
          <w:bdr w:val="nil"/>
        </w:rPr>
        <w:t xml:space="preserve"> pelo período de 20 anos a partir da data de entrada em operação comercial dos empreendimentos. A realização do </w:t>
      </w:r>
      <w:proofErr w:type="spellStart"/>
      <w:r w:rsidRPr="00BC2D0E">
        <w:rPr>
          <w:rFonts w:ascii="Verdana" w:hAnsi="Verdana" w:cstheme="minorHAnsi"/>
          <w:bdr w:val="nil"/>
        </w:rPr>
        <w:t>Proinfa</w:t>
      </w:r>
      <w:proofErr w:type="spellEnd"/>
      <w:r w:rsidRPr="00BC2D0E">
        <w:rPr>
          <w:rFonts w:ascii="Verdana" w:hAnsi="Verdana" w:cstheme="minorHAnsi"/>
          <w:bdr w:val="nil"/>
        </w:rPr>
        <w:t xml:space="preserve"> contribuiu para a diversificação da matriz energética do país por meio do aproveitamento de fontes energéticas locais, proporcionando grandes demandas industriais e internalização de tecnologia de ponta.</w:t>
      </w:r>
    </w:p>
    <w:p w14:paraId="07B25569" w14:textId="77777777" w:rsidR="00904BDB" w:rsidRDefault="00904BDB" w:rsidP="00CF5F07">
      <w:pPr>
        <w:pStyle w:val="PargrafodaLista"/>
        <w:numPr>
          <w:ilvl w:val="0"/>
          <w:numId w:val="6"/>
        </w:numPr>
        <w:autoSpaceDE w:val="0"/>
        <w:autoSpaceDN w:val="0"/>
        <w:adjustRightInd w:val="0"/>
        <w:ind w:left="426" w:hanging="426"/>
        <w:rPr>
          <w:rFonts w:ascii="Verdana" w:hAnsi="Verdana" w:cstheme="minorHAnsi"/>
          <w:b/>
          <w:szCs w:val="22"/>
        </w:rPr>
      </w:pPr>
      <w:r w:rsidRPr="00BC2D0E">
        <w:rPr>
          <w:rFonts w:ascii="Verdana" w:hAnsi="Verdana" w:cstheme="minorHAnsi"/>
          <w:b/>
          <w:szCs w:val="22"/>
        </w:rPr>
        <w:t>Programa Nacional de Conservação de Energia Elétrica ("</w:t>
      </w:r>
      <w:proofErr w:type="spellStart"/>
      <w:r w:rsidRPr="00BC2D0E">
        <w:rPr>
          <w:rFonts w:ascii="Verdana" w:hAnsi="Verdana" w:cstheme="minorHAnsi"/>
          <w:b/>
          <w:szCs w:val="22"/>
        </w:rPr>
        <w:t>Procel</w:t>
      </w:r>
      <w:proofErr w:type="spellEnd"/>
      <w:r w:rsidRPr="00BC2D0E">
        <w:rPr>
          <w:rFonts w:ascii="Verdana" w:hAnsi="Verdana" w:cstheme="minorHAnsi"/>
          <w:b/>
          <w:szCs w:val="22"/>
        </w:rPr>
        <w:t>")</w:t>
      </w:r>
    </w:p>
    <w:p w14:paraId="5F835411" w14:textId="77777777" w:rsidR="00A610F5" w:rsidRPr="00A610F5" w:rsidRDefault="00A610F5" w:rsidP="00A610F5">
      <w:pPr>
        <w:pStyle w:val="PargrafodaLista"/>
        <w:autoSpaceDE w:val="0"/>
        <w:autoSpaceDN w:val="0"/>
        <w:adjustRightInd w:val="0"/>
        <w:ind w:left="426"/>
        <w:rPr>
          <w:rFonts w:ascii="Verdana" w:hAnsi="Verdana" w:cstheme="minorHAnsi"/>
          <w:b/>
          <w:sz w:val="16"/>
          <w:szCs w:val="16"/>
        </w:rPr>
      </w:pPr>
    </w:p>
    <w:p w14:paraId="4C3CEF7C" w14:textId="77777777" w:rsidR="000F4984" w:rsidRPr="00BC2D0E" w:rsidRDefault="000F4984" w:rsidP="00FA1D23">
      <w:pPr>
        <w:ind w:left="426"/>
        <w:jc w:val="both"/>
        <w:rPr>
          <w:rFonts w:ascii="Verdana" w:hAnsi="Verdana" w:cstheme="minorHAnsi"/>
          <w:bdr w:val="nil"/>
        </w:rPr>
      </w:pPr>
      <w:r w:rsidRPr="00BC2D0E">
        <w:rPr>
          <w:rFonts w:ascii="Verdana" w:hAnsi="Verdana" w:cstheme="minorHAnsi"/>
          <w:bdr w:val="nil"/>
        </w:rPr>
        <w:t>De acordo com a Portaria Interministerial n.º 1.877, de 30 de dezembro de 1985, o Programa Nacional de Conservação de Energia Elétrica ("</w:t>
      </w:r>
      <w:proofErr w:type="spellStart"/>
      <w:r w:rsidRPr="00BC2D0E">
        <w:rPr>
          <w:rFonts w:ascii="Verdana" w:hAnsi="Verdana" w:cstheme="minorHAnsi"/>
          <w:bdr w:val="nil"/>
        </w:rPr>
        <w:t>Procel</w:t>
      </w:r>
      <w:proofErr w:type="spellEnd"/>
      <w:r w:rsidRPr="00BC2D0E">
        <w:rPr>
          <w:rFonts w:ascii="Verdana" w:hAnsi="Verdana" w:cstheme="minorHAnsi"/>
          <w:bdr w:val="nil"/>
        </w:rPr>
        <w:t xml:space="preserve">") é um programa governamental criado com o objetivo de promover ações de eficiência energética em diversas áreas, tais como equipamentos, edificações, iluminação pública, indústrias e comércios. </w:t>
      </w:r>
    </w:p>
    <w:p w14:paraId="58BC43AF" w14:textId="77777777" w:rsidR="00871A8D" w:rsidRDefault="00904BDB" w:rsidP="00CF5F07">
      <w:pPr>
        <w:pStyle w:val="PargrafodaLista"/>
        <w:numPr>
          <w:ilvl w:val="0"/>
          <w:numId w:val="6"/>
        </w:numPr>
        <w:autoSpaceDE w:val="0"/>
        <w:autoSpaceDN w:val="0"/>
        <w:adjustRightInd w:val="0"/>
        <w:ind w:left="426" w:hanging="426"/>
        <w:rPr>
          <w:rFonts w:ascii="Verdana" w:hAnsi="Verdana" w:cstheme="minorHAnsi"/>
          <w:b/>
          <w:szCs w:val="22"/>
        </w:rPr>
      </w:pPr>
      <w:r w:rsidRPr="00BC2D0E">
        <w:rPr>
          <w:rFonts w:ascii="Verdana" w:hAnsi="Verdana" w:cstheme="minorHAnsi"/>
          <w:b/>
          <w:szCs w:val="22"/>
        </w:rPr>
        <w:t xml:space="preserve">Mais Luz para a Amazônia </w:t>
      </w:r>
      <w:r w:rsidR="00871A8D" w:rsidRPr="00BC2D0E">
        <w:rPr>
          <w:rFonts w:ascii="Verdana" w:hAnsi="Verdana" w:cstheme="minorHAnsi"/>
          <w:b/>
          <w:szCs w:val="22"/>
        </w:rPr>
        <w:t>(</w:t>
      </w:r>
      <w:r w:rsidR="00955D7C">
        <w:rPr>
          <w:rFonts w:ascii="Verdana" w:hAnsi="Verdana" w:cstheme="minorHAnsi"/>
          <w:b/>
          <w:szCs w:val="22"/>
        </w:rPr>
        <w:t>Estabelecido pelo Decreto nº</w:t>
      </w:r>
      <w:r w:rsidRPr="00BC2D0E">
        <w:rPr>
          <w:rFonts w:ascii="Verdana" w:hAnsi="Verdana" w:cstheme="minorHAnsi"/>
          <w:b/>
          <w:szCs w:val="22"/>
        </w:rPr>
        <w:t xml:space="preserve"> 10</w:t>
      </w:r>
      <w:r w:rsidR="00955D7C">
        <w:rPr>
          <w:rFonts w:ascii="Verdana" w:hAnsi="Verdana" w:cstheme="minorHAnsi"/>
          <w:b/>
          <w:szCs w:val="22"/>
        </w:rPr>
        <w:t>.221/2020 e pela Portaria MME n</w:t>
      </w:r>
      <w:r w:rsidRPr="00BC2D0E">
        <w:rPr>
          <w:rFonts w:ascii="Verdana" w:hAnsi="Verdana" w:cstheme="minorHAnsi"/>
          <w:b/>
          <w:szCs w:val="22"/>
        </w:rPr>
        <w:t>º 86/2020</w:t>
      </w:r>
      <w:r w:rsidR="00871A8D" w:rsidRPr="00BC2D0E">
        <w:rPr>
          <w:rFonts w:ascii="Verdana" w:hAnsi="Verdana" w:cstheme="minorHAnsi"/>
          <w:b/>
          <w:szCs w:val="22"/>
        </w:rPr>
        <w:t>)</w:t>
      </w:r>
      <w:r w:rsidRPr="00BC2D0E">
        <w:rPr>
          <w:rFonts w:ascii="Verdana" w:hAnsi="Verdana" w:cstheme="minorHAnsi"/>
          <w:b/>
          <w:szCs w:val="22"/>
        </w:rPr>
        <w:t xml:space="preserve"> </w:t>
      </w:r>
    </w:p>
    <w:p w14:paraId="497D7008" w14:textId="77777777" w:rsidR="00A610F5" w:rsidRPr="00A610F5" w:rsidRDefault="00A610F5" w:rsidP="00A610F5">
      <w:pPr>
        <w:pStyle w:val="PargrafodaLista"/>
        <w:autoSpaceDE w:val="0"/>
        <w:autoSpaceDN w:val="0"/>
        <w:adjustRightInd w:val="0"/>
        <w:ind w:left="426"/>
        <w:rPr>
          <w:rFonts w:ascii="Verdana" w:hAnsi="Verdana" w:cstheme="minorHAnsi"/>
          <w:b/>
          <w:sz w:val="16"/>
          <w:szCs w:val="16"/>
        </w:rPr>
      </w:pPr>
    </w:p>
    <w:p w14:paraId="6C3FCC7A" w14:textId="77777777" w:rsidR="00993BDF" w:rsidRPr="00BC2D0E" w:rsidRDefault="00955D7C" w:rsidP="00FA1D23">
      <w:pPr>
        <w:ind w:left="426"/>
        <w:jc w:val="both"/>
        <w:rPr>
          <w:rFonts w:ascii="Verdana" w:hAnsi="Verdana" w:cstheme="minorHAnsi"/>
          <w:bdr w:val="nil"/>
        </w:rPr>
      </w:pPr>
      <w:r>
        <w:rPr>
          <w:rFonts w:ascii="Verdana" w:hAnsi="Verdana" w:cstheme="minorHAnsi"/>
          <w:bdr w:val="nil"/>
        </w:rPr>
        <w:t>De acordo com o Decreto n</w:t>
      </w:r>
      <w:r w:rsidR="00993BDF" w:rsidRPr="00BC2D0E">
        <w:rPr>
          <w:rFonts w:ascii="Verdana" w:hAnsi="Verdana" w:cstheme="minorHAnsi"/>
          <w:bdr w:val="nil"/>
        </w:rPr>
        <w:t xml:space="preserve">º 10.221, de 5 de fevereiro de 2020, o programa governamental "Mais Luz para a Amazônia" tem como objetivo fornecer o atendimento com energia elétrica à população brasileira residente em regiões remotas da Amazônia Legal. </w:t>
      </w:r>
    </w:p>
    <w:p w14:paraId="669461E6" w14:textId="77777777" w:rsidR="00430D30" w:rsidRDefault="00430D30" w:rsidP="00CF5F07">
      <w:pPr>
        <w:pStyle w:val="PargrafodaLista"/>
        <w:numPr>
          <w:ilvl w:val="0"/>
          <w:numId w:val="6"/>
        </w:numPr>
        <w:autoSpaceDE w:val="0"/>
        <w:autoSpaceDN w:val="0"/>
        <w:adjustRightInd w:val="0"/>
        <w:ind w:left="426" w:hanging="426"/>
        <w:rPr>
          <w:rFonts w:ascii="Verdana" w:hAnsi="Verdana" w:cstheme="minorHAnsi"/>
          <w:b/>
          <w:szCs w:val="22"/>
        </w:rPr>
      </w:pPr>
      <w:r w:rsidRPr="00BC2D0E">
        <w:rPr>
          <w:rFonts w:ascii="Verdana" w:hAnsi="Verdana" w:cstheme="minorHAnsi"/>
          <w:b/>
          <w:szCs w:val="22"/>
        </w:rPr>
        <w:t xml:space="preserve">Bens da União </w:t>
      </w:r>
      <w:r w:rsidR="00993BDF" w:rsidRPr="00BC2D0E">
        <w:rPr>
          <w:rFonts w:ascii="Verdana" w:hAnsi="Verdana" w:cstheme="minorHAnsi"/>
          <w:b/>
          <w:szCs w:val="22"/>
        </w:rPr>
        <w:t>–</w:t>
      </w:r>
      <w:r w:rsidRPr="00BC2D0E">
        <w:rPr>
          <w:rFonts w:ascii="Verdana" w:hAnsi="Verdana" w:cstheme="minorHAnsi"/>
          <w:b/>
          <w:szCs w:val="22"/>
        </w:rPr>
        <w:t xml:space="preserve"> BUSA</w:t>
      </w:r>
    </w:p>
    <w:p w14:paraId="657C9EE0" w14:textId="77777777" w:rsidR="00A610F5" w:rsidRPr="00A610F5" w:rsidRDefault="00A610F5" w:rsidP="00A610F5">
      <w:pPr>
        <w:pStyle w:val="PargrafodaLista"/>
        <w:autoSpaceDE w:val="0"/>
        <w:autoSpaceDN w:val="0"/>
        <w:adjustRightInd w:val="0"/>
        <w:ind w:left="426"/>
        <w:rPr>
          <w:rFonts w:ascii="Verdana" w:hAnsi="Verdana" w:cstheme="minorHAnsi"/>
          <w:b/>
          <w:sz w:val="16"/>
          <w:szCs w:val="16"/>
        </w:rPr>
      </w:pPr>
    </w:p>
    <w:p w14:paraId="78E7EDE9" w14:textId="77777777" w:rsidR="00797F93" w:rsidRDefault="00797F93" w:rsidP="00FA1D23">
      <w:pPr>
        <w:ind w:left="426"/>
        <w:jc w:val="both"/>
        <w:rPr>
          <w:rFonts w:ascii="Verdana" w:hAnsi="Verdana" w:cstheme="minorHAnsi"/>
          <w:bdr w:val="nil"/>
        </w:rPr>
      </w:pPr>
      <w:r w:rsidRPr="00BC2D0E">
        <w:rPr>
          <w:rFonts w:ascii="Verdana" w:hAnsi="Verdana" w:cstheme="minorHAnsi"/>
          <w:bdr w:val="nil"/>
        </w:rPr>
        <w:t xml:space="preserve">De acordo com a Lei </w:t>
      </w:r>
      <w:r w:rsidR="00955D7C">
        <w:rPr>
          <w:rFonts w:ascii="Verdana" w:hAnsi="Verdana" w:cstheme="minorHAnsi"/>
          <w:bdr w:val="nil"/>
        </w:rPr>
        <w:t>n</w:t>
      </w:r>
      <w:r w:rsidR="003C2E07" w:rsidRPr="00BC2D0E">
        <w:rPr>
          <w:rFonts w:ascii="Verdana" w:hAnsi="Verdana" w:cstheme="minorHAnsi"/>
          <w:bdr w:val="nil"/>
        </w:rPr>
        <w:t>º</w:t>
      </w:r>
      <w:r w:rsidRPr="00BC2D0E">
        <w:rPr>
          <w:rFonts w:ascii="Verdana" w:hAnsi="Verdana" w:cstheme="minorHAnsi"/>
          <w:bdr w:val="nil"/>
        </w:rPr>
        <w:t xml:space="preserve"> 5.655, de 20 de maio de 1971 </w:t>
      </w:r>
      <w:r w:rsidR="00003AEC" w:rsidRPr="00F7132F">
        <w:rPr>
          <w:rFonts w:ascii="Verdana" w:hAnsi="Verdana" w:cstheme="minorHAnsi"/>
          <w:bdr w:val="nil"/>
        </w:rPr>
        <w:t>e suas alterações</w:t>
      </w:r>
      <w:r w:rsidRPr="00BC2D0E">
        <w:rPr>
          <w:rFonts w:ascii="Verdana" w:hAnsi="Verdana" w:cstheme="minorHAnsi"/>
          <w:bdr w:val="nil"/>
        </w:rPr>
        <w:t xml:space="preserve">, os bens e instalações encampados e desapropriados pela União com recursos da RGR ficarão integrados à RGR como patrimônio da União em regime especial de utilização no serviço público de energia elétrica, </w:t>
      </w:r>
      <w:r w:rsidR="00074400" w:rsidRPr="00BC2D0E">
        <w:rPr>
          <w:rFonts w:ascii="Verdana" w:hAnsi="Verdana" w:cstheme="minorHAnsi"/>
          <w:bdr w:val="nil"/>
        </w:rPr>
        <w:t>que passará a ser</w:t>
      </w:r>
      <w:r w:rsidR="00001D24" w:rsidRPr="00BC2D0E">
        <w:rPr>
          <w:rFonts w:ascii="Verdana" w:hAnsi="Verdana" w:cstheme="minorHAnsi"/>
          <w:bdr w:val="nil"/>
        </w:rPr>
        <w:t xml:space="preserve"> </w:t>
      </w:r>
      <w:r w:rsidR="00074400" w:rsidRPr="00BC2D0E">
        <w:rPr>
          <w:rFonts w:ascii="Verdana" w:hAnsi="Verdana" w:cstheme="minorHAnsi"/>
          <w:bdr w:val="nil"/>
        </w:rPr>
        <w:t>administrado</w:t>
      </w:r>
      <w:r w:rsidR="00955D7C">
        <w:rPr>
          <w:rFonts w:ascii="Verdana" w:hAnsi="Verdana" w:cstheme="minorHAnsi"/>
          <w:bdr w:val="nil"/>
        </w:rPr>
        <w:t xml:space="preserve"> </w:t>
      </w:r>
      <w:r w:rsidR="00074400" w:rsidRPr="00BC2D0E">
        <w:rPr>
          <w:rFonts w:ascii="Verdana" w:hAnsi="Verdana" w:cstheme="minorHAnsi"/>
          <w:bdr w:val="nil"/>
        </w:rPr>
        <w:t xml:space="preserve">pela </w:t>
      </w:r>
      <w:proofErr w:type="spellStart"/>
      <w:r w:rsidR="00001D24" w:rsidRPr="00BC2D0E">
        <w:rPr>
          <w:rFonts w:ascii="Verdana" w:hAnsi="Verdana" w:cstheme="minorHAnsi"/>
          <w:bdr w:val="nil"/>
        </w:rPr>
        <w:t>ENBPar</w:t>
      </w:r>
      <w:proofErr w:type="spellEnd"/>
      <w:r w:rsidR="00001D24" w:rsidRPr="00BC2D0E">
        <w:rPr>
          <w:rFonts w:ascii="Verdana" w:hAnsi="Verdana" w:cstheme="minorHAnsi"/>
          <w:bdr w:val="nil"/>
        </w:rPr>
        <w:t>.</w:t>
      </w:r>
    </w:p>
    <w:p w14:paraId="749EEB1E" w14:textId="77777777" w:rsidR="00993BDF" w:rsidRDefault="00993BDF" w:rsidP="00CF5F07">
      <w:pPr>
        <w:pStyle w:val="PargrafodaLista"/>
        <w:numPr>
          <w:ilvl w:val="0"/>
          <w:numId w:val="6"/>
        </w:numPr>
        <w:autoSpaceDE w:val="0"/>
        <w:autoSpaceDN w:val="0"/>
        <w:adjustRightInd w:val="0"/>
        <w:ind w:left="426" w:hanging="426"/>
        <w:rPr>
          <w:rFonts w:ascii="Verdana" w:hAnsi="Verdana" w:cstheme="minorHAnsi"/>
          <w:b/>
          <w:szCs w:val="22"/>
        </w:rPr>
      </w:pPr>
      <w:r w:rsidRPr="00BC2D0E">
        <w:rPr>
          <w:rFonts w:ascii="Verdana" w:hAnsi="Verdana" w:cstheme="minorHAnsi"/>
          <w:b/>
          <w:szCs w:val="22"/>
        </w:rPr>
        <w:t xml:space="preserve">Reserva Geral de Reversão </w:t>
      </w:r>
      <w:r w:rsidR="00A610F5">
        <w:rPr>
          <w:rFonts w:ascii="Verdana" w:hAnsi="Verdana" w:cstheme="minorHAnsi"/>
          <w:b/>
          <w:szCs w:val="22"/>
        </w:rPr>
        <w:t>–</w:t>
      </w:r>
      <w:r w:rsidRPr="00BC2D0E">
        <w:rPr>
          <w:rFonts w:ascii="Verdana" w:hAnsi="Verdana" w:cstheme="minorHAnsi"/>
          <w:b/>
          <w:szCs w:val="22"/>
        </w:rPr>
        <w:t xml:space="preserve"> RGR</w:t>
      </w:r>
    </w:p>
    <w:p w14:paraId="0FAED842" w14:textId="77777777" w:rsidR="00A610F5" w:rsidRPr="00A610F5" w:rsidRDefault="00A610F5" w:rsidP="00A610F5">
      <w:pPr>
        <w:pStyle w:val="PargrafodaLista"/>
        <w:autoSpaceDE w:val="0"/>
        <w:autoSpaceDN w:val="0"/>
        <w:adjustRightInd w:val="0"/>
        <w:ind w:left="426"/>
        <w:rPr>
          <w:rFonts w:ascii="Verdana" w:hAnsi="Verdana" w:cstheme="minorHAnsi"/>
          <w:b/>
          <w:sz w:val="16"/>
          <w:szCs w:val="16"/>
        </w:rPr>
      </w:pPr>
    </w:p>
    <w:p w14:paraId="41AB2748" w14:textId="77777777" w:rsidR="00993BDF" w:rsidRPr="00BC2D0E" w:rsidRDefault="00993BDF" w:rsidP="00FA1D23">
      <w:pPr>
        <w:ind w:left="426"/>
        <w:jc w:val="both"/>
        <w:rPr>
          <w:rFonts w:ascii="Verdana" w:hAnsi="Verdana" w:cstheme="minorHAnsi"/>
          <w:bdr w:val="nil"/>
        </w:rPr>
      </w:pPr>
      <w:r w:rsidRPr="00BC2D0E">
        <w:rPr>
          <w:rFonts w:ascii="Verdana" w:hAnsi="Verdana" w:cstheme="minorHAnsi"/>
          <w:bdr w:val="nil"/>
        </w:rPr>
        <w:t xml:space="preserve">Criada originalmente pelo Decreto </w:t>
      </w:r>
      <w:r w:rsidR="003C2E07" w:rsidRPr="00BC2D0E">
        <w:rPr>
          <w:rFonts w:ascii="Verdana" w:hAnsi="Verdana" w:cstheme="minorHAnsi"/>
          <w:bdr w:val="nil"/>
        </w:rPr>
        <w:t>nº</w:t>
      </w:r>
      <w:r w:rsidRPr="00BC2D0E">
        <w:rPr>
          <w:rFonts w:ascii="Verdana" w:hAnsi="Verdana" w:cstheme="minorHAnsi"/>
          <w:bdr w:val="nil"/>
        </w:rPr>
        <w:t xml:space="preserve"> 41.019, de 26 de fevereiro de 1957 e posteriormente regulada pela Lei </w:t>
      </w:r>
      <w:r w:rsidR="00955D7C">
        <w:rPr>
          <w:rFonts w:ascii="Verdana" w:hAnsi="Verdana" w:cstheme="minorHAnsi"/>
          <w:bdr w:val="nil"/>
        </w:rPr>
        <w:t>n</w:t>
      </w:r>
      <w:r w:rsidR="003C2E07" w:rsidRPr="00BC2D0E">
        <w:rPr>
          <w:rFonts w:ascii="Verdana" w:hAnsi="Verdana" w:cstheme="minorHAnsi"/>
          <w:bdr w:val="nil"/>
        </w:rPr>
        <w:t>º</w:t>
      </w:r>
      <w:r w:rsidRPr="00BC2D0E">
        <w:rPr>
          <w:rFonts w:ascii="Verdana" w:hAnsi="Verdana" w:cstheme="minorHAnsi"/>
          <w:bdr w:val="nil"/>
        </w:rPr>
        <w:t xml:space="preserve"> 5.655, de 20 de maio de 1971, </w:t>
      </w:r>
      <w:r w:rsidR="00003AEC" w:rsidRPr="00F7132F">
        <w:rPr>
          <w:rFonts w:ascii="Verdana" w:hAnsi="Verdana" w:cstheme="minorHAnsi"/>
          <w:bdr w:val="nil"/>
        </w:rPr>
        <w:t xml:space="preserve">e suas </w:t>
      </w:r>
      <w:r w:rsidR="00003AEC" w:rsidRPr="00F7132F">
        <w:rPr>
          <w:rFonts w:ascii="Verdana" w:hAnsi="Verdana" w:cstheme="minorHAnsi"/>
          <w:bdr w:val="nil"/>
        </w:rPr>
        <w:lastRenderedPageBreak/>
        <w:t>alterações</w:t>
      </w:r>
      <w:r w:rsidRPr="00BC2D0E">
        <w:rPr>
          <w:rFonts w:ascii="Verdana" w:hAnsi="Verdana" w:cstheme="minorHAnsi"/>
          <w:bdr w:val="nil"/>
        </w:rPr>
        <w:t xml:space="preserve">, a RGR constitui recursos arrecadados por meio de encargos setoriais pagos pelas concessionárias de serviço público de energia elétrica. Tal arrecadação tem como objetivo prover recursos para a reversão, encampação, expansão e melhoria dos serviços públicos de energia elétrica. Os recursos são depositados em conta que, até o advento da publicação da Lei </w:t>
      </w:r>
      <w:r w:rsidR="00955D7C">
        <w:rPr>
          <w:rFonts w:ascii="Verdana" w:hAnsi="Verdana" w:cstheme="minorHAnsi"/>
          <w:bdr w:val="nil"/>
        </w:rPr>
        <w:t>n</w:t>
      </w:r>
      <w:r w:rsidR="003C2E07" w:rsidRPr="00BC2D0E">
        <w:rPr>
          <w:rFonts w:ascii="Verdana" w:hAnsi="Verdana" w:cstheme="minorHAnsi"/>
          <w:bdr w:val="nil"/>
        </w:rPr>
        <w:t>º</w:t>
      </w:r>
      <w:r w:rsidRPr="00BC2D0E">
        <w:rPr>
          <w:rFonts w:ascii="Verdana" w:hAnsi="Verdana" w:cstheme="minorHAnsi"/>
          <w:bdr w:val="nil"/>
        </w:rPr>
        <w:t xml:space="preserve"> 13.360/</w:t>
      </w:r>
      <w:r w:rsidR="000673BC" w:rsidRPr="00F7132F">
        <w:rPr>
          <w:rFonts w:ascii="Verdana" w:hAnsi="Verdana" w:cstheme="minorHAnsi"/>
          <w:bdr w:val="nil"/>
        </w:rPr>
        <w:t>20</w:t>
      </w:r>
      <w:r w:rsidRPr="00BC2D0E">
        <w:rPr>
          <w:rFonts w:ascii="Verdana" w:hAnsi="Verdana" w:cstheme="minorHAnsi"/>
          <w:bdr w:val="nil"/>
        </w:rPr>
        <w:t xml:space="preserve">16, </w:t>
      </w:r>
      <w:r w:rsidR="00003AEC" w:rsidRPr="00F7132F">
        <w:rPr>
          <w:rFonts w:ascii="Verdana" w:hAnsi="Verdana" w:cstheme="minorHAnsi"/>
          <w:bdr w:val="nil"/>
        </w:rPr>
        <w:t>eram administrados</w:t>
      </w:r>
      <w:r w:rsidRPr="00BC2D0E">
        <w:rPr>
          <w:rFonts w:ascii="Verdana" w:hAnsi="Verdana" w:cstheme="minorHAnsi"/>
          <w:bdr w:val="nil"/>
        </w:rPr>
        <w:t xml:space="preserve"> pela Eletrobras e, posteriormente à sua publicação, </w:t>
      </w:r>
      <w:r w:rsidR="00003AEC" w:rsidRPr="00F7132F">
        <w:rPr>
          <w:rFonts w:ascii="Verdana" w:hAnsi="Verdana" w:cstheme="minorHAnsi"/>
          <w:bdr w:val="nil"/>
        </w:rPr>
        <w:t>passaram a ser administrados</w:t>
      </w:r>
      <w:r w:rsidR="00003AEC" w:rsidRPr="00BC2D0E">
        <w:rPr>
          <w:rFonts w:ascii="Verdana" w:hAnsi="Verdana" w:cstheme="minorHAnsi"/>
          <w:bdr w:val="nil"/>
        </w:rPr>
        <w:t xml:space="preserve"> </w:t>
      </w:r>
      <w:r w:rsidRPr="00BC2D0E">
        <w:rPr>
          <w:rFonts w:ascii="Verdana" w:hAnsi="Verdana" w:cstheme="minorHAnsi"/>
          <w:bdr w:val="nil"/>
        </w:rPr>
        <w:t xml:space="preserve">pela CCEE. A </w:t>
      </w:r>
      <w:proofErr w:type="spellStart"/>
      <w:r w:rsidR="00001D24" w:rsidRPr="00BC2D0E">
        <w:rPr>
          <w:rFonts w:ascii="Verdana" w:hAnsi="Verdana" w:cstheme="minorHAnsi"/>
          <w:bdr w:val="nil"/>
        </w:rPr>
        <w:t>ENBPar</w:t>
      </w:r>
      <w:proofErr w:type="spellEnd"/>
      <w:r w:rsidR="00001D24" w:rsidRPr="00BC2D0E">
        <w:rPr>
          <w:rFonts w:ascii="Verdana" w:hAnsi="Verdana" w:cstheme="minorHAnsi"/>
          <w:bdr w:val="nil"/>
        </w:rPr>
        <w:t xml:space="preserve"> será</w:t>
      </w:r>
      <w:r w:rsidRPr="00BC2D0E">
        <w:rPr>
          <w:rFonts w:ascii="Verdana" w:hAnsi="Verdana" w:cstheme="minorHAnsi"/>
          <w:bdr w:val="nil"/>
        </w:rPr>
        <w:t xml:space="preserve"> responsável pela gestão dos contratos de financiamento que utilizem recursos da RGR, celebrados com as concessionárias até 17 de novembro de 2016, devendo fiscalizar o cumprimento das obrigações dos respectivos devedores no âmbito desses contratos de financiamento. </w:t>
      </w:r>
    </w:p>
    <w:p w14:paraId="5E0EBDAF" w14:textId="77777777" w:rsidR="00993BDF" w:rsidRPr="00BC2D0E" w:rsidRDefault="00993BDF" w:rsidP="00CF5F07">
      <w:pPr>
        <w:autoSpaceDE w:val="0"/>
        <w:autoSpaceDN w:val="0"/>
        <w:adjustRightInd w:val="0"/>
        <w:spacing w:after="0" w:line="240" w:lineRule="auto"/>
        <w:jc w:val="both"/>
        <w:rPr>
          <w:rFonts w:ascii="Verdana" w:hAnsi="Verdana" w:cstheme="minorHAnsi"/>
        </w:rPr>
      </w:pPr>
    </w:p>
    <w:p w14:paraId="768FDC2E" w14:textId="213AB4FF" w:rsidR="00A3332E" w:rsidRPr="00F7132F" w:rsidRDefault="00A3332E" w:rsidP="00CF5F07">
      <w:pPr>
        <w:tabs>
          <w:tab w:val="left" w:pos="567"/>
          <w:tab w:val="left" w:pos="1134"/>
          <w:tab w:val="left" w:pos="1701"/>
          <w:tab w:val="left" w:pos="2268"/>
          <w:tab w:val="left" w:pos="2835"/>
        </w:tabs>
        <w:jc w:val="both"/>
        <w:outlineLvl w:val="0"/>
        <w:rPr>
          <w:rFonts w:ascii="Verdana" w:hAnsi="Verdana" w:cstheme="minorHAnsi"/>
          <w:b/>
        </w:rPr>
      </w:pPr>
      <w:r w:rsidRPr="00F7132F">
        <w:rPr>
          <w:rFonts w:ascii="Verdana" w:hAnsi="Verdana" w:cstheme="minorHAnsi"/>
          <w:b/>
        </w:rPr>
        <w:t>2 – BASE DE ELABORAÇÃO E APRESENTAÇÃO DAS DEMONSTRAÇÕES FINANCEIRAS</w:t>
      </w:r>
      <w:r w:rsidR="00F33E43">
        <w:rPr>
          <w:rFonts w:ascii="Verdana" w:hAnsi="Verdana" w:cstheme="minorHAnsi"/>
          <w:b/>
        </w:rPr>
        <w:t xml:space="preserve"> </w:t>
      </w:r>
      <w:r w:rsidR="001E29CE">
        <w:rPr>
          <w:rFonts w:ascii="Verdana" w:hAnsi="Verdana" w:cstheme="minorHAnsi"/>
          <w:b/>
        </w:rPr>
        <w:t>INTERMEDIÁRIAS INDIVIDUAIS E CONSOLIDADAS</w:t>
      </w:r>
    </w:p>
    <w:p w14:paraId="07FEC959" w14:textId="77777777" w:rsidR="00A3332E" w:rsidRPr="00F7132F" w:rsidRDefault="00A3332E" w:rsidP="00CF5F07">
      <w:pPr>
        <w:jc w:val="both"/>
        <w:rPr>
          <w:rFonts w:ascii="Verdana" w:hAnsi="Verdana" w:cstheme="minorHAnsi"/>
          <w:b/>
          <w:vanish/>
          <w:bdr w:val="nil"/>
        </w:rPr>
      </w:pPr>
      <w:r w:rsidRPr="00F7132F">
        <w:rPr>
          <w:rFonts w:ascii="Verdana" w:hAnsi="Verdana" w:cstheme="minorHAnsi"/>
          <w:b/>
          <w:bdr w:val="nil"/>
        </w:rPr>
        <w:t xml:space="preserve">2.1 </w:t>
      </w:r>
    </w:p>
    <w:p w14:paraId="547F1FE4" w14:textId="77777777" w:rsidR="00A3332E" w:rsidRPr="00F7132F" w:rsidRDefault="00A3332E" w:rsidP="00CF5F07">
      <w:pPr>
        <w:pStyle w:val="PargrafodaLista"/>
        <w:numPr>
          <w:ilvl w:val="0"/>
          <w:numId w:val="1"/>
        </w:numPr>
        <w:rPr>
          <w:rFonts w:ascii="Verdana" w:hAnsi="Verdana" w:cstheme="minorHAnsi"/>
          <w:b/>
          <w:vanish/>
          <w:szCs w:val="22"/>
          <w:bdr w:val="nil"/>
        </w:rPr>
      </w:pPr>
    </w:p>
    <w:p w14:paraId="2BF74F63" w14:textId="77777777" w:rsidR="00A3332E" w:rsidRPr="00F7132F" w:rsidRDefault="00A3332E" w:rsidP="00CF5F07">
      <w:pPr>
        <w:pStyle w:val="PargrafodaLista"/>
        <w:numPr>
          <w:ilvl w:val="0"/>
          <w:numId w:val="1"/>
        </w:numPr>
        <w:rPr>
          <w:rFonts w:ascii="Verdana" w:hAnsi="Verdana" w:cstheme="minorHAnsi"/>
          <w:b/>
          <w:vanish/>
          <w:szCs w:val="22"/>
          <w:bdr w:val="nil"/>
        </w:rPr>
      </w:pPr>
    </w:p>
    <w:p w14:paraId="49AD4F79" w14:textId="77777777" w:rsidR="00A3332E" w:rsidRPr="00F7132F" w:rsidRDefault="00A3332E" w:rsidP="00CF5F07">
      <w:pPr>
        <w:pStyle w:val="PargrafodaLista"/>
        <w:numPr>
          <w:ilvl w:val="0"/>
          <w:numId w:val="1"/>
        </w:numPr>
        <w:rPr>
          <w:rFonts w:ascii="Verdana" w:hAnsi="Verdana" w:cstheme="minorHAnsi"/>
          <w:b/>
          <w:vanish/>
          <w:szCs w:val="22"/>
          <w:bdr w:val="nil"/>
        </w:rPr>
      </w:pPr>
    </w:p>
    <w:p w14:paraId="18CEABE0" w14:textId="77777777" w:rsidR="00A3332E" w:rsidRPr="00F7132F" w:rsidRDefault="00A3332E" w:rsidP="00CF5F07">
      <w:pPr>
        <w:pStyle w:val="PargrafodaLista"/>
        <w:numPr>
          <w:ilvl w:val="1"/>
          <w:numId w:val="1"/>
        </w:numPr>
        <w:ind w:left="426"/>
        <w:rPr>
          <w:rFonts w:ascii="Verdana" w:hAnsi="Verdana" w:cstheme="minorHAnsi"/>
          <w:b/>
          <w:szCs w:val="22"/>
          <w:bdr w:val="nil"/>
        </w:rPr>
      </w:pPr>
      <w:r w:rsidRPr="00F7132F">
        <w:rPr>
          <w:rFonts w:ascii="Verdana" w:hAnsi="Verdana" w:cstheme="minorHAnsi"/>
          <w:b/>
          <w:szCs w:val="22"/>
          <w:bdr w:val="nil"/>
        </w:rPr>
        <w:t>– Declaração de conformidade</w:t>
      </w:r>
    </w:p>
    <w:p w14:paraId="4BA47ED3" w14:textId="77777777" w:rsidR="00A3332E" w:rsidRPr="00F7132F" w:rsidRDefault="00A3332E" w:rsidP="00CF5F07">
      <w:pPr>
        <w:pStyle w:val="PargrafodaLista"/>
        <w:ind w:left="426"/>
        <w:rPr>
          <w:rFonts w:ascii="Verdana" w:hAnsi="Verdana" w:cstheme="minorHAnsi"/>
          <w:szCs w:val="22"/>
          <w:bdr w:val="nil"/>
        </w:rPr>
      </w:pPr>
    </w:p>
    <w:p w14:paraId="00A24550" w14:textId="006CB9BA" w:rsidR="00A3332E" w:rsidRPr="00BC2D0E" w:rsidRDefault="00A3332E" w:rsidP="00CF5F07">
      <w:pPr>
        <w:jc w:val="both"/>
        <w:rPr>
          <w:rFonts w:ascii="Verdana" w:hAnsi="Verdana" w:cstheme="minorHAnsi"/>
          <w:bdr w:val="nil"/>
        </w:rPr>
      </w:pPr>
      <w:r w:rsidRPr="00BC2D0E">
        <w:rPr>
          <w:rFonts w:ascii="Verdana" w:hAnsi="Verdana" w:cstheme="minorHAnsi"/>
          <w:bdr w:val="nil"/>
        </w:rPr>
        <w:t>As demonstrações financeiras</w:t>
      </w:r>
      <w:r w:rsidR="00CD2365" w:rsidRPr="00BC2D0E">
        <w:rPr>
          <w:rFonts w:ascii="Verdana" w:hAnsi="Verdana" w:cstheme="minorHAnsi"/>
          <w:bdr w:val="nil"/>
        </w:rPr>
        <w:t xml:space="preserve"> intermediárias </w:t>
      </w:r>
      <w:r w:rsidRPr="00BC2D0E">
        <w:rPr>
          <w:rFonts w:ascii="Verdana" w:hAnsi="Verdana" w:cstheme="minorHAnsi"/>
          <w:bdr w:val="nil"/>
        </w:rPr>
        <w:t xml:space="preserve">da Companhia são preparadas de acordo com as práticas contábeis adotadas no Brasil e com as Normas Internacionais de Relatório Financeiro -IFRS emitidas pelo </w:t>
      </w:r>
      <w:proofErr w:type="spellStart"/>
      <w:r w:rsidRPr="00BC2D0E">
        <w:rPr>
          <w:rFonts w:ascii="Verdana" w:hAnsi="Verdana" w:cstheme="minorHAnsi"/>
          <w:i/>
          <w:bdr w:val="nil"/>
        </w:rPr>
        <w:t>International</w:t>
      </w:r>
      <w:proofErr w:type="spellEnd"/>
      <w:r w:rsidRPr="00BC2D0E">
        <w:rPr>
          <w:rFonts w:ascii="Verdana" w:hAnsi="Verdana" w:cstheme="minorHAnsi"/>
          <w:i/>
          <w:bdr w:val="nil"/>
        </w:rPr>
        <w:t xml:space="preserve"> </w:t>
      </w:r>
      <w:proofErr w:type="spellStart"/>
      <w:r w:rsidRPr="00BC2D0E">
        <w:rPr>
          <w:rFonts w:ascii="Verdana" w:hAnsi="Verdana" w:cstheme="minorHAnsi"/>
          <w:i/>
          <w:bdr w:val="nil"/>
        </w:rPr>
        <w:t>Accounting</w:t>
      </w:r>
      <w:proofErr w:type="spellEnd"/>
      <w:r w:rsidRPr="00BC2D0E">
        <w:rPr>
          <w:rFonts w:ascii="Verdana" w:hAnsi="Verdana" w:cstheme="minorHAnsi"/>
          <w:i/>
          <w:bdr w:val="nil"/>
        </w:rPr>
        <w:t xml:space="preserve"> Standards Board</w:t>
      </w:r>
      <w:r w:rsidRPr="00BC2D0E">
        <w:rPr>
          <w:rFonts w:ascii="Verdana" w:hAnsi="Verdana" w:cstheme="minorHAnsi"/>
          <w:bdr w:val="nil"/>
        </w:rPr>
        <w:t xml:space="preserve"> - IASB. As práticas contábeis adotadas no Brasil compreendem os pronunciamentos, interpretações e orientações expedidos pelo Comitê de Pronunciamentos Contábeis - CPC, aprovados pelo Conselho Federal de Contabilidade - CFC e pela Comissão de Valores Mobiliários - CVM, e as disposições contidas na legislação societária brasileira. Todas as informações relevantes próprias das demonstrações financeiras</w:t>
      </w:r>
      <w:r w:rsidR="001E29CE">
        <w:rPr>
          <w:rFonts w:ascii="Verdana" w:hAnsi="Verdana" w:cstheme="minorHAnsi"/>
          <w:bdr w:val="nil"/>
        </w:rPr>
        <w:t xml:space="preserve"> intermediárias, individuais e consolidadas</w:t>
      </w:r>
      <w:r w:rsidRPr="00BC2D0E">
        <w:rPr>
          <w:rFonts w:ascii="Verdana" w:hAnsi="Verdana" w:cstheme="minorHAnsi"/>
          <w:bdr w:val="nil"/>
        </w:rPr>
        <w:t>, e apenas essas informações, estão sendo evidenciadas e correspondem às utilizadas na gestão da Administração da Companhia.</w:t>
      </w:r>
    </w:p>
    <w:p w14:paraId="6C49CDAD" w14:textId="77777777" w:rsidR="00A3332E" w:rsidRPr="00F7132F" w:rsidRDefault="00A3332E" w:rsidP="00CF5F07">
      <w:pPr>
        <w:jc w:val="both"/>
        <w:rPr>
          <w:rFonts w:ascii="Verdana" w:hAnsi="Verdana" w:cstheme="minorHAnsi"/>
          <w:b/>
          <w:bdr w:val="nil"/>
        </w:rPr>
      </w:pPr>
      <w:r w:rsidRPr="00F7132F">
        <w:rPr>
          <w:rFonts w:ascii="Verdana" w:hAnsi="Verdana" w:cstheme="minorHAnsi"/>
          <w:b/>
          <w:bdr w:val="nil"/>
        </w:rPr>
        <w:t>2.2 – Base de preparação e mensuração</w:t>
      </w:r>
    </w:p>
    <w:p w14:paraId="666447DA" w14:textId="2F6C1024" w:rsidR="00A3332E" w:rsidRPr="00BC2D0E" w:rsidRDefault="00A3332E" w:rsidP="00CF5F07">
      <w:pPr>
        <w:jc w:val="both"/>
        <w:rPr>
          <w:rFonts w:ascii="Verdana" w:hAnsi="Verdana" w:cstheme="minorHAnsi"/>
          <w:highlight w:val="cyan"/>
          <w:bdr w:val="nil"/>
        </w:rPr>
      </w:pPr>
      <w:r w:rsidRPr="00BC2D0E">
        <w:rPr>
          <w:rFonts w:ascii="Verdana" w:hAnsi="Verdana" w:cstheme="minorHAnsi"/>
          <w:bdr w:val="nil"/>
        </w:rPr>
        <w:t xml:space="preserve">A preparação das demonstrações financeiras </w:t>
      </w:r>
      <w:r w:rsidR="001E29CE">
        <w:rPr>
          <w:rFonts w:ascii="Verdana" w:hAnsi="Verdana" w:cstheme="minorHAnsi"/>
          <w:bdr w:val="nil"/>
        </w:rPr>
        <w:t>intermediárias, individuais e consolidadas</w:t>
      </w:r>
      <w:r w:rsidR="00CD2365" w:rsidRPr="00BC2D0E">
        <w:rPr>
          <w:rFonts w:ascii="Verdana" w:hAnsi="Verdana" w:cstheme="minorHAnsi"/>
          <w:bdr w:val="nil"/>
        </w:rPr>
        <w:t xml:space="preserve"> </w:t>
      </w:r>
      <w:r w:rsidRPr="00BC2D0E">
        <w:rPr>
          <w:rFonts w:ascii="Verdana" w:hAnsi="Verdana" w:cstheme="minorHAnsi"/>
          <w:bdr w:val="nil"/>
        </w:rPr>
        <w:t xml:space="preserve">requer o uso de certas estimativas contábeis críticas e, também, o exercício de julgamento por parte da Administração da Companhia, no processo de aplicação das práticas contábeis, as quais são apresentadas nas respectivas notas explicativas que tratam dos temas de suas aplicações. Aquelas transações, divulgações ou saldos que requerem maior nível de julgamento, que possuem maior complexidade e para as quais premissas e estimativas são significativas, estão divulgadas na Nota </w:t>
      </w:r>
      <w:r w:rsidR="00CD2365" w:rsidRPr="00BC2D0E">
        <w:rPr>
          <w:rFonts w:ascii="Verdana" w:hAnsi="Verdana" w:cstheme="minorHAnsi"/>
          <w:bdr w:val="nil"/>
        </w:rPr>
        <w:t>3</w:t>
      </w:r>
      <w:r w:rsidRPr="00BC2D0E">
        <w:rPr>
          <w:rFonts w:ascii="Verdana" w:hAnsi="Verdana" w:cstheme="minorHAnsi"/>
          <w:bdr w:val="nil"/>
        </w:rPr>
        <w:t xml:space="preserve">. </w:t>
      </w:r>
    </w:p>
    <w:p w14:paraId="3025720E" w14:textId="382547B7" w:rsidR="00A3332E" w:rsidRPr="00BC2D0E" w:rsidRDefault="00A3332E" w:rsidP="00CF5F07">
      <w:pPr>
        <w:jc w:val="both"/>
        <w:rPr>
          <w:rFonts w:ascii="Verdana" w:hAnsi="Verdana" w:cstheme="minorHAnsi"/>
          <w:bdr w:val="nil"/>
        </w:rPr>
      </w:pPr>
      <w:r w:rsidRPr="00BC2D0E">
        <w:rPr>
          <w:rFonts w:ascii="Verdana" w:hAnsi="Verdana" w:cstheme="minorHAnsi"/>
          <w:bdr w:val="nil"/>
        </w:rPr>
        <w:t>As demonstrações financeiras</w:t>
      </w:r>
      <w:r w:rsidR="00CD2365" w:rsidRPr="00BC2D0E">
        <w:rPr>
          <w:rFonts w:ascii="Verdana" w:hAnsi="Verdana" w:cstheme="minorHAnsi"/>
          <w:bdr w:val="nil"/>
        </w:rPr>
        <w:t xml:space="preserve"> intermediárias</w:t>
      </w:r>
      <w:r w:rsidR="001E29CE">
        <w:rPr>
          <w:rFonts w:ascii="Verdana" w:hAnsi="Verdana" w:cstheme="minorHAnsi"/>
          <w:bdr w:val="nil"/>
        </w:rPr>
        <w:t>,</w:t>
      </w:r>
      <w:r w:rsidR="001E29CE" w:rsidRPr="001E29CE">
        <w:rPr>
          <w:rFonts w:ascii="Verdana" w:hAnsi="Verdana" w:cstheme="minorHAnsi"/>
          <w:bdr w:val="nil"/>
        </w:rPr>
        <w:t xml:space="preserve"> </w:t>
      </w:r>
      <w:r w:rsidR="001E29CE">
        <w:rPr>
          <w:rFonts w:ascii="Verdana" w:hAnsi="Verdana" w:cstheme="minorHAnsi"/>
          <w:bdr w:val="nil"/>
        </w:rPr>
        <w:t>individuais e consolidadas</w:t>
      </w:r>
      <w:r w:rsidR="00CD2365" w:rsidRPr="00BC2D0E">
        <w:rPr>
          <w:rFonts w:ascii="Verdana" w:hAnsi="Verdana" w:cstheme="minorHAnsi"/>
          <w:bdr w:val="nil"/>
        </w:rPr>
        <w:t xml:space="preserve"> </w:t>
      </w:r>
      <w:r w:rsidRPr="00BC2D0E">
        <w:rPr>
          <w:rFonts w:ascii="Verdana" w:hAnsi="Verdana" w:cstheme="minorHAnsi"/>
          <w:bdr w:val="nil"/>
        </w:rPr>
        <w:t xml:space="preserve">foram elaboradas com base no custo histórico, exceto por determinados instrumentos financeiros mensurados pelos seus valores justos. O custo histórico geralmente é baseado no valor justo das contraprestações pagas na data das transações </w:t>
      </w:r>
      <w:r w:rsidRPr="00BC2D0E">
        <w:rPr>
          <w:rFonts w:ascii="Verdana" w:hAnsi="Verdana" w:cstheme="minorHAnsi"/>
        </w:rPr>
        <w:t xml:space="preserve">e o valor justo é o preço que seria recebido pela venda de um ativo ou pago pela transferência de um passivo em uma transação organizada entre participantes do mercado na data </w:t>
      </w:r>
      <w:r w:rsidRPr="00BC2D0E">
        <w:rPr>
          <w:rFonts w:ascii="Verdana" w:hAnsi="Verdana" w:cstheme="minorHAnsi"/>
        </w:rPr>
        <w:lastRenderedPageBreak/>
        <w:t>de mensuração, independentemente de esse preço ser diretamente observável ou estimado usando outra técnica de avaliação</w:t>
      </w:r>
      <w:r w:rsidRPr="00BC2D0E">
        <w:rPr>
          <w:rFonts w:ascii="Verdana" w:hAnsi="Verdana" w:cstheme="minorHAnsi"/>
          <w:bdr w:val="nil"/>
        </w:rPr>
        <w:t>.</w:t>
      </w:r>
    </w:p>
    <w:p w14:paraId="2795403B" w14:textId="46B356BB" w:rsidR="00A3332E" w:rsidRPr="00F7132F" w:rsidRDefault="00FB13E4" w:rsidP="00CF5F07">
      <w:pPr>
        <w:jc w:val="both"/>
        <w:rPr>
          <w:rFonts w:ascii="Verdana" w:hAnsi="Verdana" w:cstheme="minorHAnsi"/>
          <w:b/>
          <w:bdr w:val="nil"/>
        </w:rPr>
      </w:pPr>
      <w:r w:rsidRPr="00F7132F">
        <w:rPr>
          <w:rFonts w:ascii="Verdana" w:hAnsi="Verdana" w:cstheme="minorHAnsi"/>
          <w:b/>
          <w:bdr w:val="nil"/>
        </w:rPr>
        <w:t>2.3</w:t>
      </w:r>
      <w:r w:rsidR="00CD2365" w:rsidRPr="00F7132F">
        <w:rPr>
          <w:rFonts w:ascii="Verdana" w:hAnsi="Verdana" w:cstheme="minorHAnsi"/>
          <w:b/>
          <w:bdr w:val="nil"/>
        </w:rPr>
        <w:t xml:space="preserve"> – </w:t>
      </w:r>
      <w:r w:rsidR="00A3332E" w:rsidRPr="00F7132F">
        <w:rPr>
          <w:rFonts w:ascii="Verdana" w:hAnsi="Verdana" w:cstheme="minorHAnsi"/>
          <w:b/>
          <w:bdr w:val="nil"/>
        </w:rPr>
        <w:t xml:space="preserve">Moeda funcional e de apresentação das demonstrações financeiras </w:t>
      </w:r>
      <w:r w:rsidR="00F33E43">
        <w:rPr>
          <w:rFonts w:ascii="Verdana" w:hAnsi="Verdana" w:cstheme="minorHAnsi"/>
          <w:b/>
          <w:bdr w:val="nil"/>
        </w:rPr>
        <w:t>intermediárias</w:t>
      </w:r>
      <w:r w:rsidR="001E29CE">
        <w:rPr>
          <w:rFonts w:ascii="Verdana" w:hAnsi="Verdana" w:cstheme="minorHAnsi"/>
          <w:b/>
          <w:bdr w:val="nil"/>
        </w:rPr>
        <w:t xml:space="preserve">, </w:t>
      </w:r>
      <w:r w:rsidR="001E29CE" w:rsidRPr="003072B4">
        <w:rPr>
          <w:rFonts w:ascii="Verdana" w:hAnsi="Verdana" w:cstheme="minorHAnsi"/>
          <w:b/>
          <w:bdr w:val="nil"/>
        </w:rPr>
        <w:t>individuais e consolidadas</w:t>
      </w:r>
    </w:p>
    <w:p w14:paraId="23CDD34E" w14:textId="0FAFB68C" w:rsidR="00A3332E" w:rsidRPr="00BC2D0E" w:rsidRDefault="00A3332E" w:rsidP="00CF5F07">
      <w:pPr>
        <w:jc w:val="both"/>
        <w:rPr>
          <w:rFonts w:ascii="Verdana" w:hAnsi="Verdana" w:cstheme="minorHAnsi"/>
          <w:bdr w:val="nil"/>
        </w:rPr>
      </w:pPr>
      <w:r w:rsidRPr="00BC2D0E">
        <w:rPr>
          <w:rFonts w:ascii="Verdana" w:hAnsi="Verdana" w:cstheme="minorHAnsi"/>
          <w:bdr w:val="nil"/>
        </w:rPr>
        <w:t>Essas demonstrações financeiras</w:t>
      </w:r>
      <w:r w:rsidR="00CD2365" w:rsidRPr="00BC2D0E">
        <w:rPr>
          <w:rFonts w:ascii="Verdana" w:hAnsi="Verdana" w:cstheme="minorHAnsi"/>
          <w:bdr w:val="nil"/>
        </w:rPr>
        <w:t xml:space="preserve"> intermediárias</w:t>
      </w:r>
      <w:r w:rsidR="001E29CE">
        <w:rPr>
          <w:rFonts w:ascii="Verdana" w:hAnsi="Verdana" w:cstheme="minorHAnsi"/>
          <w:bdr w:val="nil"/>
        </w:rPr>
        <w:t>, individuais e consolidadas</w:t>
      </w:r>
      <w:r w:rsidR="00CD2365" w:rsidRPr="00BC2D0E">
        <w:rPr>
          <w:rFonts w:ascii="Verdana" w:hAnsi="Verdana" w:cstheme="minorHAnsi"/>
          <w:bdr w:val="nil"/>
        </w:rPr>
        <w:t xml:space="preserve"> </w:t>
      </w:r>
      <w:r w:rsidRPr="00BC2D0E">
        <w:rPr>
          <w:rFonts w:ascii="Verdana" w:hAnsi="Verdana" w:cstheme="minorHAnsi"/>
          <w:bdr w:val="nil"/>
        </w:rPr>
        <w:t xml:space="preserve">são apresentadas em Real, que é a moeda funcional da </w:t>
      </w:r>
      <w:r w:rsidR="00397D36" w:rsidRPr="00BC2D0E">
        <w:rPr>
          <w:rFonts w:ascii="Verdana" w:hAnsi="Verdana" w:cstheme="minorHAnsi"/>
          <w:bdr w:val="nil"/>
        </w:rPr>
        <w:t>Companhia</w:t>
      </w:r>
      <w:r w:rsidRPr="00BC2D0E">
        <w:rPr>
          <w:rFonts w:ascii="Verdana" w:hAnsi="Verdana" w:cstheme="minorHAnsi"/>
          <w:bdr w:val="nil"/>
        </w:rPr>
        <w:t>, exceto quando indicado de outra forma.</w:t>
      </w:r>
    </w:p>
    <w:p w14:paraId="2A300FD5" w14:textId="77777777" w:rsidR="007B4BE1" w:rsidRPr="00F7132F" w:rsidRDefault="007B4BE1" w:rsidP="007B4BE1">
      <w:pPr>
        <w:jc w:val="both"/>
        <w:rPr>
          <w:rFonts w:ascii="Verdana" w:hAnsi="Verdana" w:cstheme="minorHAnsi"/>
          <w:b/>
          <w:bdr w:val="nil"/>
        </w:rPr>
      </w:pPr>
      <w:r w:rsidRPr="00F7132F">
        <w:rPr>
          <w:rFonts w:ascii="Verdana" w:hAnsi="Verdana" w:cstheme="minorHAnsi"/>
          <w:b/>
          <w:bdr w:val="nil"/>
        </w:rPr>
        <w:t>2.4 – Principais políticas contábeis</w:t>
      </w:r>
    </w:p>
    <w:p w14:paraId="10DC3693" w14:textId="77777777" w:rsidR="007B4BE1" w:rsidRPr="00BC2D0E" w:rsidRDefault="007B4BE1" w:rsidP="007B4BE1">
      <w:pPr>
        <w:jc w:val="both"/>
        <w:rPr>
          <w:rFonts w:ascii="Verdana" w:hAnsi="Verdana" w:cstheme="minorHAnsi"/>
        </w:rPr>
      </w:pPr>
      <w:r w:rsidRPr="00BC2D0E">
        <w:rPr>
          <w:rFonts w:ascii="Verdana" w:hAnsi="Verdana" w:cstheme="minorHAnsi"/>
        </w:rPr>
        <w:t xml:space="preserve">As principais políticas contábeis aplicadas na preparação destas demonstrações financeiras </w:t>
      </w:r>
      <w:r w:rsidRPr="00BC2D0E">
        <w:rPr>
          <w:rFonts w:ascii="Verdana" w:hAnsi="Verdana" w:cstheme="minorHAnsi"/>
          <w:bdr w:val="nil"/>
        </w:rPr>
        <w:t xml:space="preserve">intermediárias </w:t>
      </w:r>
      <w:r w:rsidRPr="00BC2D0E">
        <w:rPr>
          <w:rFonts w:ascii="Verdana" w:hAnsi="Verdana" w:cstheme="minorHAnsi"/>
        </w:rPr>
        <w:t>estão relacionadas a seguir</w:t>
      </w:r>
      <w:r w:rsidR="005C611E" w:rsidRPr="00BC2D0E">
        <w:rPr>
          <w:rFonts w:ascii="Verdana" w:hAnsi="Verdana" w:cstheme="minorHAnsi"/>
        </w:rPr>
        <w:t>:</w:t>
      </w:r>
    </w:p>
    <w:p w14:paraId="6B2650DC" w14:textId="77777777" w:rsidR="007B4BE1" w:rsidRPr="00F7132F" w:rsidRDefault="007B4BE1" w:rsidP="007B4BE1">
      <w:pPr>
        <w:jc w:val="both"/>
        <w:rPr>
          <w:rFonts w:ascii="Verdana" w:hAnsi="Verdana" w:cstheme="minorHAnsi"/>
          <w:b/>
          <w:bdr w:val="nil"/>
        </w:rPr>
      </w:pPr>
      <w:r w:rsidRPr="00F7132F">
        <w:rPr>
          <w:rFonts w:ascii="Verdana" w:hAnsi="Verdana" w:cstheme="minorHAnsi"/>
          <w:b/>
          <w:bdr w:val="nil"/>
        </w:rPr>
        <w:t>2.4.1 – Caixa e equivalentes de caixa</w:t>
      </w:r>
    </w:p>
    <w:p w14:paraId="37F8EF40" w14:textId="77777777" w:rsidR="007B4BE1" w:rsidRPr="00BC2D0E" w:rsidRDefault="007B4BE1" w:rsidP="007B4BE1">
      <w:pPr>
        <w:autoSpaceDE w:val="0"/>
        <w:autoSpaceDN w:val="0"/>
        <w:adjustRightInd w:val="0"/>
        <w:spacing w:line="240" w:lineRule="auto"/>
        <w:jc w:val="both"/>
        <w:rPr>
          <w:rFonts w:ascii="Verdana" w:hAnsi="Verdana" w:cstheme="minorHAnsi"/>
        </w:rPr>
      </w:pPr>
      <w:r w:rsidRPr="00BC2D0E">
        <w:rPr>
          <w:rFonts w:ascii="Verdana" w:hAnsi="Verdana" w:cstheme="minorHAnsi"/>
        </w:rPr>
        <w:t xml:space="preserve">Caixa e equivalentes de caixa incluem o caixa, os depósitos bancários e outros investimentos de curto prazo de alta liquidez com vencimentos originais de até três meses. </w:t>
      </w:r>
    </w:p>
    <w:p w14:paraId="63FF304E" w14:textId="77777777" w:rsidR="007B4BE1" w:rsidRPr="00BC2D0E" w:rsidRDefault="007B4BE1" w:rsidP="007B4BE1">
      <w:pPr>
        <w:autoSpaceDE w:val="0"/>
        <w:autoSpaceDN w:val="0"/>
        <w:adjustRightInd w:val="0"/>
        <w:spacing w:line="240" w:lineRule="auto"/>
        <w:jc w:val="both"/>
        <w:rPr>
          <w:rFonts w:ascii="Verdana" w:hAnsi="Verdana" w:cstheme="minorHAnsi"/>
        </w:rPr>
      </w:pPr>
      <w:r w:rsidRPr="00BC2D0E">
        <w:rPr>
          <w:rFonts w:ascii="Verdana" w:hAnsi="Verdana" w:cstheme="minorHAnsi"/>
        </w:rPr>
        <w:t>Os saldos considerados como equivalentes de caixa são aplicações financeiras de curto prazo, de liquidez imediata, prontamente conversíveis em um montante conhecido de caixa, sujeitos a um insignificante risco de mudança de valor e mantidos com a finalidade de atender a compromissos de caixa de curto prazo e à gestão de caixa da Companhia.</w:t>
      </w:r>
    </w:p>
    <w:p w14:paraId="4FED1A2B" w14:textId="7DB70A03" w:rsidR="007B4BE1" w:rsidRPr="00F7132F" w:rsidRDefault="007B4BE1" w:rsidP="007B4BE1">
      <w:pPr>
        <w:jc w:val="both"/>
        <w:rPr>
          <w:rFonts w:ascii="Verdana" w:hAnsi="Verdana" w:cstheme="minorHAnsi"/>
          <w:b/>
          <w:bdr w:val="nil"/>
        </w:rPr>
      </w:pPr>
      <w:r w:rsidRPr="00F7132F">
        <w:rPr>
          <w:rFonts w:ascii="Verdana" w:hAnsi="Verdana" w:cstheme="minorHAnsi"/>
          <w:b/>
          <w:bdr w:val="nil"/>
        </w:rPr>
        <w:t>2.4.</w:t>
      </w:r>
      <w:r w:rsidR="00590B3C">
        <w:rPr>
          <w:rFonts w:ascii="Verdana" w:hAnsi="Verdana" w:cstheme="minorHAnsi"/>
          <w:b/>
          <w:bdr w:val="nil"/>
        </w:rPr>
        <w:t>1.1</w:t>
      </w:r>
      <w:r w:rsidRPr="00F7132F">
        <w:rPr>
          <w:rFonts w:ascii="Verdana" w:hAnsi="Verdana" w:cstheme="minorHAnsi"/>
          <w:b/>
          <w:bdr w:val="nil"/>
        </w:rPr>
        <w:t>– Caixa restrito</w:t>
      </w:r>
    </w:p>
    <w:p w14:paraId="5611CACC" w14:textId="7207FF69" w:rsidR="007B4BE1" w:rsidRPr="00BC2D0E" w:rsidRDefault="007B4BE1" w:rsidP="007B4BE1">
      <w:pPr>
        <w:autoSpaceDE w:val="0"/>
        <w:autoSpaceDN w:val="0"/>
        <w:adjustRightInd w:val="0"/>
        <w:spacing w:line="240" w:lineRule="auto"/>
        <w:jc w:val="both"/>
        <w:rPr>
          <w:rFonts w:ascii="Verdana" w:hAnsi="Verdana" w:cstheme="minorHAnsi"/>
        </w:rPr>
      </w:pPr>
      <w:r w:rsidRPr="00BC2D0E">
        <w:rPr>
          <w:rFonts w:ascii="Verdana" w:hAnsi="Verdana" w:cstheme="minorHAnsi"/>
        </w:rPr>
        <w:t>O caixa restrito é composto por aplicações financeiras mensuradas ao valor justo, sendo os recursos arrecadados pelos respectivos fundos que são utilizados exclusivamente para atender às suas disposições regulamentares não estando disponíveis para a Companhia</w:t>
      </w:r>
      <w:r w:rsidR="001E29CE">
        <w:rPr>
          <w:rFonts w:ascii="Verdana" w:hAnsi="Verdana" w:cstheme="minorHAnsi"/>
        </w:rPr>
        <w:t xml:space="preserve">. </w:t>
      </w:r>
      <w:bookmarkStart w:id="0" w:name="_Hlk125551492"/>
      <w:r w:rsidR="001E29CE">
        <w:rPr>
          <w:rFonts w:ascii="Verdana" w:hAnsi="Verdana" w:cstheme="minorHAnsi"/>
        </w:rPr>
        <w:t>Somente disponíveis para as operações designadas da conta de comercialização de Itaipu</w:t>
      </w:r>
      <w:r w:rsidR="001E29CE" w:rsidRPr="00BC2D0E">
        <w:rPr>
          <w:rFonts w:ascii="Verdana" w:hAnsi="Verdana" w:cstheme="minorHAnsi"/>
        </w:rPr>
        <w:t>.</w:t>
      </w:r>
      <w:r w:rsidRPr="00BC2D0E">
        <w:rPr>
          <w:rFonts w:ascii="Verdana" w:hAnsi="Verdana" w:cstheme="minorHAnsi"/>
        </w:rPr>
        <w:t xml:space="preserve"> </w:t>
      </w:r>
      <w:bookmarkEnd w:id="0"/>
    </w:p>
    <w:p w14:paraId="039DD286" w14:textId="77777777" w:rsidR="007B4BE1" w:rsidRPr="00F7132F" w:rsidRDefault="007B4BE1" w:rsidP="007B4BE1">
      <w:pPr>
        <w:jc w:val="both"/>
        <w:rPr>
          <w:rFonts w:ascii="Verdana" w:hAnsi="Verdana" w:cstheme="minorHAnsi"/>
          <w:b/>
          <w:bdr w:val="nil"/>
        </w:rPr>
      </w:pPr>
      <w:r w:rsidRPr="00F7132F">
        <w:rPr>
          <w:rFonts w:ascii="Verdana" w:hAnsi="Verdana" w:cstheme="minorHAnsi"/>
          <w:b/>
          <w:bdr w:val="nil"/>
        </w:rPr>
        <w:t>2.4.3 – Títulos e valores mobiliários</w:t>
      </w:r>
    </w:p>
    <w:p w14:paraId="58A20D0F" w14:textId="77777777" w:rsidR="007B4BE1" w:rsidRPr="00BC2D0E" w:rsidRDefault="007B4BE1" w:rsidP="007B4BE1">
      <w:pPr>
        <w:pStyle w:val="Corpodetexto"/>
        <w:spacing w:after="160"/>
        <w:rPr>
          <w:rFonts w:ascii="Verdana" w:eastAsiaTheme="minorHAnsi" w:hAnsi="Verdana" w:cstheme="minorHAnsi"/>
          <w:sz w:val="22"/>
          <w:szCs w:val="22"/>
          <w:lang w:val="pt-BR" w:eastAsia="en-US"/>
        </w:rPr>
      </w:pPr>
      <w:r w:rsidRPr="00BC2D0E">
        <w:rPr>
          <w:rFonts w:ascii="Verdana" w:eastAsiaTheme="minorHAnsi" w:hAnsi="Verdana" w:cstheme="minorHAnsi"/>
          <w:sz w:val="22"/>
          <w:szCs w:val="22"/>
          <w:lang w:val="pt-BR" w:eastAsia="en-US"/>
        </w:rPr>
        <w:t xml:space="preserve">Tratam-se das aplicações financeiras destinadas à compra de ativo fixo e outras atividades de investimento. São inicialmente mensurados a valor justo e, posteriormente, pelo valor justo por meio do resultado. </w:t>
      </w:r>
    </w:p>
    <w:p w14:paraId="5BDBE2FF" w14:textId="77777777" w:rsidR="007B4BE1" w:rsidRPr="00F7132F" w:rsidRDefault="007B4BE1" w:rsidP="007B4BE1">
      <w:pPr>
        <w:jc w:val="both"/>
        <w:rPr>
          <w:rFonts w:ascii="Verdana" w:hAnsi="Verdana" w:cstheme="minorHAnsi"/>
          <w:b/>
          <w:bdr w:val="nil"/>
        </w:rPr>
      </w:pPr>
      <w:r w:rsidRPr="00F7132F">
        <w:rPr>
          <w:rFonts w:ascii="Verdana" w:hAnsi="Verdana" w:cstheme="minorHAnsi"/>
          <w:b/>
          <w:bdr w:val="nil"/>
        </w:rPr>
        <w:t>2.4.4 – Clientes</w:t>
      </w:r>
    </w:p>
    <w:p w14:paraId="1DA035B8" w14:textId="77777777" w:rsidR="007B4BE1" w:rsidRPr="00BC2D0E" w:rsidRDefault="007B4BE1" w:rsidP="007B4BE1">
      <w:pPr>
        <w:autoSpaceDE w:val="0"/>
        <w:autoSpaceDN w:val="0"/>
        <w:adjustRightInd w:val="0"/>
        <w:spacing w:line="240" w:lineRule="auto"/>
        <w:jc w:val="both"/>
        <w:rPr>
          <w:rFonts w:ascii="Verdana" w:hAnsi="Verdana" w:cstheme="minorHAnsi"/>
        </w:rPr>
      </w:pPr>
      <w:r w:rsidRPr="00BC2D0E">
        <w:rPr>
          <w:rFonts w:ascii="Verdana" w:hAnsi="Verdana" w:cstheme="minorHAnsi"/>
        </w:rPr>
        <w:t xml:space="preserve">As contas de clientes correspondem ao valor a receber das concessionárias, permissionárias ou autorizadas de serviço público de distribuição no Sistema Interligado Nacional – SIN, pela venda de energia no decurso normal das atividades da Companhia. </w:t>
      </w:r>
    </w:p>
    <w:p w14:paraId="26398898" w14:textId="77777777" w:rsidR="007B4BE1" w:rsidRPr="00BC2D0E" w:rsidRDefault="007B4BE1" w:rsidP="007B4BE1">
      <w:pPr>
        <w:autoSpaceDE w:val="0"/>
        <w:autoSpaceDN w:val="0"/>
        <w:adjustRightInd w:val="0"/>
        <w:spacing w:line="240" w:lineRule="auto"/>
        <w:jc w:val="both"/>
        <w:rPr>
          <w:rFonts w:ascii="Verdana" w:hAnsi="Verdana" w:cstheme="minorHAnsi"/>
        </w:rPr>
      </w:pPr>
      <w:r w:rsidRPr="00BC2D0E">
        <w:rPr>
          <w:rFonts w:ascii="Verdana" w:hAnsi="Verdana" w:cstheme="minorHAnsi"/>
        </w:rPr>
        <w:t>As contas a receber de clientes são contabilizadas com base no regime de competência, sendo reconhecidas inicialmente pelo valor justo e, subsequentemente, mensuradas pelo custo amortizado menos a provisão para créditos de liquidação duvidosa. Os valores são baixados da provisão e reconhecidos como perda definitiva quando não há mais expectativa de recuperação dos recursos.</w:t>
      </w:r>
    </w:p>
    <w:p w14:paraId="083A0444" w14:textId="77777777" w:rsidR="007B4BE1" w:rsidRPr="00BC2D0E" w:rsidRDefault="007B4BE1" w:rsidP="007B4BE1">
      <w:pPr>
        <w:autoSpaceDE w:val="0"/>
        <w:autoSpaceDN w:val="0"/>
        <w:adjustRightInd w:val="0"/>
        <w:spacing w:line="240" w:lineRule="auto"/>
        <w:jc w:val="both"/>
        <w:rPr>
          <w:rFonts w:ascii="Verdana" w:hAnsi="Verdana" w:cs="Verdana"/>
        </w:rPr>
      </w:pPr>
      <w:r w:rsidRPr="00BC2D0E">
        <w:rPr>
          <w:rFonts w:ascii="Verdana" w:hAnsi="Verdana" w:cstheme="minorHAnsi"/>
        </w:rPr>
        <w:lastRenderedPageBreak/>
        <w:t>As contas a receber são normalmente liquidadas no vencimento</w:t>
      </w:r>
      <w:r w:rsidRPr="00BC2D0E">
        <w:rPr>
          <w:rFonts w:ascii="Verdana" w:hAnsi="Verdana"/>
          <w:bdr w:val="nil"/>
        </w:rPr>
        <w:t>.</w:t>
      </w:r>
    </w:p>
    <w:p w14:paraId="34C25E66" w14:textId="77777777" w:rsidR="007B4BE1" w:rsidRPr="00F7132F" w:rsidRDefault="007B4BE1" w:rsidP="007B4BE1">
      <w:pPr>
        <w:jc w:val="both"/>
        <w:rPr>
          <w:rFonts w:ascii="Verdana" w:hAnsi="Verdana" w:cstheme="minorHAnsi"/>
          <w:b/>
          <w:bdr w:val="nil"/>
        </w:rPr>
      </w:pPr>
      <w:r w:rsidRPr="00F7132F">
        <w:rPr>
          <w:rFonts w:ascii="Verdana" w:hAnsi="Verdana" w:cstheme="minorHAnsi"/>
          <w:b/>
          <w:bdr w:val="nil"/>
        </w:rPr>
        <w:t>2.4.5 – Imposto de renda e contribuição social</w:t>
      </w:r>
    </w:p>
    <w:p w14:paraId="1FAC43A7" w14:textId="0145D714" w:rsidR="007B4BE1" w:rsidRPr="00BC2D0E" w:rsidRDefault="007B4BE1" w:rsidP="007B4BE1">
      <w:pPr>
        <w:jc w:val="both"/>
        <w:rPr>
          <w:rFonts w:ascii="Verdana" w:hAnsi="Verdana" w:cstheme="minorHAnsi"/>
        </w:rPr>
      </w:pPr>
      <w:r w:rsidRPr="00BC2D0E">
        <w:rPr>
          <w:rFonts w:ascii="Verdana" w:hAnsi="Verdana" w:cstheme="minorHAnsi"/>
        </w:rPr>
        <w:t xml:space="preserve">As despesas de Imposto de Renda e Contribuição Social </w:t>
      </w:r>
      <w:proofErr w:type="spellStart"/>
      <w:r w:rsidRPr="00BC2D0E">
        <w:rPr>
          <w:rFonts w:ascii="Verdana" w:hAnsi="Verdana" w:cstheme="minorHAnsi"/>
        </w:rPr>
        <w:t>do</w:t>
      </w:r>
      <w:r w:rsidR="004A4C3A">
        <w:rPr>
          <w:rFonts w:ascii="Verdana" w:hAnsi="Verdana" w:cstheme="minorHAnsi"/>
        </w:rPr>
        <w:t>período</w:t>
      </w:r>
      <w:proofErr w:type="spellEnd"/>
      <w:r w:rsidRPr="00BC2D0E">
        <w:rPr>
          <w:rFonts w:ascii="Verdana" w:hAnsi="Verdana" w:cstheme="minorHAnsi"/>
        </w:rPr>
        <w:t xml:space="preserve"> compreendem os impostos corrente e diferido. Os impostos sobre a renda são reconhecidos na demonstração do resultado, exceto na proporção em que estiverem relacionados com itens reconhecidos diretamente no patrimônio líquido ou no resultado abrangente. Nesse caso, o imposto também é reconhecido no patrimônio líquido ou no resultado abrangente.</w:t>
      </w:r>
    </w:p>
    <w:p w14:paraId="2EAC13EB" w14:textId="77777777" w:rsidR="007B4BE1" w:rsidRPr="00BC2D0E" w:rsidRDefault="007B4BE1" w:rsidP="007B4BE1">
      <w:pPr>
        <w:jc w:val="both"/>
        <w:rPr>
          <w:rFonts w:ascii="Verdana" w:hAnsi="Verdana" w:cstheme="minorHAnsi"/>
        </w:rPr>
      </w:pPr>
      <w:r w:rsidRPr="00BC2D0E">
        <w:rPr>
          <w:rFonts w:ascii="Verdana" w:hAnsi="Verdana" w:cstheme="minorHAnsi"/>
        </w:rPr>
        <w:t xml:space="preserve">O encargo de Imposto de </w:t>
      </w:r>
      <w:r w:rsidR="005C611E" w:rsidRPr="00BC2D0E">
        <w:rPr>
          <w:rFonts w:ascii="Verdana" w:hAnsi="Verdana" w:cstheme="minorHAnsi"/>
        </w:rPr>
        <w:t>R</w:t>
      </w:r>
      <w:r w:rsidRPr="00BC2D0E">
        <w:rPr>
          <w:rFonts w:ascii="Verdana" w:hAnsi="Verdana" w:cstheme="minorHAnsi"/>
        </w:rPr>
        <w:t>enda e a Contribuição Social corrente e diferido são calculados com base nas alíquotas de 15%, acrescidas do adicional de IRPJ de 10% sobre o lucro tributável para imposto de renda e 9% sobre o lucro tributável para contribuição social sobre o lucro líquido, considerando-se a compensação de prejuízos fiscais e base negativa de contribuição social, limitada a 30% do lucro tributável do exercício.</w:t>
      </w:r>
    </w:p>
    <w:p w14:paraId="1A84E555" w14:textId="77777777" w:rsidR="007B4BE1" w:rsidRPr="00BC2D0E" w:rsidRDefault="007B4BE1" w:rsidP="007B4BE1">
      <w:pPr>
        <w:jc w:val="both"/>
        <w:rPr>
          <w:rFonts w:ascii="Verdana" w:hAnsi="Verdana" w:cstheme="minorHAnsi"/>
        </w:rPr>
      </w:pPr>
      <w:r w:rsidRPr="00BC2D0E">
        <w:rPr>
          <w:rFonts w:ascii="Verdana" w:hAnsi="Verdana" w:cstheme="minorHAnsi"/>
        </w:rPr>
        <w:t>O Imposto de Renda e a Contribuição Social diferidos são reconhecidos usando-se o método do passivo sobre as diferenças temporárias decorrentes de diferenças ente as bases fiscais dos ativos e passivos e seus valores contábeis nas demonstrações financeiras. Entretanto, o Imposto de Renda e a Contribuição Social diferidos não são contabilizados se resultar do reconhecimento inicial de um ativo.</w:t>
      </w:r>
    </w:p>
    <w:p w14:paraId="775EA1E0" w14:textId="77777777" w:rsidR="007B4BE1" w:rsidRPr="00BC2D0E" w:rsidRDefault="007B4BE1" w:rsidP="007B4BE1">
      <w:pPr>
        <w:jc w:val="both"/>
        <w:rPr>
          <w:rFonts w:ascii="Verdana" w:hAnsi="Verdana" w:cstheme="minorHAnsi"/>
        </w:rPr>
      </w:pPr>
      <w:r w:rsidRPr="00BC2D0E">
        <w:rPr>
          <w:rFonts w:ascii="Verdana" w:hAnsi="Verdana" w:cstheme="minorHAnsi"/>
        </w:rPr>
        <w:t>O Imposto de Renda e a Contribuição Social diferidos ativo são reconhecidos somente na proporção da probabilidade de que lucro tributável futuro esteja sendo disponível e contra o qual as diferenças temporárias possam ser usadas.</w:t>
      </w:r>
    </w:p>
    <w:p w14:paraId="047510D4" w14:textId="77777777" w:rsidR="007B4BE1" w:rsidRPr="00BC2D0E" w:rsidRDefault="007B4BE1" w:rsidP="007B4BE1">
      <w:pPr>
        <w:widowControl w:val="0"/>
        <w:autoSpaceDE w:val="0"/>
        <w:autoSpaceDN w:val="0"/>
        <w:jc w:val="both"/>
        <w:rPr>
          <w:rFonts w:ascii="Verdana" w:hAnsi="Verdana"/>
          <w:bdr w:val="nil"/>
        </w:rPr>
      </w:pPr>
      <w:r w:rsidRPr="00BC2D0E">
        <w:rPr>
          <w:rFonts w:ascii="Verdana" w:hAnsi="Verdana" w:cstheme="minorHAnsi"/>
        </w:rPr>
        <w:t>Os impostos de renda diferidos ativos e passivos são apresentados pelo líquido no balanço, quando há o direito legal e a intenção de compensá-los quando da apuração dos tributos correntes, em geral relacionados com a mesma autoridade fiscal.</w:t>
      </w:r>
    </w:p>
    <w:p w14:paraId="1A1351A3" w14:textId="77777777" w:rsidR="007B4BE1" w:rsidRPr="00F7132F" w:rsidRDefault="007B4BE1" w:rsidP="007B4BE1">
      <w:pPr>
        <w:jc w:val="both"/>
        <w:rPr>
          <w:rFonts w:ascii="Verdana" w:hAnsi="Verdana" w:cstheme="minorHAnsi"/>
          <w:b/>
          <w:bdr w:val="nil"/>
        </w:rPr>
      </w:pPr>
      <w:r w:rsidRPr="00F7132F">
        <w:rPr>
          <w:rFonts w:ascii="Verdana" w:hAnsi="Verdana" w:cstheme="minorHAnsi"/>
          <w:b/>
          <w:bdr w:val="nil"/>
        </w:rPr>
        <w:t>2.4.6 – Estoque de combustível nuclear</w:t>
      </w:r>
    </w:p>
    <w:p w14:paraId="722F8BAA" w14:textId="77777777" w:rsidR="007B4BE1" w:rsidRPr="00BC2D0E" w:rsidRDefault="007B4BE1" w:rsidP="007B4BE1">
      <w:pPr>
        <w:pStyle w:val="PargrafodaLista"/>
        <w:spacing w:after="160"/>
        <w:ind w:left="0"/>
        <w:rPr>
          <w:rFonts w:ascii="Verdana" w:eastAsiaTheme="minorHAnsi" w:hAnsi="Verdana" w:cstheme="minorHAnsi"/>
          <w:szCs w:val="22"/>
          <w:lang w:eastAsia="en-US"/>
        </w:rPr>
      </w:pPr>
      <w:r w:rsidRPr="00BC2D0E">
        <w:rPr>
          <w:rFonts w:ascii="Verdana" w:eastAsiaTheme="minorHAnsi" w:hAnsi="Verdana" w:cstheme="minorHAnsi"/>
          <w:szCs w:val="22"/>
          <w:lang w:eastAsia="en-US"/>
        </w:rPr>
        <w:t>Os materiais em estoque de combustível são classificados no ativo circulante e não circulante, de acordo com o prazo efetivo de consumo. São apresentados ao custo médio de aquisição ou pelo valor líquido de mercado / realização, dos dois o menor. Os elementos de combustível nuclear estão disponíveis no núcleo do reator e no estoque da Piscina de Combustível Usado – PCU e são apropriados ao resultado do exercício em função da sua utilização no processo da geração de energia elétrica. O estoque de combustível é composto pelo concentrado de urânio em estoque, os serviços correspondentes e os elementos de combustível nuclear utilizados nas Usinas Angra 1 e Angra 2.</w:t>
      </w:r>
    </w:p>
    <w:p w14:paraId="250DF477" w14:textId="77777777" w:rsidR="007B4BE1" w:rsidRPr="00F7132F" w:rsidRDefault="007B4BE1" w:rsidP="007B4BE1">
      <w:pPr>
        <w:jc w:val="both"/>
        <w:rPr>
          <w:rFonts w:ascii="Verdana" w:hAnsi="Verdana" w:cstheme="minorHAnsi"/>
          <w:b/>
          <w:bdr w:val="nil"/>
        </w:rPr>
      </w:pPr>
      <w:r w:rsidRPr="00F7132F">
        <w:rPr>
          <w:rFonts w:ascii="Verdana" w:hAnsi="Verdana" w:cstheme="minorHAnsi"/>
          <w:b/>
          <w:bdr w:val="nil"/>
        </w:rPr>
        <w:t>2.4.7 – Almoxarifado</w:t>
      </w:r>
    </w:p>
    <w:p w14:paraId="6E11D7DE" w14:textId="51D3931B" w:rsidR="003072B4" w:rsidRDefault="007B4BE1" w:rsidP="007B4BE1">
      <w:pPr>
        <w:pStyle w:val="Corpodetexto"/>
        <w:spacing w:after="160"/>
        <w:rPr>
          <w:rFonts w:ascii="Verdana" w:eastAsiaTheme="minorHAnsi" w:hAnsi="Verdana" w:cstheme="minorBidi"/>
          <w:sz w:val="22"/>
          <w:szCs w:val="22"/>
          <w:lang w:val="pt-BR" w:eastAsia="en-US"/>
        </w:rPr>
      </w:pPr>
      <w:r w:rsidRPr="00BC2D0E">
        <w:rPr>
          <w:rFonts w:ascii="Verdana" w:eastAsiaTheme="minorHAnsi" w:hAnsi="Verdana" w:cstheme="minorBidi"/>
          <w:sz w:val="22"/>
          <w:szCs w:val="22"/>
          <w:lang w:val="pt-BR" w:eastAsia="en-US"/>
        </w:rPr>
        <w:t>O Almoxarifado está registrado ao custo médio de aquisição, que não excede o valor de mercado/realização</w:t>
      </w:r>
    </w:p>
    <w:p w14:paraId="3CBF5CAF" w14:textId="77777777" w:rsidR="003072B4" w:rsidRDefault="003072B4">
      <w:pPr>
        <w:rPr>
          <w:rFonts w:ascii="Verdana" w:hAnsi="Verdana"/>
        </w:rPr>
      </w:pPr>
      <w:r>
        <w:rPr>
          <w:rFonts w:ascii="Verdana" w:hAnsi="Verdana"/>
        </w:rPr>
        <w:br w:type="page"/>
      </w:r>
    </w:p>
    <w:p w14:paraId="73A6B273" w14:textId="77777777" w:rsidR="007B4BE1" w:rsidRPr="00F7132F" w:rsidRDefault="007B4BE1" w:rsidP="007B4BE1">
      <w:pPr>
        <w:jc w:val="both"/>
        <w:rPr>
          <w:rFonts w:ascii="Verdana" w:hAnsi="Verdana" w:cstheme="minorHAnsi"/>
          <w:b/>
          <w:bdr w:val="nil"/>
        </w:rPr>
      </w:pPr>
      <w:r w:rsidRPr="00F7132F">
        <w:rPr>
          <w:rFonts w:ascii="Verdana" w:hAnsi="Verdana" w:cstheme="minorHAnsi"/>
          <w:b/>
          <w:bdr w:val="nil"/>
        </w:rPr>
        <w:lastRenderedPageBreak/>
        <w:t>2.4.8 – Cauções e depósitos vinculados</w:t>
      </w:r>
    </w:p>
    <w:p w14:paraId="5D18E621" w14:textId="77777777" w:rsidR="007B4BE1" w:rsidRPr="00BC2D0E" w:rsidRDefault="007B4BE1" w:rsidP="007B4BE1">
      <w:pPr>
        <w:pStyle w:val="PargrafodaLista"/>
        <w:tabs>
          <w:tab w:val="left" w:pos="284"/>
        </w:tabs>
        <w:spacing w:after="160"/>
        <w:ind w:left="0"/>
        <w:rPr>
          <w:rFonts w:ascii="Verdana" w:eastAsiaTheme="minorHAnsi" w:hAnsi="Verdana" w:cs="Arial"/>
          <w:szCs w:val="22"/>
          <w:lang w:eastAsia="en-US"/>
        </w:rPr>
      </w:pPr>
      <w:r w:rsidRPr="00BC2D0E">
        <w:rPr>
          <w:rFonts w:ascii="Verdana" w:eastAsiaTheme="minorHAnsi" w:hAnsi="Verdana" w:cs="Arial"/>
          <w:szCs w:val="22"/>
          <w:lang w:eastAsia="en-US"/>
        </w:rPr>
        <w:t>Os depósitos vinculados estão registrados ao custo histórico, acrescidos das respectivas atualizações monetárias (atualizações e reversões).</w:t>
      </w:r>
    </w:p>
    <w:p w14:paraId="1F415FAD" w14:textId="77777777" w:rsidR="007B4BE1" w:rsidRPr="00F7132F" w:rsidRDefault="007B4BE1" w:rsidP="007B4BE1">
      <w:pPr>
        <w:jc w:val="both"/>
        <w:rPr>
          <w:rFonts w:ascii="Verdana" w:hAnsi="Verdana" w:cstheme="minorHAnsi"/>
          <w:b/>
          <w:bdr w:val="nil"/>
        </w:rPr>
      </w:pPr>
      <w:r w:rsidRPr="00F7132F">
        <w:rPr>
          <w:rFonts w:ascii="Verdana" w:hAnsi="Verdana" w:cstheme="minorHAnsi"/>
          <w:b/>
          <w:bdr w:val="nil"/>
        </w:rPr>
        <w:t>2.4.9 – Ativos e passivos financeiros</w:t>
      </w:r>
    </w:p>
    <w:p w14:paraId="2A00219A" w14:textId="77777777" w:rsidR="007B4BE1" w:rsidRPr="00BC2D0E" w:rsidRDefault="007B4BE1" w:rsidP="007B4BE1">
      <w:pPr>
        <w:autoSpaceDE w:val="0"/>
        <w:autoSpaceDN w:val="0"/>
        <w:adjustRightInd w:val="0"/>
        <w:spacing w:line="240" w:lineRule="auto"/>
        <w:jc w:val="both"/>
        <w:rPr>
          <w:rFonts w:ascii="Verdana" w:hAnsi="Verdana"/>
        </w:rPr>
      </w:pPr>
      <w:r w:rsidRPr="00BC2D0E">
        <w:rPr>
          <w:rFonts w:ascii="Verdana" w:hAnsi="Verdana"/>
        </w:rPr>
        <w:t>A Companhia reconhece um ativo financeiro quando recebe em caixa ou outro ativo financeiro, do poder concedente, em troca da construção ou melhoria, operação e manutenção do ativo do setor público por um período especificado de tempo.</w:t>
      </w:r>
    </w:p>
    <w:p w14:paraId="6215DBCC" w14:textId="77777777" w:rsidR="007B4BE1" w:rsidRPr="00BC2D0E" w:rsidRDefault="007B4BE1" w:rsidP="007B4BE1">
      <w:pPr>
        <w:autoSpaceDE w:val="0"/>
        <w:autoSpaceDN w:val="0"/>
        <w:adjustRightInd w:val="0"/>
        <w:spacing w:line="240" w:lineRule="auto"/>
        <w:jc w:val="both"/>
        <w:rPr>
          <w:rFonts w:ascii="Verdana" w:hAnsi="Verdana"/>
        </w:rPr>
      </w:pPr>
      <w:r w:rsidRPr="00BC2D0E">
        <w:rPr>
          <w:rFonts w:ascii="Verdana" w:hAnsi="Verdana"/>
        </w:rPr>
        <w:t>Enquadra-se como ativo financeiro indenizável o contrato de comercialização da energia elétrica de Itaipu.</w:t>
      </w:r>
    </w:p>
    <w:p w14:paraId="7B9E0C8E" w14:textId="77777777" w:rsidR="007B4BE1" w:rsidRPr="00F7132F" w:rsidRDefault="007B4BE1" w:rsidP="007B4BE1">
      <w:pPr>
        <w:jc w:val="both"/>
        <w:rPr>
          <w:rFonts w:ascii="Verdana" w:hAnsi="Verdana" w:cstheme="minorHAnsi"/>
          <w:b/>
          <w:bdr w:val="nil"/>
        </w:rPr>
      </w:pPr>
      <w:r w:rsidRPr="00F7132F">
        <w:rPr>
          <w:rFonts w:ascii="Verdana" w:hAnsi="Verdana" w:cstheme="minorHAnsi"/>
          <w:b/>
          <w:bdr w:val="nil"/>
        </w:rPr>
        <w:t>2.4.10 – Investimentos</w:t>
      </w:r>
    </w:p>
    <w:p w14:paraId="79548F8E" w14:textId="77777777" w:rsidR="007B4BE1" w:rsidRPr="00BC2D0E" w:rsidRDefault="007B4BE1" w:rsidP="007B4BE1">
      <w:pPr>
        <w:autoSpaceDE w:val="0"/>
        <w:autoSpaceDN w:val="0"/>
        <w:adjustRightInd w:val="0"/>
        <w:spacing w:line="240" w:lineRule="auto"/>
        <w:jc w:val="both"/>
        <w:rPr>
          <w:rFonts w:ascii="Verdana" w:hAnsi="Verdana"/>
        </w:rPr>
      </w:pPr>
      <w:r w:rsidRPr="00BC2D0E">
        <w:rPr>
          <w:rFonts w:ascii="Verdana" w:hAnsi="Verdana"/>
        </w:rPr>
        <w:t>A Companhia avalia seus investimentos pelo método de custo quando não possui influência significativa, e pelo método de equivalência patrimonial, quando detém o poder de influência nas decisões das suas investidas.</w:t>
      </w:r>
    </w:p>
    <w:p w14:paraId="3C14310C" w14:textId="77777777" w:rsidR="007B4BE1" w:rsidRPr="00BC2D0E" w:rsidRDefault="007B4BE1" w:rsidP="007B4BE1">
      <w:pPr>
        <w:autoSpaceDE w:val="0"/>
        <w:autoSpaceDN w:val="0"/>
        <w:adjustRightInd w:val="0"/>
        <w:spacing w:line="240" w:lineRule="auto"/>
        <w:jc w:val="both"/>
        <w:rPr>
          <w:rFonts w:ascii="Verdana" w:hAnsi="Verdana"/>
        </w:rPr>
      </w:pPr>
      <w:r w:rsidRPr="00BC2D0E">
        <w:rPr>
          <w:rFonts w:ascii="Verdana" w:hAnsi="Verdana"/>
        </w:rPr>
        <w:t xml:space="preserve">No método do custo, inicialmente o reconhecimento é realizado pelo custo, avaliado pelo seu valor justo e em casos de recebimento de dividendos, este é lançado diretamente na receita. No método de equivalência patrimonial, inicialmente o reconhecimento é realizado pelo custo, anualmente atualizado conforme patrimônio líquido da investida proporcionalmente ao percentual da </w:t>
      </w:r>
      <w:proofErr w:type="spellStart"/>
      <w:r w:rsidRPr="00BC2D0E">
        <w:rPr>
          <w:rFonts w:ascii="Verdana" w:hAnsi="Verdana"/>
        </w:rPr>
        <w:t>ENBPar</w:t>
      </w:r>
      <w:proofErr w:type="spellEnd"/>
      <w:r w:rsidRPr="00BC2D0E">
        <w:rPr>
          <w:rFonts w:ascii="Verdana" w:hAnsi="Verdana"/>
        </w:rPr>
        <w:t xml:space="preserve"> e em caso de recebimento de dividendos é realizado crédito no ativo na conta de investimentos.</w:t>
      </w:r>
    </w:p>
    <w:p w14:paraId="6DAA79F1" w14:textId="7D003675" w:rsidR="007B4BE1" w:rsidRPr="00BC2D0E" w:rsidRDefault="007B4BE1" w:rsidP="007B4BE1">
      <w:pPr>
        <w:autoSpaceDE w:val="0"/>
        <w:autoSpaceDN w:val="0"/>
        <w:adjustRightInd w:val="0"/>
        <w:spacing w:line="240" w:lineRule="auto"/>
        <w:jc w:val="both"/>
        <w:rPr>
          <w:rFonts w:ascii="Verdana" w:hAnsi="Verdana"/>
        </w:rPr>
      </w:pPr>
      <w:r w:rsidRPr="00BC2D0E">
        <w:rPr>
          <w:rFonts w:ascii="Verdana" w:hAnsi="Verdana"/>
        </w:rPr>
        <w:t xml:space="preserve">As demonstrações financeiras </w:t>
      </w:r>
      <w:r w:rsidR="005A02B3">
        <w:rPr>
          <w:rFonts w:ascii="Verdana" w:hAnsi="Verdana"/>
        </w:rPr>
        <w:t xml:space="preserve">intermediárias </w:t>
      </w:r>
      <w:r w:rsidRPr="00BC2D0E">
        <w:rPr>
          <w:rFonts w:ascii="Verdana" w:hAnsi="Verdana"/>
        </w:rPr>
        <w:t xml:space="preserve">consolidadas abrangem informações da </w:t>
      </w:r>
      <w:proofErr w:type="spellStart"/>
      <w:r w:rsidRPr="00BC2D0E">
        <w:rPr>
          <w:rFonts w:ascii="Verdana" w:hAnsi="Verdana"/>
        </w:rPr>
        <w:t>ENBPar</w:t>
      </w:r>
      <w:proofErr w:type="spellEnd"/>
      <w:r w:rsidRPr="00BC2D0E">
        <w:rPr>
          <w:rFonts w:ascii="Verdana" w:hAnsi="Verdana"/>
        </w:rPr>
        <w:t>, e de sua controlada Eletronuclear.</w:t>
      </w:r>
    </w:p>
    <w:p w14:paraId="4014F18F" w14:textId="77777777" w:rsidR="007B4BE1" w:rsidRPr="00BC2D0E" w:rsidRDefault="007B4BE1" w:rsidP="007B4BE1">
      <w:pPr>
        <w:autoSpaceDE w:val="0"/>
        <w:autoSpaceDN w:val="0"/>
        <w:adjustRightInd w:val="0"/>
        <w:spacing w:line="240" w:lineRule="auto"/>
        <w:jc w:val="both"/>
        <w:rPr>
          <w:rFonts w:ascii="Verdana" w:hAnsi="Verdana"/>
        </w:rPr>
      </w:pPr>
      <w:r w:rsidRPr="00BC2D0E">
        <w:rPr>
          <w:rFonts w:ascii="Verdana" w:hAnsi="Verdana"/>
        </w:rPr>
        <w:t>As empresas controladas são consolidadas a partir da data em que o controle é obtido até a data em que esse controle deixa de existir, utilizando práticas contábeis consistentes às adotadas pela Companhia. As transações e saldos entre as empresas da Companhia, incluindo lucro não realizado oriundo dessas transações, são eliminados no processo de consolidação.</w:t>
      </w:r>
    </w:p>
    <w:p w14:paraId="7E83E113" w14:textId="77777777" w:rsidR="007B4BE1" w:rsidRPr="00BC2D0E" w:rsidRDefault="007B4BE1" w:rsidP="007B4BE1">
      <w:pPr>
        <w:autoSpaceDE w:val="0"/>
        <w:autoSpaceDN w:val="0"/>
        <w:adjustRightInd w:val="0"/>
        <w:spacing w:line="240" w:lineRule="auto"/>
        <w:jc w:val="both"/>
        <w:rPr>
          <w:rFonts w:ascii="Verdana" w:hAnsi="Verdana"/>
        </w:rPr>
      </w:pPr>
      <w:r w:rsidRPr="00BC2D0E">
        <w:rPr>
          <w:rFonts w:ascii="Verdana" w:hAnsi="Verdana"/>
        </w:rPr>
        <w:t xml:space="preserve">Tal controle é obtido quando a </w:t>
      </w:r>
      <w:proofErr w:type="spellStart"/>
      <w:r w:rsidRPr="00BC2D0E">
        <w:rPr>
          <w:rFonts w:ascii="Verdana" w:hAnsi="Verdana"/>
        </w:rPr>
        <w:t>ENBPar</w:t>
      </w:r>
      <w:proofErr w:type="spellEnd"/>
      <w:r w:rsidRPr="00BC2D0E">
        <w:rPr>
          <w:rFonts w:ascii="Verdana" w:hAnsi="Verdana"/>
        </w:rPr>
        <w:t xml:space="preserve"> possui:</w:t>
      </w:r>
    </w:p>
    <w:p w14:paraId="245E85D9" w14:textId="77777777" w:rsidR="007B4BE1" w:rsidRPr="00BC2D0E" w:rsidRDefault="007B4BE1" w:rsidP="007B4BE1">
      <w:pPr>
        <w:autoSpaceDE w:val="0"/>
        <w:autoSpaceDN w:val="0"/>
        <w:adjustRightInd w:val="0"/>
        <w:spacing w:line="240" w:lineRule="auto"/>
        <w:jc w:val="both"/>
        <w:rPr>
          <w:rFonts w:ascii="Verdana" w:hAnsi="Verdana"/>
        </w:rPr>
      </w:pPr>
      <w:r w:rsidRPr="00BC2D0E">
        <w:rPr>
          <w:rFonts w:ascii="Verdana" w:hAnsi="Verdana"/>
        </w:rPr>
        <w:t>i) poder</w:t>
      </w:r>
      <w:r w:rsidR="00955D7C">
        <w:rPr>
          <w:rFonts w:ascii="Verdana" w:hAnsi="Verdana"/>
        </w:rPr>
        <w:t>es</w:t>
      </w:r>
      <w:r w:rsidRPr="00BC2D0E">
        <w:rPr>
          <w:rFonts w:ascii="Verdana" w:hAnsi="Verdana"/>
        </w:rPr>
        <w:t xml:space="preserve"> sobre a investida;</w:t>
      </w:r>
    </w:p>
    <w:p w14:paraId="594197B1" w14:textId="77777777" w:rsidR="007B4BE1" w:rsidRPr="00BC2D0E" w:rsidRDefault="007B4BE1" w:rsidP="007B4BE1">
      <w:pPr>
        <w:autoSpaceDE w:val="0"/>
        <w:autoSpaceDN w:val="0"/>
        <w:adjustRightInd w:val="0"/>
        <w:spacing w:line="240" w:lineRule="auto"/>
        <w:jc w:val="both"/>
        <w:rPr>
          <w:rFonts w:ascii="Verdana" w:hAnsi="Verdana"/>
        </w:rPr>
      </w:pPr>
      <w:proofErr w:type="spellStart"/>
      <w:r w:rsidRPr="00BC2D0E">
        <w:rPr>
          <w:rFonts w:ascii="Verdana" w:hAnsi="Verdana"/>
        </w:rPr>
        <w:t>ii</w:t>
      </w:r>
      <w:proofErr w:type="spellEnd"/>
      <w:r w:rsidRPr="00BC2D0E">
        <w:rPr>
          <w:rFonts w:ascii="Verdana" w:hAnsi="Verdana"/>
        </w:rPr>
        <w:t>) exposição ou direitos sobre retornos variáveis decorrentes de seu envolvimento com a investida; e</w:t>
      </w:r>
    </w:p>
    <w:p w14:paraId="4465548A" w14:textId="77777777" w:rsidR="007B4BE1" w:rsidRPr="00BC2D0E" w:rsidRDefault="007B4BE1" w:rsidP="007B4BE1">
      <w:pPr>
        <w:autoSpaceDE w:val="0"/>
        <w:autoSpaceDN w:val="0"/>
        <w:adjustRightInd w:val="0"/>
        <w:spacing w:line="240" w:lineRule="auto"/>
        <w:jc w:val="both"/>
        <w:rPr>
          <w:rFonts w:ascii="Verdana" w:hAnsi="Verdana"/>
        </w:rPr>
      </w:pPr>
      <w:proofErr w:type="spellStart"/>
      <w:r w:rsidRPr="00BC2D0E">
        <w:rPr>
          <w:rFonts w:ascii="Verdana" w:hAnsi="Verdana"/>
        </w:rPr>
        <w:t>iii</w:t>
      </w:r>
      <w:proofErr w:type="spellEnd"/>
      <w:r w:rsidRPr="00BC2D0E">
        <w:rPr>
          <w:rFonts w:ascii="Verdana" w:hAnsi="Verdana"/>
        </w:rPr>
        <w:t>) a capacidade de utilizar seu poder sobre a investida para afetar o valor de seus retornos.</w:t>
      </w:r>
    </w:p>
    <w:p w14:paraId="7E6919E8" w14:textId="77777777" w:rsidR="007B4BE1" w:rsidRPr="00F7132F" w:rsidRDefault="007B4BE1" w:rsidP="007B4BE1">
      <w:pPr>
        <w:jc w:val="both"/>
        <w:rPr>
          <w:rFonts w:ascii="Verdana" w:hAnsi="Verdana" w:cstheme="minorHAnsi"/>
          <w:b/>
          <w:bdr w:val="nil"/>
        </w:rPr>
      </w:pPr>
      <w:r w:rsidRPr="00F7132F">
        <w:rPr>
          <w:rFonts w:ascii="Verdana" w:hAnsi="Verdana" w:cstheme="minorHAnsi"/>
          <w:b/>
          <w:bdr w:val="nil"/>
        </w:rPr>
        <w:t>2.4.11 – Imobilizado</w:t>
      </w:r>
    </w:p>
    <w:p w14:paraId="2113C914" w14:textId="77777777" w:rsidR="007B4BE1" w:rsidRPr="00BC2D0E" w:rsidRDefault="007B4BE1" w:rsidP="007B4BE1">
      <w:pPr>
        <w:widowControl w:val="0"/>
        <w:autoSpaceDE w:val="0"/>
        <w:autoSpaceDN w:val="0"/>
        <w:jc w:val="both"/>
        <w:rPr>
          <w:rFonts w:ascii="Verdana" w:hAnsi="Verdana"/>
        </w:rPr>
      </w:pPr>
      <w:r w:rsidRPr="00BC2D0E">
        <w:rPr>
          <w:rFonts w:ascii="Verdana" w:hAnsi="Verdana"/>
        </w:rPr>
        <w:t xml:space="preserve">O imobilizado é mensurado pelo custo histórico deduzido da depreciação acumulada. O custo histórico inclui os gastos diretamente atribuídos à aquisição dos ativos e, no caso de ativos qualificáveis, também inclui os custos de empréstimos capitalizados de acordo com a política contábil da Companhia. Tais imobilizações são classificadas nas categorias adequadas do imobilizado quando concluídas e prontas para o uso pretendido. </w:t>
      </w:r>
    </w:p>
    <w:p w14:paraId="0F15B80B" w14:textId="77777777" w:rsidR="007B4BE1" w:rsidRPr="00BC2D0E" w:rsidRDefault="007B4BE1" w:rsidP="007B4BE1">
      <w:pPr>
        <w:tabs>
          <w:tab w:val="left" w:pos="1134"/>
          <w:tab w:val="left" w:pos="1418"/>
          <w:tab w:val="left" w:pos="1701"/>
          <w:tab w:val="left" w:pos="1985"/>
          <w:tab w:val="left" w:pos="2268"/>
        </w:tabs>
        <w:jc w:val="both"/>
        <w:rPr>
          <w:rFonts w:ascii="Verdana" w:hAnsi="Verdana"/>
        </w:rPr>
      </w:pPr>
      <w:r w:rsidRPr="00BC2D0E">
        <w:rPr>
          <w:rFonts w:ascii="Verdana" w:hAnsi="Verdana"/>
        </w:rPr>
        <w:lastRenderedPageBreak/>
        <w:t xml:space="preserve">Os itens do ativo imobilizado referem-se substancialmente à infraestrutura para geração de energia elétrica e ativos corporativos. </w:t>
      </w:r>
    </w:p>
    <w:p w14:paraId="4F42452D" w14:textId="77777777" w:rsidR="007B4BE1" w:rsidRPr="00BC2D0E" w:rsidRDefault="007B4BE1" w:rsidP="007B4BE1">
      <w:pPr>
        <w:widowControl w:val="0"/>
        <w:autoSpaceDE w:val="0"/>
        <w:autoSpaceDN w:val="0"/>
        <w:jc w:val="both"/>
        <w:rPr>
          <w:rFonts w:ascii="Verdana" w:hAnsi="Verdana"/>
        </w:rPr>
      </w:pPr>
      <w:r w:rsidRPr="00BC2D0E">
        <w:rPr>
          <w:rFonts w:ascii="Verdana" w:hAnsi="Verdana"/>
        </w:rPr>
        <w:t xml:space="preserve">A depreciação desses ativos inicia-se quando eles estão prontos para o uso e em operação.  A depreciação reconhecida é mensurada com base na vida útil estimada de cada ativo pelo método linear, de modo que o valor do custo menos o seu valor residual após sua vida útil esteja integralmente baixado. A Companhia considera que a vida útil estimada de cada ativo é semelhante às taxas de depreciação determinadas pela Aneel, as quais são tidas pelo mercado como aceitáveis por expressar adequadamente o tempo de vida útil dos bens. </w:t>
      </w:r>
    </w:p>
    <w:p w14:paraId="3C64BE9E" w14:textId="77777777" w:rsidR="007B4BE1" w:rsidRPr="00BC2D0E" w:rsidRDefault="007B4BE1" w:rsidP="007B4BE1">
      <w:pPr>
        <w:widowControl w:val="0"/>
        <w:autoSpaceDE w:val="0"/>
        <w:autoSpaceDN w:val="0"/>
        <w:jc w:val="both"/>
        <w:rPr>
          <w:rFonts w:ascii="Verdana" w:hAnsi="Verdana"/>
        </w:rPr>
      </w:pPr>
      <w:r w:rsidRPr="00BC2D0E">
        <w:rPr>
          <w:rFonts w:ascii="Verdana" w:hAnsi="Verdana"/>
        </w:rPr>
        <w:t>Os ativos de Direito de Uso são depreciados pela vida útil esperada da mesma forma que os ativos próprios ou por um período inferior, se aplicável, conforme termos do contrato de arrendamento em questão.</w:t>
      </w:r>
    </w:p>
    <w:p w14:paraId="7FF1831E" w14:textId="77777777" w:rsidR="007B4BE1" w:rsidRPr="00BC2D0E" w:rsidRDefault="007B4BE1" w:rsidP="007B4BE1">
      <w:pPr>
        <w:jc w:val="both"/>
        <w:rPr>
          <w:rFonts w:ascii="Verdana" w:hAnsi="Verdana"/>
        </w:rPr>
      </w:pPr>
      <w:r w:rsidRPr="00BC2D0E">
        <w:rPr>
          <w:rFonts w:ascii="Verdana" w:hAnsi="Verdana"/>
        </w:rPr>
        <w:t>Os custos subsequentes são incluídos no valor contábil do ativo ou reconhecidos como um ativo separado somente quando forem prováveis que fluam benefícios econômicos futuros associados ao item e que o custo do item possa ser mensurado com segurança. O valor contábil de itens ou peças substituíd</w:t>
      </w:r>
      <w:r w:rsidR="00385A93" w:rsidRPr="00BC2D0E">
        <w:rPr>
          <w:rFonts w:ascii="Verdana" w:hAnsi="Verdana"/>
        </w:rPr>
        <w:t>a</w:t>
      </w:r>
      <w:r w:rsidRPr="00BC2D0E">
        <w:rPr>
          <w:rFonts w:ascii="Verdana" w:hAnsi="Verdana"/>
        </w:rPr>
        <w:t xml:space="preserve">s é baixado. </w:t>
      </w:r>
    </w:p>
    <w:p w14:paraId="6F40204A" w14:textId="77777777" w:rsidR="007B4BE1" w:rsidRPr="00BC2D0E" w:rsidRDefault="007B4BE1" w:rsidP="007B4BE1">
      <w:pPr>
        <w:jc w:val="both"/>
        <w:rPr>
          <w:rFonts w:ascii="Verdana" w:hAnsi="Verdana"/>
        </w:rPr>
      </w:pPr>
      <w:r w:rsidRPr="00BC2D0E">
        <w:rPr>
          <w:rFonts w:ascii="Verdana" w:hAnsi="Verdana"/>
        </w:rPr>
        <w:t>Todos os outros reparos e manutenções são lançados em contrapartida ao resultado do exercício, quando incorridos.</w:t>
      </w:r>
    </w:p>
    <w:p w14:paraId="0A23A39B" w14:textId="77777777" w:rsidR="007B4BE1" w:rsidRPr="00BC2D0E" w:rsidRDefault="007B4BE1" w:rsidP="007B4BE1">
      <w:pPr>
        <w:jc w:val="both"/>
        <w:rPr>
          <w:rFonts w:ascii="Verdana" w:hAnsi="Verdana"/>
        </w:rPr>
      </w:pPr>
      <w:r w:rsidRPr="00BC2D0E">
        <w:rPr>
          <w:rFonts w:ascii="Verdana" w:hAnsi="Verdana"/>
        </w:rPr>
        <w:t>Os custos do imobilizado incluem a estimativa de custos de desmobilização de suas unidades operativas, nos termos do que estabelece o Pronunciamento Técnico CPC 27 - Ativo imobilizado (</w:t>
      </w:r>
      <w:r w:rsidR="00955D7C">
        <w:rPr>
          <w:rFonts w:ascii="Verdana" w:hAnsi="Verdana"/>
        </w:rPr>
        <w:t>N</w:t>
      </w:r>
      <w:r w:rsidRPr="00BC2D0E">
        <w:rPr>
          <w:rFonts w:ascii="Verdana" w:hAnsi="Verdana"/>
        </w:rPr>
        <w:t xml:space="preserve">ota </w:t>
      </w:r>
      <w:r w:rsidR="00F06879" w:rsidRPr="00BC2D0E">
        <w:rPr>
          <w:rFonts w:ascii="Verdana" w:hAnsi="Verdana"/>
        </w:rPr>
        <w:t>1</w:t>
      </w:r>
      <w:r w:rsidR="00E75271">
        <w:rPr>
          <w:rFonts w:ascii="Verdana" w:hAnsi="Verdana"/>
        </w:rPr>
        <w:t>2</w:t>
      </w:r>
      <w:r w:rsidRPr="00BC2D0E">
        <w:rPr>
          <w:rFonts w:ascii="Verdana" w:hAnsi="Verdana"/>
        </w:rPr>
        <w:t>).</w:t>
      </w:r>
    </w:p>
    <w:p w14:paraId="14483A5E" w14:textId="77777777" w:rsidR="007B4BE1" w:rsidRPr="00BC2D0E" w:rsidRDefault="007B4BE1" w:rsidP="007B4BE1">
      <w:pPr>
        <w:widowControl w:val="0"/>
        <w:autoSpaceDE w:val="0"/>
        <w:autoSpaceDN w:val="0"/>
        <w:jc w:val="both"/>
        <w:rPr>
          <w:rFonts w:ascii="Verdana" w:hAnsi="Verdana"/>
        </w:rPr>
      </w:pPr>
      <w:r w:rsidRPr="00BC2D0E">
        <w:rPr>
          <w:rFonts w:ascii="Verdana" w:hAnsi="Verdana"/>
        </w:rPr>
        <w:t>Os ganhos e as perdas de alienações são determinados pela comparação dos resultados com o valor contábil e são reconhecidos em "outras receitas (despesas) operacionais, líquidos" na demonstração do resultado.</w:t>
      </w:r>
    </w:p>
    <w:p w14:paraId="31F3DF72" w14:textId="77777777" w:rsidR="007B4BE1" w:rsidRPr="00F7132F" w:rsidRDefault="007B4BE1" w:rsidP="007B4BE1">
      <w:pPr>
        <w:jc w:val="both"/>
        <w:rPr>
          <w:rFonts w:ascii="Verdana" w:hAnsi="Verdana" w:cstheme="minorHAnsi"/>
          <w:b/>
          <w:bdr w:val="nil"/>
        </w:rPr>
      </w:pPr>
      <w:r w:rsidRPr="00F7132F">
        <w:rPr>
          <w:rFonts w:ascii="Verdana" w:hAnsi="Verdana" w:cstheme="minorHAnsi"/>
          <w:b/>
          <w:bdr w:val="nil"/>
        </w:rPr>
        <w:t>2.4.12 – Intangível</w:t>
      </w:r>
    </w:p>
    <w:p w14:paraId="73CFF433" w14:textId="77777777" w:rsidR="007B4BE1" w:rsidRPr="00BC2D0E" w:rsidRDefault="007B4BE1" w:rsidP="00F7132F">
      <w:pPr>
        <w:widowControl w:val="0"/>
        <w:autoSpaceDE w:val="0"/>
        <w:autoSpaceDN w:val="0"/>
        <w:jc w:val="both"/>
        <w:rPr>
          <w:b/>
        </w:rPr>
      </w:pPr>
      <w:r w:rsidRPr="00BC2D0E">
        <w:rPr>
          <w:rFonts w:ascii="Verdana" w:hAnsi="Verdana"/>
        </w:rPr>
        <w:t>Ativos intangíveis com vida útil definida adquiridos separadamente são registrados ao custo, deduzido da amortização e das perdas por redução ao valor recuperável acumuladas. A amortização é reconhecida pelo método linear com base na vida útil estimada dos ativos. A vida útil estimada e o método de amortização são revisados no fim de cada exercício e o efeito de eventuais mudanças nas estimativas é contabilizado prospectivamente. Ativos intangíveis com vida útil indefinida adquiridos separadamente são registrados ao custo, deduzidos das perdas por redução ao valor recuperável acumuladas.</w:t>
      </w:r>
    </w:p>
    <w:p w14:paraId="0BD835ED" w14:textId="77777777" w:rsidR="007B4BE1" w:rsidRPr="00F7132F" w:rsidRDefault="007B4BE1" w:rsidP="007B4BE1">
      <w:pPr>
        <w:autoSpaceDE w:val="0"/>
        <w:autoSpaceDN w:val="0"/>
        <w:adjustRightInd w:val="0"/>
        <w:spacing w:line="240" w:lineRule="auto"/>
        <w:jc w:val="both"/>
        <w:rPr>
          <w:rFonts w:ascii="Verdana" w:hAnsi="Verdana"/>
          <w:b/>
        </w:rPr>
      </w:pPr>
      <w:r w:rsidRPr="00F7132F">
        <w:rPr>
          <w:rFonts w:ascii="Verdana" w:hAnsi="Verdana" w:cstheme="minorHAnsi"/>
          <w:b/>
          <w:bdr w:val="nil"/>
        </w:rPr>
        <w:t>2.4.13 – Fornecedores</w:t>
      </w:r>
    </w:p>
    <w:p w14:paraId="00998012" w14:textId="299E0FFC" w:rsidR="007B4BE1" w:rsidRDefault="007B4BE1" w:rsidP="007B4BE1">
      <w:pPr>
        <w:autoSpaceDE w:val="0"/>
        <w:autoSpaceDN w:val="0"/>
        <w:adjustRightInd w:val="0"/>
        <w:spacing w:line="240" w:lineRule="auto"/>
        <w:jc w:val="both"/>
        <w:rPr>
          <w:rFonts w:ascii="Verdana" w:hAnsi="Verdana"/>
        </w:rPr>
      </w:pPr>
      <w:r w:rsidRPr="00BC2D0E">
        <w:rPr>
          <w:rFonts w:ascii="Verdana" w:hAnsi="Verdana"/>
        </w:rPr>
        <w:t xml:space="preserve">São reconhecidas as obrigações relacionadas com encargos de uso da rede elétrica, e compras de bens, mercadorias (material, combustível nuclear e etc.) e de serviços. </w:t>
      </w:r>
      <w:r w:rsidRPr="00934DD6">
        <w:rPr>
          <w:rFonts w:ascii="Verdana" w:hAnsi="Verdana"/>
        </w:rPr>
        <w:t xml:space="preserve">A rubrica de fornecedores é mensurada a custo amortizado, os passivos são baixados mediante a liquidação do título e as variações cambiais/monetárias são reconhecidas </w:t>
      </w:r>
      <w:r w:rsidRPr="00BC2D0E">
        <w:rPr>
          <w:rFonts w:ascii="Verdana" w:hAnsi="Verdana"/>
        </w:rPr>
        <w:t>no resultado financeiro.</w:t>
      </w:r>
    </w:p>
    <w:p w14:paraId="2FD80932" w14:textId="77777777" w:rsidR="00B63957" w:rsidRPr="00BC2D0E" w:rsidRDefault="00B63957" w:rsidP="007B4BE1">
      <w:pPr>
        <w:autoSpaceDE w:val="0"/>
        <w:autoSpaceDN w:val="0"/>
        <w:adjustRightInd w:val="0"/>
        <w:spacing w:line="240" w:lineRule="auto"/>
        <w:jc w:val="both"/>
        <w:rPr>
          <w:rFonts w:ascii="Verdana" w:hAnsi="Verdana"/>
        </w:rPr>
      </w:pPr>
    </w:p>
    <w:p w14:paraId="1BD2E425" w14:textId="77777777" w:rsidR="007B4BE1" w:rsidRPr="00F7132F" w:rsidRDefault="007B4BE1" w:rsidP="007B4BE1">
      <w:pPr>
        <w:autoSpaceDE w:val="0"/>
        <w:autoSpaceDN w:val="0"/>
        <w:adjustRightInd w:val="0"/>
        <w:spacing w:line="240" w:lineRule="auto"/>
        <w:jc w:val="both"/>
        <w:rPr>
          <w:rFonts w:ascii="Verdana" w:hAnsi="Verdana"/>
          <w:b/>
        </w:rPr>
      </w:pPr>
      <w:r w:rsidRPr="00F7132F">
        <w:rPr>
          <w:rFonts w:ascii="Verdana" w:hAnsi="Verdana" w:cstheme="minorHAnsi"/>
          <w:b/>
          <w:bdr w:val="nil"/>
        </w:rPr>
        <w:lastRenderedPageBreak/>
        <w:t>2.4.14 – Empréstimos e financiamentos</w:t>
      </w:r>
    </w:p>
    <w:p w14:paraId="04871C5D" w14:textId="6F58C0B4" w:rsidR="007B4BE1" w:rsidRPr="00BC2D0E" w:rsidRDefault="007B4BE1" w:rsidP="007B4BE1">
      <w:pPr>
        <w:autoSpaceDE w:val="0"/>
        <w:autoSpaceDN w:val="0"/>
        <w:adjustRightInd w:val="0"/>
        <w:spacing w:line="240" w:lineRule="auto"/>
        <w:jc w:val="both"/>
        <w:rPr>
          <w:rFonts w:ascii="Verdana" w:hAnsi="Verdana"/>
        </w:rPr>
      </w:pPr>
      <w:r w:rsidRPr="00BC2D0E">
        <w:rPr>
          <w:rFonts w:ascii="Verdana" w:hAnsi="Verdana"/>
        </w:rPr>
        <w:t xml:space="preserve">Os empréstimos e financiamentos são reconhecidos incialmente pelo valor justo menos os custos de transação diretamente atribuíveis, e subsequentemente mensurados ao custo amortizado, utilizando o método dos juros efetivos. Quando os seus termos contratuais são modificados e tal modificação não for substancial, seus saldos contábeis refletirão o valor presente dos seus fluxos de caixa sob os novos termos, utilizando a taxa de juros efetiva original. A diferença entre o saldo contábil do instrumento </w:t>
      </w:r>
      <w:proofErr w:type="spellStart"/>
      <w:r w:rsidRPr="00BC2D0E">
        <w:rPr>
          <w:rFonts w:ascii="Verdana" w:hAnsi="Verdana"/>
        </w:rPr>
        <w:t>remensurado</w:t>
      </w:r>
      <w:proofErr w:type="spellEnd"/>
      <w:r w:rsidRPr="00BC2D0E">
        <w:rPr>
          <w:rFonts w:ascii="Verdana" w:hAnsi="Verdana"/>
        </w:rPr>
        <w:t xml:space="preserve"> quando da modificação não substancial dos seus termos e seu saldo contábil imediatamente anterior a tal modificação é reconhecida como ganho ou perda no resultado do exercício. Quando tal modificação for substancial, o financiamento original é extinto e reconhecido um novo passivo financeiro, com impacto no resultado </w:t>
      </w:r>
      <w:proofErr w:type="spellStart"/>
      <w:r w:rsidRPr="00BC2D0E">
        <w:rPr>
          <w:rFonts w:ascii="Verdana" w:hAnsi="Verdana"/>
        </w:rPr>
        <w:t>do</w:t>
      </w:r>
      <w:r w:rsidR="004A4C3A">
        <w:rPr>
          <w:rFonts w:ascii="Verdana" w:hAnsi="Verdana"/>
        </w:rPr>
        <w:t>período</w:t>
      </w:r>
      <w:proofErr w:type="spellEnd"/>
      <w:r w:rsidRPr="00BC2D0E">
        <w:rPr>
          <w:rFonts w:ascii="Verdana" w:hAnsi="Verdana"/>
        </w:rPr>
        <w:t>.</w:t>
      </w:r>
    </w:p>
    <w:p w14:paraId="4E57CE40" w14:textId="77777777" w:rsidR="007B4BE1" w:rsidRPr="00F7132F" w:rsidRDefault="007B4BE1" w:rsidP="007B4BE1">
      <w:pPr>
        <w:jc w:val="both"/>
        <w:rPr>
          <w:rFonts w:ascii="Verdana" w:hAnsi="Verdana" w:cstheme="minorHAnsi"/>
          <w:b/>
          <w:bdr w:val="nil"/>
        </w:rPr>
      </w:pPr>
      <w:r w:rsidRPr="00F7132F">
        <w:rPr>
          <w:rFonts w:ascii="Verdana" w:hAnsi="Verdana" w:cstheme="minorHAnsi"/>
          <w:b/>
          <w:bdr w:val="nil"/>
        </w:rPr>
        <w:t>2.4.15 – Obrigações estimadas</w:t>
      </w:r>
    </w:p>
    <w:p w14:paraId="199040C3" w14:textId="77777777" w:rsidR="007B4BE1" w:rsidRPr="00BC2D0E" w:rsidRDefault="007B4BE1" w:rsidP="007B4BE1">
      <w:pPr>
        <w:autoSpaceDE w:val="0"/>
        <w:autoSpaceDN w:val="0"/>
        <w:adjustRightInd w:val="0"/>
        <w:spacing w:line="240" w:lineRule="auto"/>
        <w:jc w:val="both"/>
        <w:rPr>
          <w:rFonts w:ascii="Verdana" w:hAnsi="Verdana"/>
        </w:rPr>
      </w:pPr>
      <w:r w:rsidRPr="00BC2D0E">
        <w:rPr>
          <w:rFonts w:ascii="Verdana" w:hAnsi="Verdana"/>
        </w:rPr>
        <w:t>Os pagamentos de benefícios tais como salário ou férias, bem como os respectivos encargos trabalhistas incidentes sobre estes benefícios são reconhecidos mensalmente no resultado, respeitando o regime de competência.</w:t>
      </w:r>
    </w:p>
    <w:p w14:paraId="4E1129FE" w14:textId="77777777" w:rsidR="007B4BE1" w:rsidRPr="00955D7C" w:rsidRDefault="007B4BE1" w:rsidP="007B4BE1">
      <w:pPr>
        <w:jc w:val="both"/>
        <w:rPr>
          <w:rFonts w:ascii="Verdana" w:hAnsi="Verdana" w:cstheme="minorHAnsi"/>
          <w:b/>
          <w:bdr w:val="nil"/>
        </w:rPr>
      </w:pPr>
      <w:r w:rsidRPr="00955D7C">
        <w:rPr>
          <w:rFonts w:ascii="Verdana" w:hAnsi="Verdana" w:cstheme="minorHAnsi"/>
          <w:b/>
          <w:bdr w:val="nil"/>
        </w:rPr>
        <w:t>2.4.16 – Encargos setoriais</w:t>
      </w:r>
    </w:p>
    <w:p w14:paraId="0384D51C" w14:textId="77777777" w:rsidR="007B4BE1" w:rsidRPr="00F7132F" w:rsidRDefault="007B4BE1" w:rsidP="00F7132F">
      <w:pPr>
        <w:widowControl w:val="0"/>
        <w:autoSpaceDE w:val="0"/>
        <w:autoSpaceDN w:val="0"/>
        <w:jc w:val="both"/>
        <w:rPr>
          <w:rFonts w:ascii="Verdana" w:hAnsi="Verdana"/>
          <w:bdr w:val="nil"/>
        </w:rPr>
      </w:pPr>
      <w:r w:rsidRPr="00F7132F">
        <w:rPr>
          <w:rFonts w:ascii="Verdana" w:hAnsi="Verdana"/>
          <w:bdr w:val="nil"/>
        </w:rPr>
        <w:t>Os encargos setoriais são reconhecidos como obrigações a recolher, derivadas dos encargos estabelecidos em lei e são registrados na rubrica de passivo circulante de acordo com a competência.</w:t>
      </w:r>
    </w:p>
    <w:p w14:paraId="19F052DD" w14:textId="77777777" w:rsidR="007B4BE1" w:rsidRPr="00F7132F" w:rsidRDefault="007B4BE1" w:rsidP="007B4BE1">
      <w:pPr>
        <w:jc w:val="both"/>
        <w:rPr>
          <w:rFonts w:ascii="Verdana" w:hAnsi="Verdana" w:cstheme="minorHAnsi"/>
          <w:b/>
          <w:bdr w:val="nil"/>
        </w:rPr>
      </w:pPr>
      <w:r w:rsidRPr="00F7132F">
        <w:rPr>
          <w:rFonts w:ascii="Verdana" w:hAnsi="Verdana" w:cstheme="minorHAnsi"/>
          <w:b/>
          <w:bdr w:val="nil"/>
        </w:rPr>
        <w:t>2.4.17 – Benefício pós-emprego</w:t>
      </w:r>
    </w:p>
    <w:p w14:paraId="33A7AAE6" w14:textId="77777777" w:rsidR="007B4BE1" w:rsidRPr="00F7132F" w:rsidRDefault="007B4BE1" w:rsidP="007B4BE1">
      <w:pPr>
        <w:jc w:val="both"/>
        <w:rPr>
          <w:rFonts w:ascii="Verdana" w:hAnsi="Verdana" w:cstheme="minorHAnsi"/>
          <w:b/>
          <w:bdr w:val="nil"/>
        </w:rPr>
      </w:pPr>
      <w:r w:rsidRPr="00F7132F">
        <w:rPr>
          <w:rFonts w:ascii="Verdana" w:hAnsi="Verdana" w:cstheme="minorHAnsi"/>
          <w:b/>
          <w:bdr w:val="nil"/>
        </w:rPr>
        <w:t>2.4.17.1 – Obrigações de aposentadoria</w:t>
      </w:r>
    </w:p>
    <w:p w14:paraId="4253FF63" w14:textId="77777777" w:rsidR="007B4BE1" w:rsidRPr="00BC2D0E" w:rsidRDefault="007B4BE1" w:rsidP="007B4BE1">
      <w:pPr>
        <w:widowControl w:val="0"/>
        <w:autoSpaceDE w:val="0"/>
        <w:autoSpaceDN w:val="0"/>
        <w:jc w:val="both"/>
        <w:rPr>
          <w:rFonts w:ascii="Verdana" w:hAnsi="Verdana"/>
          <w:bdr w:val="nil"/>
        </w:rPr>
      </w:pPr>
      <w:r w:rsidRPr="00BC2D0E">
        <w:rPr>
          <w:rFonts w:ascii="Verdana" w:hAnsi="Verdana"/>
          <w:bdr w:val="nil"/>
        </w:rPr>
        <w:t>A controlada Eletronuclear patrocina planos de pensão, os quais são geralmente financiados por pagamentos a estes fundos de pensão, determinados por cálculos atuariais periódicos. A controlada Eletronuclear possui planos de benefício definido e, também, de contribuição definida. Nos planos de contribuição definida, a controlada Eletronuclear faz contribuições fixas a uma entidade separada. Adicionalmente, não tem obrigações legais nem construtivas de fazer contribuições, se o fundo não possuir ativos suficientes para pagar, a todos os empregados, os benefícios relacionados com os serviços prestados nos exercícios correntes e anteriores atrelados a essa modalidade de plano. Um plano de benefício definido é diferente de um plano de contribuição definida, visto que, em tais planos de benefício definido, é estabelecido um valor de benefício de aposentadoria que um empregado receberá em sua aposentadoria, normalmente dependente de um ou mais fatores, como idade, tempo de serviço e remuneração. Nesse tipo de plano, a controlada Eletronuclear tem a obrigação de honrar com o compromisso assumido, caso o fundo não possua ativos suficientes para pagar, a todos os empregados, os benefícios relacionados com os serviços prestados nos exercícios correntes e anteriores atrelados a essa modalidade de plano.</w:t>
      </w:r>
    </w:p>
    <w:p w14:paraId="2B795DE5" w14:textId="77777777" w:rsidR="007B4BE1" w:rsidRPr="00BC2D0E" w:rsidRDefault="007B4BE1" w:rsidP="007B4BE1">
      <w:pPr>
        <w:widowControl w:val="0"/>
        <w:autoSpaceDE w:val="0"/>
        <w:autoSpaceDN w:val="0"/>
        <w:jc w:val="both"/>
        <w:rPr>
          <w:rFonts w:ascii="Verdana" w:hAnsi="Verdana"/>
          <w:bdr w:val="nil"/>
        </w:rPr>
      </w:pPr>
      <w:r w:rsidRPr="00BC2D0E">
        <w:rPr>
          <w:rFonts w:ascii="Verdana" w:hAnsi="Verdana"/>
          <w:bdr w:val="nil"/>
        </w:rPr>
        <w:t xml:space="preserve">O passivo reconhecido no Balanço Patrimonial, com relação aos planos de benefício definido, é o valor presente da obrigação de benefício definido na data do balanço, menos o valor justo dos ativos do plano. A obrigação de benefício definido é calculada </w:t>
      </w:r>
      <w:r w:rsidRPr="00BC2D0E">
        <w:rPr>
          <w:rFonts w:ascii="Verdana" w:hAnsi="Verdana"/>
          <w:bdr w:val="nil"/>
        </w:rPr>
        <w:lastRenderedPageBreak/>
        <w:t xml:space="preserve">anualmente por atuários independentes, usando o método do crédito unitário projetado. O valor presente da obrigação de benefício definido é determinado mediante o desconto das saídas futuras estimadas de caixa. As taxas de juros utilizadas nesse desconto são condizentes com os títulos de mercado, os quais são denominados na moeda em que os benefícios serão pagos e que tenham prazos de vencimento próximos daqueles da respectiva obrigação do plano de pensão. </w:t>
      </w:r>
    </w:p>
    <w:p w14:paraId="6A13E75E" w14:textId="77777777" w:rsidR="007B4BE1" w:rsidRPr="00BC2D0E" w:rsidRDefault="007B4BE1" w:rsidP="007B4BE1">
      <w:pPr>
        <w:widowControl w:val="0"/>
        <w:autoSpaceDE w:val="0"/>
        <w:autoSpaceDN w:val="0"/>
        <w:jc w:val="both"/>
        <w:rPr>
          <w:rFonts w:ascii="Verdana" w:hAnsi="Verdana"/>
          <w:bdr w:val="nil"/>
        </w:rPr>
      </w:pPr>
      <w:r w:rsidRPr="00BC2D0E">
        <w:rPr>
          <w:rFonts w:ascii="Verdana" w:hAnsi="Verdana"/>
          <w:bdr w:val="nil"/>
        </w:rPr>
        <w:t>Os ganhos e as perdas atuariais são decorrentes substancialmente de ajustes, nas mudanças das premissas atuariais e nos rendimentos dos ativos do plano, e são debitados ou creditados em outros resultados abrangentes.</w:t>
      </w:r>
    </w:p>
    <w:p w14:paraId="189FDE70" w14:textId="77777777" w:rsidR="007B4BE1" w:rsidRPr="00BC2D0E" w:rsidRDefault="007B4BE1" w:rsidP="007B4BE1">
      <w:pPr>
        <w:widowControl w:val="0"/>
        <w:autoSpaceDE w:val="0"/>
        <w:autoSpaceDN w:val="0"/>
        <w:jc w:val="both"/>
        <w:rPr>
          <w:rFonts w:ascii="Verdana" w:hAnsi="Verdana"/>
          <w:bdr w:val="nil"/>
        </w:rPr>
      </w:pPr>
      <w:r w:rsidRPr="00BC2D0E">
        <w:rPr>
          <w:rFonts w:ascii="Verdana" w:hAnsi="Verdana"/>
          <w:bdr w:val="nil"/>
        </w:rPr>
        <w:t xml:space="preserve">Os custos de serviços passados são imediatamente reconhecidos no resultado no período de ocorrência de uma alteração do plano. </w:t>
      </w:r>
    </w:p>
    <w:p w14:paraId="482527A2" w14:textId="77777777" w:rsidR="007B4BE1" w:rsidRPr="00BC2D0E" w:rsidRDefault="007B4BE1" w:rsidP="007B4BE1">
      <w:pPr>
        <w:widowControl w:val="0"/>
        <w:autoSpaceDE w:val="0"/>
        <w:autoSpaceDN w:val="0"/>
        <w:jc w:val="both"/>
        <w:rPr>
          <w:rFonts w:ascii="Verdana" w:hAnsi="Verdana"/>
          <w:bdr w:val="nil"/>
        </w:rPr>
      </w:pPr>
      <w:r w:rsidRPr="00BC2D0E">
        <w:rPr>
          <w:rFonts w:ascii="Verdana" w:hAnsi="Verdana"/>
          <w:bdr w:val="nil"/>
        </w:rPr>
        <w:t>Com relação aos planos de contribuição definida, a controlada Eletronuclear efetua o pagamento das contribuições de forma obrigatória, contratual ou voluntária. A controlada Eletronuclear não tem qualquer obrigação adicional de pagamento depois que a contribuição é efetuada. As contribuições são reconhecidas como despesa de benefícios a empregados, quando devidas. As contribuições feitas antecipadamente são reconhecidas como um ativo na proporção em que um reembolso em dinheiro ou uma redução dos pagamentos futuros estiver disponível.</w:t>
      </w:r>
    </w:p>
    <w:p w14:paraId="546E4D7D" w14:textId="77777777" w:rsidR="007B4BE1" w:rsidRPr="00F7132F" w:rsidRDefault="007B4BE1" w:rsidP="007B4BE1">
      <w:pPr>
        <w:jc w:val="both"/>
        <w:rPr>
          <w:rFonts w:ascii="Verdana" w:hAnsi="Verdana"/>
          <w:b/>
          <w:bdr w:val="nil"/>
        </w:rPr>
      </w:pPr>
      <w:r w:rsidRPr="00F7132F">
        <w:rPr>
          <w:rFonts w:ascii="Verdana" w:hAnsi="Verdana" w:cstheme="minorHAnsi"/>
          <w:b/>
          <w:bdr w:val="nil"/>
        </w:rPr>
        <w:t>2.4.17.2 – Outras obrigações pós-emprego</w:t>
      </w:r>
      <w:r w:rsidRPr="00F7132F">
        <w:rPr>
          <w:rFonts w:ascii="Verdana" w:hAnsi="Verdana"/>
          <w:b/>
          <w:bdr w:val="nil"/>
        </w:rPr>
        <w:t xml:space="preserve"> </w:t>
      </w:r>
    </w:p>
    <w:p w14:paraId="269F93DF" w14:textId="77777777" w:rsidR="007B4BE1" w:rsidRPr="00BC2D0E" w:rsidRDefault="007B4BE1" w:rsidP="007B4BE1">
      <w:pPr>
        <w:widowControl w:val="0"/>
        <w:autoSpaceDE w:val="0"/>
        <w:autoSpaceDN w:val="0"/>
        <w:jc w:val="both"/>
        <w:rPr>
          <w:rFonts w:ascii="Verdana" w:hAnsi="Verdana"/>
          <w:bdr w:val="nil"/>
        </w:rPr>
      </w:pPr>
      <w:r w:rsidRPr="00BC2D0E">
        <w:rPr>
          <w:rFonts w:ascii="Verdana" w:hAnsi="Verdana"/>
          <w:bdr w:val="nil"/>
        </w:rPr>
        <w:t>A controlada Eletronuclear oferece benefício de assistência médica pós-aposentadoria a seus empregados, além de seguro de vida para ativos e inativos. O direito a esses benefícios é, geralmente, condicionado à permanência do empregado no emprego até a idade de aposentadoria e à conclusão de um tempo mínimo de serviço, ou à sua invalidez enquanto funcionário ativo.</w:t>
      </w:r>
    </w:p>
    <w:p w14:paraId="52F89539" w14:textId="77777777" w:rsidR="007B4BE1" w:rsidRPr="00BC2D0E" w:rsidRDefault="007B4BE1" w:rsidP="007B4BE1">
      <w:pPr>
        <w:widowControl w:val="0"/>
        <w:autoSpaceDE w:val="0"/>
        <w:autoSpaceDN w:val="0"/>
        <w:jc w:val="both"/>
        <w:rPr>
          <w:rFonts w:ascii="Verdana" w:hAnsi="Verdana"/>
          <w:bdr w:val="nil"/>
        </w:rPr>
      </w:pPr>
      <w:r w:rsidRPr="00BC2D0E">
        <w:rPr>
          <w:rFonts w:ascii="Verdana" w:hAnsi="Verdana"/>
          <w:bdr w:val="nil"/>
        </w:rPr>
        <w:t>Os custos esperados desses benefícios são acumulados durante o período do emprego, dispondo da mesma metodologia contábil que é usada para os planos de pensão de benefício definido. Os ganhos e as perdas atuariais, decorrentes de ajustes com base na experiência e nas mudanças das premissas atuariais, são debitados ou creditados em outros resultados abrangentes, no período esperado de serviço remanescente dos funcionários. Essas obrigações são avaliadas, anualmente, por atuários independentes qualificados.</w:t>
      </w:r>
    </w:p>
    <w:p w14:paraId="258182ED" w14:textId="77777777" w:rsidR="007B4BE1" w:rsidRPr="00F7132F" w:rsidRDefault="007B4BE1" w:rsidP="007B4BE1">
      <w:pPr>
        <w:jc w:val="both"/>
        <w:rPr>
          <w:rFonts w:ascii="Verdana" w:hAnsi="Verdana"/>
          <w:b/>
          <w:bdr w:val="nil"/>
        </w:rPr>
      </w:pPr>
      <w:r w:rsidRPr="00F7132F">
        <w:rPr>
          <w:rFonts w:ascii="Verdana" w:hAnsi="Verdana" w:cstheme="minorHAnsi"/>
          <w:b/>
          <w:bdr w:val="nil"/>
        </w:rPr>
        <w:t>2.4.17.3 – Benefícios de Rescisão</w:t>
      </w:r>
    </w:p>
    <w:p w14:paraId="7488820E" w14:textId="77777777" w:rsidR="007B4BE1" w:rsidRDefault="007B4BE1" w:rsidP="007B4BE1">
      <w:pPr>
        <w:widowControl w:val="0"/>
        <w:autoSpaceDE w:val="0"/>
        <w:autoSpaceDN w:val="0"/>
        <w:jc w:val="both"/>
        <w:rPr>
          <w:rFonts w:ascii="Verdana" w:hAnsi="Verdana"/>
          <w:bdr w:val="nil"/>
        </w:rPr>
      </w:pPr>
      <w:r w:rsidRPr="00BC2D0E">
        <w:rPr>
          <w:rFonts w:ascii="Verdana" w:hAnsi="Verdana"/>
          <w:bdr w:val="nil"/>
        </w:rPr>
        <w:t>Os benefícios de rescisão são exigíveis quando o vínculo empregatício é encerrado antes da data normal de aposentadoria, ou sempre que um empregado aceitar a demissão voluntária em troca desses benefícios. A controlada Eletronuclear reconhece os benefícios de rescisão na primeira das seguintes datas: (i) quando a Eletronuclear não mais puder retirar a oferta desses benefícios; e (</w:t>
      </w:r>
      <w:proofErr w:type="spellStart"/>
      <w:r w:rsidRPr="00BC2D0E">
        <w:rPr>
          <w:rFonts w:ascii="Verdana" w:hAnsi="Verdana"/>
          <w:bdr w:val="nil"/>
        </w:rPr>
        <w:t>ii</w:t>
      </w:r>
      <w:proofErr w:type="spellEnd"/>
      <w:r w:rsidRPr="00BC2D0E">
        <w:rPr>
          <w:rFonts w:ascii="Verdana" w:hAnsi="Verdana"/>
          <w:bdr w:val="nil"/>
        </w:rPr>
        <w:t xml:space="preserve">) quando a Eletronuclear reconhecer custos de reestruturação que estejam no escopo do CPC 25/IAS 37 e envolvam o pagamento de benefícios de rescisão. No caso de uma oferta efetuada para incentivar a demissão voluntária, os benefícios de rescisão são mensurados com base no número de empregados que, segundo se espera, aceitarão </w:t>
      </w:r>
      <w:r w:rsidRPr="00BC2D0E">
        <w:rPr>
          <w:rFonts w:ascii="Verdana" w:hAnsi="Verdana"/>
          <w:bdr w:val="nil"/>
        </w:rPr>
        <w:lastRenderedPageBreak/>
        <w:t>a oferta. Os benefícios que vencerem após 12 meses da data do balanço são descontados a valor presente.</w:t>
      </w:r>
    </w:p>
    <w:p w14:paraId="33F249A0" w14:textId="77777777" w:rsidR="007B4BE1" w:rsidRPr="00F7132F" w:rsidRDefault="007B4BE1" w:rsidP="007B4BE1">
      <w:pPr>
        <w:jc w:val="both"/>
        <w:rPr>
          <w:rFonts w:ascii="Verdana" w:hAnsi="Verdana" w:cstheme="minorHAnsi"/>
          <w:b/>
          <w:bdr w:val="nil"/>
        </w:rPr>
      </w:pPr>
      <w:r w:rsidRPr="00F7132F">
        <w:rPr>
          <w:rFonts w:ascii="Verdana" w:hAnsi="Verdana" w:cstheme="minorHAnsi"/>
          <w:b/>
          <w:bdr w:val="nil"/>
        </w:rPr>
        <w:t>2.4.18 – Arrendamentos</w:t>
      </w:r>
    </w:p>
    <w:p w14:paraId="70FF4063" w14:textId="77777777" w:rsidR="007B4BE1" w:rsidRPr="00BC2D0E" w:rsidRDefault="007B4BE1" w:rsidP="007B4BE1">
      <w:pPr>
        <w:autoSpaceDE w:val="0"/>
        <w:autoSpaceDN w:val="0"/>
        <w:adjustRightInd w:val="0"/>
        <w:spacing w:line="240" w:lineRule="auto"/>
        <w:jc w:val="both"/>
        <w:rPr>
          <w:rFonts w:ascii="Verdana" w:hAnsi="Verdana" w:cs="Verdana"/>
        </w:rPr>
      </w:pPr>
      <w:r w:rsidRPr="00BC2D0E">
        <w:rPr>
          <w:rFonts w:ascii="Verdana" w:hAnsi="Verdana" w:cs="Verdana"/>
        </w:rPr>
        <w:t>A Companhia reconhece os passivos de arrendamentos mensurados pelo valor presente dos pagamentos dos arrendamentos sem refletir a inflação futura projetada. Os pagamentos são descontados pela taxa incremental sobre empréstimos da Companhia, visto que as taxas de juros implícitas nos contratos de arrendamento com terceiros normalmente não podem ser prontamente determinadas.</w:t>
      </w:r>
    </w:p>
    <w:p w14:paraId="0B55F7D3" w14:textId="77777777" w:rsidR="007B4BE1" w:rsidRPr="00BC2D0E" w:rsidRDefault="007B4BE1" w:rsidP="007B4BE1">
      <w:pPr>
        <w:autoSpaceDE w:val="0"/>
        <w:autoSpaceDN w:val="0"/>
        <w:adjustRightInd w:val="0"/>
        <w:spacing w:line="240" w:lineRule="auto"/>
        <w:jc w:val="both"/>
        <w:rPr>
          <w:rFonts w:ascii="Verdana" w:hAnsi="Verdana" w:cs="Verdana"/>
        </w:rPr>
      </w:pPr>
      <w:proofErr w:type="spellStart"/>
      <w:r w:rsidRPr="00BC2D0E">
        <w:rPr>
          <w:rFonts w:ascii="Verdana" w:hAnsi="Verdana" w:cs="Verdana"/>
        </w:rPr>
        <w:t>Remensurações</w:t>
      </w:r>
      <w:proofErr w:type="spellEnd"/>
      <w:r w:rsidRPr="00BC2D0E">
        <w:rPr>
          <w:rFonts w:ascii="Verdana" w:hAnsi="Verdana" w:cs="Verdana"/>
        </w:rPr>
        <w:t xml:space="preserve"> refletem alterações oriundas de índices ou taxas contratuais, bem como nos prazos dos arrendamentos devido a novas expectativas de prorrogações ou rescisões do arrendamento (com correspondente ajuste no direto de uso relacionado). As </w:t>
      </w:r>
      <w:proofErr w:type="spellStart"/>
      <w:r w:rsidRPr="00BC2D0E">
        <w:rPr>
          <w:rFonts w:ascii="Verdana" w:hAnsi="Verdana" w:cs="Verdana"/>
        </w:rPr>
        <w:t>remensurações</w:t>
      </w:r>
      <w:proofErr w:type="spellEnd"/>
      <w:r w:rsidRPr="00BC2D0E">
        <w:rPr>
          <w:rFonts w:ascii="Verdana" w:hAnsi="Verdana" w:cs="Verdana"/>
        </w:rPr>
        <w:t xml:space="preserve"> são reconhecidas no passivo de arrendamento como ajuste ao ativo de direito de uso.</w:t>
      </w:r>
    </w:p>
    <w:p w14:paraId="7C1115D1" w14:textId="77777777" w:rsidR="007B4BE1" w:rsidRPr="00BC2D0E" w:rsidRDefault="007B4BE1" w:rsidP="007B4BE1">
      <w:pPr>
        <w:autoSpaceDE w:val="0"/>
        <w:autoSpaceDN w:val="0"/>
        <w:adjustRightInd w:val="0"/>
        <w:spacing w:line="240" w:lineRule="auto"/>
        <w:jc w:val="both"/>
        <w:rPr>
          <w:rFonts w:ascii="Verdana" w:hAnsi="Verdana" w:cs="Verdana"/>
        </w:rPr>
      </w:pPr>
      <w:r w:rsidRPr="00BC2D0E">
        <w:rPr>
          <w:rFonts w:ascii="Verdana" w:hAnsi="Verdana" w:cs="Verdana"/>
        </w:rPr>
        <w:t>Os juros e outras despesas financeiras são reconhecidos na demonstração do resultado durante o período do arrendamento, para produzir uma taxa periódica constante de juros sobre o saldo remanescente do passivo para cada período, enquanto os pagamentos reduzem o seu valor contábil. O direito de uso adquirido por meio de arrendamento financeiro está classificado no Ativo Não Circulante sendo depreciado pelo prazo do arrendamento.</w:t>
      </w:r>
    </w:p>
    <w:p w14:paraId="367EEDA9" w14:textId="77777777" w:rsidR="007B4BE1" w:rsidRPr="00F7132F" w:rsidRDefault="007B4BE1" w:rsidP="007B4BE1">
      <w:pPr>
        <w:jc w:val="both"/>
        <w:rPr>
          <w:rFonts w:ascii="Verdana" w:hAnsi="Verdana" w:cstheme="minorHAnsi"/>
          <w:b/>
          <w:bdr w:val="nil"/>
        </w:rPr>
      </w:pPr>
      <w:r w:rsidRPr="00F7132F">
        <w:rPr>
          <w:rFonts w:ascii="Verdana" w:hAnsi="Verdana" w:cstheme="minorHAnsi"/>
          <w:b/>
          <w:bdr w:val="nil"/>
        </w:rPr>
        <w:t>2.4.19 – Provisões para litígios e passivos contingentes</w:t>
      </w:r>
    </w:p>
    <w:p w14:paraId="3E703440" w14:textId="77777777" w:rsidR="007B4BE1" w:rsidRPr="00BC2D0E" w:rsidRDefault="007B4BE1" w:rsidP="007B4BE1">
      <w:pPr>
        <w:widowControl w:val="0"/>
        <w:autoSpaceDE w:val="0"/>
        <w:autoSpaceDN w:val="0"/>
        <w:jc w:val="both"/>
        <w:rPr>
          <w:rFonts w:ascii="Verdana" w:hAnsi="Verdana"/>
          <w:bdr w:val="nil"/>
        </w:rPr>
      </w:pPr>
      <w:r w:rsidRPr="00BC2D0E">
        <w:rPr>
          <w:rFonts w:ascii="Verdana" w:hAnsi="Verdana"/>
          <w:bdr w:val="nil"/>
        </w:rPr>
        <w:t>As provisões são reconhecidas para obrigações presentes resultantes de eventos passados, cuja liquidação seja provável e que seja possível estimar os valores de forma confiável. O valor reconhecido como provisão é a melhor estimativa das considerações requeridas para liquidar a obrigação no final de cada período de relatório, considerando-se os riscos e as incertezas relativos à obrigação. Quando a provisão é mensurada com base nos fluxos de caixa estimados para liquidar a obrigação, seu valor contábil corresponde ao valor presente desses fluxos de caixa (em que o efeito do valor temporal do dinheiro é relevante).</w:t>
      </w:r>
    </w:p>
    <w:p w14:paraId="71915C81" w14:textId="77777777" w:rsidR="007B4BE1" w:rsidRPr="00BC2D0E" w:rsidRDefault="007B4BE1" w:rsidP="007B4BE1">
      <w:pPr>
        <w:widowControl w:val="0"/>
        <w:autoSpaceDE w:val="0"/>
        <w:autoSpaceDN w:val="0"/>
        <w:jc w:val="both"/>
        <w:rPr>
          <w:rFonts w:ascii="Verdana" w:hAnsi="Verdana"/>
          <w:bdr w:val="nil"/>
        </w:rPr>
      </w:pPr>
      <w:r w:rsidRPr="00BC2D0E">
        <w:rPr>
          <w:rFonts w:ascii="Verdana" w:hAnsi="Verdana"/>
          <w:bdr w:val="nil"/>
        </w:rPr>
        <w:t>As provisões para contingências judiciais são reconhecidas quando contingência representa uma provável saída de recursos para a liquidação das obrigações e os montantes envolvidos seriam mensuráveis com suficiente segurança, levando em conta a opinião dos assessores jurídicos, a natureza das ações, similaridade com processos anteriores, complexidade e o posicionamento de tribunais (jurisprudência).</w:t>
      </w:r>
    </w:p>
    <w:p w14:paraId="7096B839" w14:textId="77777777" w:rsidR="007B4BE1" w:rsidRPr="00F7132F" w:rsidRDefault="007B4BE1" w:rsidP="007B4BE1">
      <w:pPr>
        <w:jc w:val="both"/>
        <w:rPr>
          <w:rFonts w:ascii="Verdana" w:hAnsi="Verdana" w:cstheme="minorHAnsi"/>
          <w:b/>
          <w:bdr w:val="nil"/>
        </w:rPr>
      </w:pPr>
      <w:r w:rsidRPr="00F7132F">
        <w:rPr>
          <w:rFonts w:ascii="Verdana" w:hAnsi="Verdana" w:cstheme="minorHAnsi"/>
          <w:b/>
          <w:bdr w:val="nil"/>
        </w:rPr>
        <w:t>2.4.20 – Obrigação para desmobilização de ativos</w:t>
      </w:r>
    </w:p>
    <w:p w14:paraId="61264A2E" w14:textId="77777777" w:rsidR="007B4BE1" w:rsidRPr="00116729" w:rsidRDefault="007B4BE1" w:rsidP="007B4BE1">
      <w:pPr>
        <w:widowControl w:val="0"/>
        <w:autoSpaceDE w:val="0"/>
        <w:autoSpaceDN w:val="0"/>
        <w:jc w:val="both"/>
        <w:rPr>
          <w:rFonts w:ascii="Verdana" w:hAnsi="Verdana"/>
          <w:bdr w:val="nil"/>
        </w:rPr>
      </w:pPr>
      <w:r w:rsidRPr="00BC2D0E">
        <w:rPr>
          <w:rFonts w:ascii="Verdana" w:hAnsi="Verdana"/>
          <w:bdr w:val="nil"/>
        </w:rPr>
        <w:t xml:space="preserve">O descomissionamento de usinas nucleares pode ser entendido como um conjunto de medidas tomadas para retirar de serviço, com segurança, uma instalação nuclear, reduzindo a radioatividade residual a níveis que permitam liberar o local para uso </w:t>
      </w:r>
      <w:r w:rsidRPr="00116729">
        <w:rPr>
          <w:rFonts w:ascii="Verdana" w:hAnsi="Verdana"/>
          <w:bdr w:val="nil"/>
        </w:rPr>
        <w:t>restrito ou irrestrito.</w:t>
      </w:r>
    </w:p>
    <w:p w14:paraId="14F8C112" w14:textId="77777777" w:rsidR="007B4BE1" w:rsidRPr="00116729" w:rsidRDefault="007B4BE1" w:rsidP="007B4BE1">
      <w:pPr>
        <w:widowControl w:val="0"/>
        <w:autoSpaceDE w:val="0"/>
        <w:autoSpaceDN w:val="0"/>
        <w:jc w:val="both"/>
        <w:rPr>
          <w:rFonts w:ascii="Verdana" w:hAnsi="Verdana"/>
          <w:bdr w:val="nil"/>
        </w:rPr>
      </w:pPr>
      <w:r w:rsidRPr="00116729">
        <w:rPr>
          <w:rFonts w:ascii="Verdana" w:hAnsi="Verdana"/>
          <w:bdr w:val="nil"/>
        </w:rPr>
        <w:t xml:space="preserve">É premissa fundamental para a formação desse passivo para o descomissionamento, que o valor estimado para a sua realização deva ser atualizado ao longo da vida útil econômica das usinas, considerando os avanços tecnológicos, com o objetivo de </w:t>
      </w:r>
      <w:r w:rsidRPr="00116729">
        <w:rPr>
          <w:rFonts w:ascii="Verdana" w:hAnsi="Verdana"/>
          <w:bdr w:val="nil"/>
        </w:rPr>
        <w:lastRenderedPageBreak/>
        <w:t xml:space="preserve">alocar ao respectivo período de competência da operação os custos a serem incorridos com a desativação técnico-operacional das usinas. </w:t>
      </w:r>
    </w:p>
    <w:p w14:paraId="26139AC5" w14:textId="77777777" w:rsidR="007B4BE1" w:rsidRPr="00116729" w:rsidRDefault="007B4BE1" w:rsidP="007B4BE1">
      <w:pPr>
        <w:widowControl w:val="0"/>
        <w:autoSpaceDE w:val="0"/>
        <w:autoSpaceDN w:val="0"/>
        <w:jc w:val="both"/>
        <w:rPr>
          <w:rFonts w:ascii="Verdana" w:hAnsi="Verdana"/>
          <w:bdr w:val="nil"/>
        </w:rPr>
      </w:pPr>
      <w:r w:rsidRPr="00116729">
        <w:rPr>
          <w:rFonts w:ascii="Verdana" w:hAnsi="Verdana"/>
          <w:bdr w:val="nil"/>
        </w:rPr>
        <w:t xml:space="preserve">Conforme previsto no pronunciamento IAS 37 – Provisões, Passivos Contingentes e Ativos Contingentes (equivalente ao CPC 25), é constituída provisão ao longo do tempo de vida útil econômica de usinas termonucleares. O objetivo de tal provisão é alocar ao respectivo período de operação os custos a serem incorridos com sua desativação técnico-operacional, ao término da sua vida útil, estimada em quarenta anos. </w:t>
      </w:r>
    </w:p>
    <w:p w14:paraId="59253921" w14:textId="77777777" w:rsidR="007B4BE1" w:rsidRPr="00116729" w:rsidRDefault="007B4BE1" w:rsidP="007B4BE1">
      <w:pPr>
        <w:spacing w:line="264" w:lineRule="auto"/>
        <w:jc w:val="both"/>
        <w:rPr>
          <w:rFonts w:ascii="Verdana" w:hAnsi="Verdana"/>
          <w:bdr w:val="nil"/>
        </w:rPr>
      </w:pPr>
      <w:r w:rsidRPr="00116729">
        <w:rPr>
          <w:rFonts w:ascii="Verdana" w:hAnsi="Verdana"/>
          <w:bdr w:val="nil"/>
        </w:rPr>
        <w:t xml:space="preserve">Nos termos do Pronunciamento Técnico 27 e ICPC 12, do Comitê de Pronunciamentos Contábeis, a Companhia contabilizou no Ativo Imobilizado, em contrapartida ao Passivo Não Circulante, os valores das estimativas aprovadas. </w:t>
      </w:r>
    </w:p>
    <w:p w14:paraId="040D7E5C" w14:textId="77777777" w:rsidR="007B4BE1" w:rsidRPr="00116729" w:rsidRDefault="007B4BE1" w:rsidP="007B4BE1">
      <w:pPr>
        <w:tabs>
          <w:tab w:val="center" w:pos="4419"/>
          <w:tab w:val="right" w:pos="8838"/>
        </w:tabs>
        <w:spacing w:line="264" w:lineRule="auto"/>
        <w:jc w:val="both"/>
        <w:rPr>
          <w:rFonts w:ascii="Verdana" w:hAnsi="Verdana"/>
          <w:bdr w:val="nil"/>
        </w:rPr>
      </w:pPr>
      <w:r w:rsidRPr="00116729">
        <w:rPr>
          <w:rFonts w:ascii="Verdana" w:hAnsi="Verdana"/>
          <w:bdr w:val="nil"/>
        </w:rPr>
        <w:t xml:space="preserve">O custo total estimado é descontado a valor presente, com base em taxa que represente o custo de capital da Companhia e registrado no Imobilizado, em contrapartida à obrigação para desmobilização de ativos. </w:t>
      </w:r>
    </w:p>
    <w:p w14:paraId="14B53AF5" w14:textId="77777777" w:rsidR="007B4BE1" w:rsidRPr="00116729" w:rsidRDefault="007B4BE1" w:rsidP="007B4BE1">
      <w:pPr>
        <w:jc w:val="both"/>
        <w:rPr>
          <w:rFonts w:ascii="Verdana" w:hAnsi="Verdana"/>
          <w:bdr w:val="nil"/>
        </w:rPr>
      </w:pPr>
      <w:r w:rsidRPr="00116729">
        <w:rPr>
          <w:rFonts w:ascii="Verdana" w:hAnsi="Verdana"/>
          <w:bdr w:val="nil"/>
        </w:rPr>
        <w:t xml:space="preserve">A Companhia revisa anualmente os valores da provisão do passivo para descomissionamento. </w:t>
      </w:r>
    </w:p>
    <w:p w14:paraId="07A390F0" w14:textId="77777777" w:rsidR="007B4BE1" w:rsidRPr="00116729" w:rsidRDefault="007B4BE1" w:rsidP="007B4BE1">
      <w:pPr>
        <w:widowControl w:val="0"/>
        <w:autoSpaceDE w:val="0"/>
        <w:autoSpaceDN w:val="0"/>
        <w:jc w:val="both"/>
        <w:rPr>
          <w:rFonts w:ascii="Verdana" w:hAnsi="Verdana"/>
          <w:bdr w:val="nil"/>
        </w:rPr>
      </w:pPr>
      <w:r w:rsidRPr="00116729">
        <w:rPr>
          <w:rFonts w:ascii="Verdana" w:hAnsi="Verdana"/>
          <w:bdr w:val="nil"/>
        </w:rPr>
        <w:t>Mensurada pelo valor presente dos gastos e classificada no passivo não circulante, essa provisão destina-se ao custeio dos gastos com a desmobilização das usinas nucleares, quais sejam: o desmantelamento e a descontaminação dos materiais, equipamentos e instalações, os quais incorrerão no término da vida útil econômica das usinas, tendo como contrapartida o imobilizado.</w:t>
      </w:r>
    </w:p>
    <w:p w14:paraId="28FC090D" w14:textId="77777777" w:rsidR="007B4BE1" w:rsidRPr="00F7132F" w:rsidRDefault="007B4BE1" w:rsidP="007B4BE1">
      <w:pPr>
        <w:widowControl w:val="0"/>
        <w:autoSpaceDE w:val="0"/>
        <w:autoSpaceDN w:val="0"/>
        <w:rPr>
          <w:rFonts w:ascii="Verdana" w:hAnsi="Verdana"/>
          <w:b/>
          <w:bdr w:val="nil"/>
        </w:rPr>
      </w:pPr>
      <w:r w:rsidRPr="00F7132F">
        <w:rPr>
          <w:rFonts w:ascii="Verdana" w:hAnsi="Verdana" w:cstheme="minorHAnsi"/>
          <w:b/>
          <w:bdr w:val="nil"/>
        </w:rPr>
        <w:t>2.4.21 – Capital social</w:t>
      </w:r>
      <w:r w:rsidRPr="00F7132F">
        <w:rPr>
          <w:rFonts w:ascii="Verdana" w:hAnsi="Verdana"/>
          <w:b/>
        </w:rPr>
        <w:t xml:space="preserve"> </w:t>
      </w:r>
    </w:p>
    <w:p w14:paraId="67F40499" w14:textId="77777777" w:rsidR="007B4BE1" w:rsidRPr="00116729" w:rsidRDefault="007B4BE1" w:rsidP="007B4BE1">
      <w:pPr>
        <w:widowControl w:val="0"/>
        <w:autoSpaceDE w:val="0"/>
        <w:autoSpaceDN w:val="0"/>
        <w:jc w:val="both"/>
        <w:rPr>
          <w:rFonts w:ascii="Verdana" w:hAnsi="Verdana"/>
          <w:bdr w:val="nil"/>
        </w:rPr>
      </w:pPr>
      <w:r w:rsidRPr="00116729">
        <w:rPr>
          <w:rFonts w:ascii="Verdana" w:hAnsi="Verdana"/>
          <w:bdr w:val="nil"/>
        </w:rPr>
        <w:t>Representa as ações ordinárias integralizadas e é classificado no patrimônio líquido.</w:t>
      </w:r>
    </w:p>
    <w:p w14:paraId="1761495C" w14:textId="77777777" w:rsidR="007B4BE1" w:rsidRPr="00F7132F" w:rsidRDefault="007B4BE1" w:rsidP="007B4BE1">
      <w:pPr>
        <w:widowControl w:val="0"/>
        <w:autoSpaceDE w:val="0"/>
        <w:autoSpaceDN w:val="0"/>
        <w:rPr>
          <w:rFonts w:ascii="Verdana" w:hAnsi="Verdana"/>
          <w:b/>
          <w:bdr w:val="nil"/>
        </w:rPr>
      </w:pPr>
      <w:r w:rsidRPr="00F7132F">
        <w:rPr>
          <w:rFonts w:ascii="Verdana" w:hAnsi="Verdana" w:cstheme="minorHAnsi"/>
          <w:b/>
          <w:bdr w:val="nil"/>
        </w:rPr>
        <w:t>2.4.22 – Outros resultados abrangentes</w:t>
      </w:r>
      <w:r w:rsidRPr="00F7132F">
        <w:rPr>
          <w:rFonts w:ascii="Verdana" w:hAnsi="Verdana"/>
          <w:b/>
        </w:rPr>
        <w:t xml:space="preserve"> </w:t>
      </w:r>
    </w:p>
    <w:p w14:paraId="0A4817DB" w14:textId="77777777" w:rsidR="007B4BE1" w:rsidRPr="00116729" w:rsidRDefault="007B4BE1" w:rsidP="007B4BE1">
      <w:pPr>
        <w:widowControl w:val="0"/>
        <w:autoSpaceDE w:val="0"/>
        <w:autoSpaceDN w:val="0"/>
        <w:jc w:val="both"/>
        <w:rPr>
          <w:rFonts w:ascii="Verdana" w:hAnsi="Verdana"/>
          <w:bdr w:val="nil"/>
        </w:rPr>
      </w:pPr>
      <w:r w:rsidRPr="00116729">
        <w:rPr>
          <w:rFonts w:ascii="Verdana" w:hAnsi="Verdana"/>
          <w:bdr w:val="nil"/>
        </w:rPr>
        <w:t>Outros resultados abrangentes compreendem itens de receita e despesa que não são reconhecidos na demonstração do resultado. Os componentes dos outros resultados abrangentes incluem:</w:t>
      </w:r>
    </w:p>
    <w:p w14:paraId="44F7A2A3" w14:textId="77777777" w:rsidR="004A4C3A" w:rsidRPr="003072B4" w:rsidRDefault="007B4BE1" w:rsidP="003072B4">
      <w:pPr>
        <w:widowControl w:val="0"/>
        <w:autoSpaceDE w:val="0"/>
        <w:autoSpaceDN w:val="0"/>
        <w:rPr>
          <w:rFonts w:ascii="Verdana" w:hAnsi="Verdana"/>
          <w:bdr w:val="nil"/>
        </w:rPr>
      </w:pPr>
      <w:r w:rsidRPr="003072B4">
        <w:rPr>
          <w:rFonts w:ascii="Verdana" w:hAnsi="Verdana"/>
          <w:bdr w:val="nil"/>
        </w:rPr>
        <w:t>a)</w:t>
      </w:r>
      <w:r w:rsidR="00590B3C" w:rsidRPr="003072B4">
        <w:rPr>
          <w:rFonts w:ascii="Verdana" w:hAnsi="Verdana"/>
          <w:bdr w:val="nil"/>
        </w:rPr>
        <w:t xml:space="preserve"> </w:t>
      </w:r>
      <w:r w:rsidR="004A4C3A" w:rsidRPr="003072B4">
        <w:rPr>
          <w:rFonts w:ascii="Verdana" w:hAnsi="Verdana"/>
          <w:bdr w:val="nil"/>
        </w:rPr>
        <w:t>Ganhos e perdas sobre variação cambial não realizada financeiramente aplicada aos investimentos em outras sociedades; e</w:t>
      </w:r>
    </w:p>
    <w:p w14:paraId="0AC7E056" w14:textId="3AE59A33" w:rsidR="007B4BE1" w:rsidRPr="00116729" w:rsidRDefault="00590B3C" w:rsidP="007B4BE1">
      <w:pPr>
        <w:widowControl w:val="0"/>
        <w:autoSpaceDE w:val="0"/>
        <w:autoSpaceDN w:val="0"/>
        <w:jc w:val="both"/>
        <w:rPr>
          <w:rFonts w:ascii="Verdana" w:hAnsi="Verdana"/>
          <w:bdr w:val="nil"/>
        </w:rPr>
      </w:pPr>
      <w:r>
        <w:rPr>
          <w:rFonts w:ascii="Verdana" w:hAnsi="Verdana"/>
          <w:bdr w:val="nil"/>
        </w:rPr>
        <w:t xml:space="preserve">b) </w:t>
      </w:r>
      <w:r w:rsidR="007B4BE1" w:rsidRPr="00116729">
        <w:rPr>
          <w:rFonts w:ascii="Verdana" w:hAnsi="Verdana"/>
          <w:bdr w:val="nil"/>
        </w:rPr>
        <w:t>Ganhos e perdas atuariais em planos de pensão com benefício definido; e</w:t>
      </w:r>
    </w:p>
    <w:p w14:paraId="30F60A6D" w14:textId="15596F9F" w:rsidR="007B4BE1" w:rsidRPr="00116729" w:rsidRDefault="00590B3C" w:rsidP="007B4BE1">
      <w:pPr>
        <w:widowControl w:val="0"/>
        <w:autoSpaceDE w:val="0"/>
        <w:autoSpaceDN w:val="0"/>
        <w:jc w:val="both"/>
        <w:rPr>
          <w:rFonts w:ascii="Verdana" w:hAnsi="Verdana"/>
          <w:bdr w:val="nil"/>
        </w:rPr>
      </w:pPr>
      <w:r>
        <w:rPr>
          <w:rFonts w:ascii="Verdana" w:hAnsi="Verdana"/>
          <w:bdr w:val="nil"/>
        </w:rPr>
        <w:t>c</w:t>
      </w:r>
      <w:r w:rsidR="007B4BE1" w:rsidRPr="00116729">
        <w:rPr>
          <w:rFonts w:ascii="Verdana" w:hAnsi="Verdana"/>
          <w:bdr w:val="nil"/>
        </w:rPr>
        <w:t>) Impacto de imposto de renda e contribuição social diferidos sobre os itens registrados em outros resultados abrangentes.</w:t>
      </w:r>
    </w:p>
    <w:p w14:paraId="69FAC080" w14:textId="77777777" w:rsidR="007B4BE1" w:rsidRPr="00F7132F" w:rsidRDefault="007B4BE1" w:rsidP="007B4BE1">
      <w:pPr>
        <w:widowControl w:val="0"/>
        <w:autoSpaceDE w:val="0"/>
        <w:autoSpaceDN w:val="0"/>
        <w:rPr>
          <w:rFonts w:ascii="Verdana" w:hAnsi="Verdana"/>
          <w:b/>
          <w:bdr w:val="nil"/>
        </w:rPr>
      </w:pPr>
      <w:r w:rsidRPr="00F7132F">
        <w:rPr>
          <w:rFonts w:ascii="Verdana" w:hAnsi="Verdana" w:cstheme="minorHAnsi"/>
          <w:b/>
          <w:bdr w:val="nil"/>
        </w:rPr>
        <w:t>2.4.23 – Reconhecimento de receita</w:t>
      </w:r>
      <w:r w:rsidRPr="00F7132F">
        <w:rPr>
          <w:rFonts w:ascii="Verdana" w:hAnsi="Verdana"/>
          <w:b/>
        </w:rPr>
        <w:t xml:space="preserve"> </w:t>
      </w:r>
    </w:p>
    <w:p w14:paraId="53B7E496" w14:textId="77777777" w:rsidR="007B4BE1" w:rsidRPr="00116729" w:rsidRDefault="007B4BE1" w:rsidP="007B4BE1">
      <w:pPr>
        <w:adjustRightInd w:val="0"/>
        <w:jc w:val="both"/>
        <w:rPr>
          <w:rFonts w:ascii="Verdana" w:hAnsi="Verdana"/>
          <w:bdr w:val="nil"/>
        </w:rPr>
      </w:pPr>
      <w:r w:rsidRPr="00116729">
        <w:rPr>
          <w:rFonts w:ascii="Verdana" w:hAnsi="Verdana"/>
          <w:bdr w:val="nil"/>
        </w:rPr>
        <w:t xml:space="preserve">O CPC 47/IFRS 15 estabeleceu um novo conceito para o reconhecimento de receita, substituindo o CPC 30/IAS 18 Receita, o CPC 17/IAS 11 Contratos de Construção e as interpretações relacionadas a partir de 1º de janeiro de 2018. </w:t>
      </w:r>
    </w:p>
    <w:p w14:paraId="51A404F6" w14:textId="6054CDCF" w:rsidR="000B3334" w:rsidRDefault="007B4BE1" w:rsidP="003072B4">
      <w:pPr>
        <w:adjustRightInd w:val="0"/>
        <w:jc w:val="both"/>
        <w:rPr>
          <w:rFonts w:ascii="Verdana" w:hAnsi="Verdana"/>
          <w:bdr w:val="nil"/>
        </w:rPr>
      </w:pPr>
      <w:r w:rsidRPr="00116729">
        <w:rPr>
          <w:rFonts w:ascii="Verdana" w:hAnsi="Verdana"/>
          <w:bdr w:val="nil"/>
        </w:rPr>
        <w:lastRenderedPageBreak/>
        <w:t xml:space="preserve">A norma estabelece um modelo de cinco etapas, sendo elas, (1) identificação do contrato, (2) identificação das obrigações de desempenho separadas nos contratos, (3) determinação do preço da transação, (4) alocação do preço de transação às obrigações de desempenho separadas e (5) reconhecimento da receita, para determinar quando reconhecer a receita, e por qual valor. O modelo especifica que a receita deve ser reconhecida quando (ou conforme) uma entidade transfere o controle de bens ou serviços para os clientes, pelo valor que a entidade espera ter direito a receber. </w:t>
      </w:r>
    </w:p>
    <w:p w14:paraId="1C5F39BF" w14:textId="77777777" w:rsidR="007B4BE1" w:rsidRPr="00116729" w:rsidRDefault="007B4BE1" w:rsidP="007B4BE1">
      <w:pPr>
        <w:adjustRightInd w:val="0"/>
        <w:jc w:val="both"/>
        <w:rPr>
          <w:rFonts w:ascii="Verdana" w:hAnsi="Verdana"/>
          <w:bdr w:val="nil"/>
        </w:rPr>
      </w:pPr>
      <w:r w:rsidRPr="00116729">
        <w:rPr>
          <w:rFonts w:ascii="Verdana" w:hAnsi="Verdana"/>
          <w:bdr w:val="nil"/>
        </w:rPr>
        <w:t>Dependendo se determinados critérios são cumpridos, a receita é reconhecida:</w:t>
      </w:r>
    </w:p>
    <w:p w14:paraId="0C3708D7" w14:textId="77777777" w:rsidR="007B4BE1" w:rsidRPr="00116729" w:rsidRDefault="007B4BE1" w:rsidP="007B4BE1">
      <w:pPr>
        <w:pStyle w:val="PargrafodaLista"/>
        <w:numPr>
          <w:ilvl w:val="0"/>
          <w:numId w:val="20"/>
        </w:numPr>
        <w:adjustRightInd w:val="0"/>
        <w:spacing w:after="160"/>
        <w:rPr>
          <w:rFonts w:ascii="Verdana" w:eastAsiaTheme="minorHAnsi" w:hAnsi="Verdana" w:cstheme="minorBidi"/>
          <w:szCs w:val="22"/>
          <w:bdr w:val="nil"/>
          <w:lang w:eastAsia="en-US"/>
        </w:rPr>
      </w:pPr>
      <w:r w:rsidRPr="00116729">
        <w:rPr>
          <w:rFonts w:ascii="Verdana" w:eastAsiaTheme="minorHAnsi" w:hAnsi="Verdana" w:cstheme="minorBidi"/>
          <w:szCs w:val="22"/>
          <w:bdr w:val="nil"/>
          <w:lang w:eastAsia="en-US"/>
        </w:rPr>
        <w:t>Com o passar do tempo, de uma forma a refletir o desempenho da entidade da melhor maneira possível; ou</w:t>
      </w:r>
    </w:p>
    <w:p w14:paraId="365AD947" w14:textId="77777777" w:rsidR="007B4BE1" w:rsidRPr="00116729" w:rsidRDefault="007B4BE1" w:rsidP="007B4BE1">
      <w:pPr>
        <w:pStyle w:val="PargrafodaLista"/>
        <w:numPr>
          <w:ilvl w:val="0"/>
          <w:numId w:val="20"/>
        </w:numPr>
        <w:adjustRightInd w:val="0"/>
        <w:spacing w:after="160"/>
        <w:rPr>
          <w:rFonts w:ascii="Verdana" w:eastAsiaTheme="minorHAnsi" w:hAnsi="Verdana" w:cstheme="minorBidi"/>
          <w:szCs w:val="22"/>
          <w:bdr w:val="nil"/>
          <w:lang w:eastAsia="en-US"/>
        </w:rPr>
      </w:pPr>
      <w:r w:rsidRPr="00116729">
        <w:rPr>
          <w:rFonts w:ascii="Verdana" w:eastAsiaTheme="minorHAnsi" w:hAnsi="Verdana" w:cstheme="minorBidi"/>
          <w:szCs w:val="22"/>
          <w:bdr w:val="nil"/>
          <w:lang w:eastAsia="en-US"/>
        </w:rPr>
        <w:t>Em um determinado momento, quando o controle do bem ou serviço é transferido para o cliente.</w:t>
      </w:r>
    </w:p>
    <w:p w14:paraId="564E42F9" w14:textId="77777777" w:rsidR="007B4BE1" w:rsidRPr="00116729" w:rsidRDefault="007B4BE1" w:rsidP="007B4BE1">
      <w:pPr>
        <w:widowControl w:val="0"/>
        <w:autoSpaceDE w:val="0"/>
        <w:autoSpaceDN w:val="0"/>
        <w:jc w:val="both"/>
        <w:rPr>
          <w:rFonts w:ascii="Verdana" w:hAnsi="Verdana"/>
          <w:bdr w:val="nil"/>
        </w:rPr>
      </w:pPr>
      <w:r w:rsidRPr="00116729">
        <w:rPr>
          <w:rFonts w:ascii="Verdana" w:hAnsi="Verdana"/>
          <w:bdr w:val="nil"/>
        </w:rPr>
        <w:t>A receita da Companhia compreende o valor justo da contraprestação recebida ou a receber pela comercialização de energia no curso normal de suas atividades. A receita proveniente da venda da geração de energia é registrada com base na energia assegurada e com tarifas especificadas nos termos do contrato de fornecimento.</w:t>
      </w:r>
    </w:p>
    <w:p w14:paraId="136C1D8E" w14:textId="77777777" w:rsidR="007B4BE1" w:rsidRPr="00F7132F" w:rsidRDefault="007B4BE1" w:rsidP="007B4BE1">
      <w:pPr>
        <w:widowControl w:val="0"/>
        <w:autoSpaceDE w:val="0"/>
        <w:autoSpaceDN w:val="0"/>
        <w:rPr>
          <w:rFonts w:ascii="Verdana" w:hAnsi="Verdana"/>
          <w:b/>
          <w:bdr w:val="nil"/>
        </w:rPr>
      </w:pPr>
      <w:r w:rsidRPr="00F7132F">
        <w:rPr>
          <w:rFonts w:ascii="Verdana" w:hAnsi="Verdana" w:cstheme="minorHAnsi"/>
          <w:b/>
          <w:bdr w:val="nil"/>
        </w:rPr>
        <w:t>2.4.24 – Resultado financeiro</w:t>
      </w:r>
      <w:r w:rsidRPr="00F7132F">
        <w:rPr>
          <w:rFonts w:ascii="Verdana" w:hAnsi="Verdana"/>
          <w:b/>
        </w:rPr>
        <w:t xml:space="preserve"> </w:t>
      </w:r>
    </w:p>
    <w:p w14:paraId="35B694EC" w14:textId="77777777" w:rsidR="007B4BE1" w:rsidRPr="00116729" w:rsidRDefault="007B4BE1" w:rsidP="007B4BE1">
      <w:pPr>
        <w:autoSpaceDE w:val="0"/>
        <w:autoSpaceDN w:val="0"/>
        <w:adjustRightInd w:val="0"/>
        <w:spacing w:line="240" w:lineRule="auto"/>
        <w:jc w:val="both"/>
        <w:rPr>
          <w:rFonts w:ascii="Verdana" w:hAnsi="Verdana" w:cs="Verdana"/>
        </w:rPr>
      </w:pPr>
      <w:r w:rsidRPr="00116729">
        <w:rPr>
          <w:rFonts w:ascii="Verdana" w:hAnsi="Verdana" w:cs="Verdana"/>
        </w:rPr>
        <w:t>As transações em moeda estrangeira são convertidas para a moeda funcional utilizando a taxa de câmbio vigente na data das transações. Os ganhos e as perdas cambiais resultantes da conversão pela taxa de câmbio do fim do período são reconhecidos no resultado como despesa ou receita financeira.</w:t>
      </w:r>
    </w:p>
    <w:p w14:paraId="387BEE63" w14:textId="77777777" w:rsidR="007B4BE1" w:rsidRPr="00F7132F" w:rsidRDefault="007B4BE1" w:rsidP="007B4BE1">
      <w:pPr>
        <w:autoSpaceDE w:val="0"/>
        <w:autoSpaceDN w:val="0"/>
        <w:adjustRightInd w:val="0"/>
        <w:spacing w:line="240" w:lineRule="auto"/>
        <w:jc w:val="both"/>
        <w:rPr>
          <w:rFonts w:ascii="Verdana" w:hAnsi="Verdana" w:cstheme="minorHAnsi"/>
          <w:bdr w:val="nil"/>
        </w:rPr>
      </w:pPr>
      <w:r w:rsidRPr="00116729">
        <w:rPr>
          <w:rFonts w:ascii="Verdana" w:hAnsi="Verdana" w:cs="Verdana"/>
        </w:rPr>
        <w:t>São registrados também os juros dos passivos de arrendamentos, os efeitos dos encargos dos títulos de dívidas sobre empréstimos, financiamentos e debêntures, e os ganhos e perdas referente as aplicações financeiras. Maiores informações sobre as práticas contábeis das transações citadas podem ser observadas nas respectivas notas explicativas.</w:t>
      </w:r>
    </w:p>
    <w:p w14:paraId="05751ED7" w14:textId="77777777" w:rsidR="007B4BE1" w:rsidRPr="00F7132F" w:rsidRDefault="007B4BE1" w:rsidP="007B4BE1">
      <w:pPr>
        <w:widowControl w:val="0"/>
        <w:autoSpaceDE w:val="0"/>
        <w:autoSpaceDN w:val="0"/>
        <w:rPr>
          <w:rFonts w:ascii="Verdana" w:hAnsi="Verdana"/>
          <w:b/>
          <w:bdr w:val="nil"/>
        </w:rPr>
      </w:pPr>
      <w:r w:rsidRPr="00F7132F">
        <w:rPr>
          <w:rFonts w:ascii="Verdana" w:hAnsi="Verdana" w:cstheme="minorHAnsi"/>
          <w:b/>
          <w:bdr w:val="nil"/>
        </w:rPr>
        <w:t>2.4.25 – Lucro por ação</w:t>
      </w:r>
      <w:r w:rsidRPr="00F7132F">
        <w:rPr>
          <w:rFonts w:ascii="Verdana" w:hAnsi="Verdana"/>
          <w:b/>
        </w:rPr>
        <w:t xml:space="preserve"> </w:t>
      </w:r>
    </w:p>
    <w:p w14:paraId="792CCD88" w14:textId="77777777" w:rsidR="007B4BE1" w:rsidRPr="00116729" w:rsidRDefault="007B4BE1" w:rsidP="007B4BE1">
      <w:pPr>
        <w:autoSpaceDE w:val="0"/>
        <w:autoSpaceDN w:val="0"/>
        <w:adjustRightInd w:val="0"/>
        <w:spacing w:line="240" w:lineRule="auto"/>
        <w:jc w:val="both"/>
        <w:rPr>
          <w:rFonts w:ascii="Verdana" w:hAnsi="Verdana" w:cs="Verdana"/>
        </w:rPr>
      </w:pPr>
      <w:r w:rsidRPr="00116729">
        <w:rPr>
          <w:rFonts w:ascii="Verdana" w:hAnsi="Verdana" w:cs="Verdana"/>
        </w:rPr>
        <w:t xml:space="preserve">Para a obtenção do resultado básico por ação, a </w:t>
      </w:r>
      <w:proofErr w:type="spellStart"/>
      <w:r w:rsidRPr="00116729">
        <w:rPr>
          <w:rFonts w:ascii="Verdana" w:hAnsi="Verdana" w:cs="Verdana"/>
        </w:rPr>
        <w:t>ENBPar</w:t>
      </w:r>
      <w:proofErr w:type="spellEnd"/>
      <w:r w:rsidRPr="00116729">
        <w:rPr>
          <w:rFonts w:ascii="Verdana" w:hAnsi="Verdana" w:cs="Verdana"/>
        </w:rPr>
        <w:t xml:space="preserve"> divide o lucro ou prejuízo atribuível aos titulares de ações ordinárias pela quantidade de ações ordinárias. No caso de balanço consolidado, o lucro ou prejuízo atribuível à Companhia se refere à parcela da Controladora. Desta forma, é excluído as participações dos não controladores.</w:t>
      </w:r>
    </w:p>
    <w:p w14:paraId="46D5D9C9" w14:textId="77777777" w:rsidR="00A3332E" w:rsidRPr="00F7132F" w:rsidRDefault="00FB135A" w:rsidP="00CF5F07">
      <w:pPr>
        <w:tabs>
          <w:tab w:val="left" w:pos="567"/>
          <w:tab w:val="left" w:pos="1134"/>
          <w:tab w:val="left" w:pos="1701"/>
          <w:tab w:val="left" w:pos="2268"/>
          <w:tab w:val="left" w:pos="2835"/>
        </w:tabs>
        <w:jc w:val="both"/>
        <w:outlineLvl w:val="0"/>
        <w:rPr>
          <w:rFonts w:ascii="Verdana" w:hAnsi="Verdana" w:cstheme="minorHAnsi"/>
          <w:b/>
        </w:rPr>
      </w:pPr>
      <w:r w:rsidRPr="00F7132F">
        <w:rPr>
          <w:rFonts w:ascii="Verdana" w:hAnsi="Verdana" w:cstheme="minorHAnsi"/>
          <w:b/>
        </w:rPr>
        <w:t>3</w:t>
      </w:r>
      <w:r w:rsidR="00A3332E" w:rsidRPr="00F7132F">
        <w:rPr>
          <w:rFonts w:ascii="Verdana" w:hAnsi="Verdana" w:cstheme="minorHAnsi"/>
          <w:b/>
        </w:rPr>
        <w:t xml:space="preserve"> – ESTIMATIVAS E JULGAMENTOS CONTÁBEIS</w:t>
      </w:r>
      <w:r w:rsidR="00A3332E" w:rsidRPr="00F7132F" w:rsidDel="00B34FB5">
        <w:rPr>
          <w:rFonts w:ascii="Verdana" w:hAnsi="Verdana" w:cstheme="minorHAnsi"/>
          <w:b/>
        </w:rPr>
        <w:t xml:space="preserve"> </w:t>
      </w:r>
    </w:p>
    <w:p w14:paraId="1510C5C5" w14:textId="77777777" w:rsidR="00A3332E" w:rsidRPr="00116729" w:rsidRDefault="00A3332E" w:rsidP="00CF5F07">
      <w:pPr>
        <w:pStyle w:val="Corpodetexto"/>
        <w:spacing w:before="1"/>
        <w:rPr>
          <w:rFonts w:ascii="Verdana" w:hAnsi="Verdana" w:cstheme="minorHAnsi"/>
          <w:sz w:val="22"/>
          <w:szCs w:val="22"/>
          <w:lang w:val="pt-BR"/>
        </w:rPr>
      </w:pPr>
      <w:r w:rsidRPr="00116729">
        <w:rPr>
          <w:rFonts w:ascii="Verdana" w:hAnsi="Verdana" w:cstheme="minorHAnsi"/>
          <w:sz w:val="22"/>
          <w:szCs w:val="22"/>
          <w:lang w:val="pt-BR"/>
        </w:rPr>
        <w:t>Na aplicação das políticas contábeis, a Administração da Companhia deve fazer julgamentos e elaborar estimativas a respeito dos valores contábeis de receitas, despesas, ativos e passivos, bem como as divulgações nas notas</w:t>
      </w:r>
      <w:r w:rsidRPr="00116729">
        <w:rPr>
          <w:rFonts w:ascii="Verdana" w:hAnsi="Verdana" w:cstheme="minorHAnsi"/>
          <w:spacing w:val="-9"/>
          <w:sz w:val="22"/>
          <w:szCs w:val="22"/>
          <w:lang w:val="pt-BR"/>
        </w:rPr>
        <w:t xml:space="preserve"> </w:t>
      </w:r>
      <w:r w:rsidRPr="00116729">
        <w:rPr>
          <w:rFonts w:ascii="Verdana" w:hAnsi="Verdana" w:cstheme="minorHAnsi"/>
          <w:sz w:val="22"/>
          <w:szCs w:val="22"/>
          <w:lang w:val="pt-BR"/>
        </w:rPr>
        <w:t>explicativas.</w:t>
      </w:r>
    </w:p>
    <w:p w14:paraId="3F7FD090" w14:textId="77777777" w:rsidR="00A3332E" w:rsidRPr="00116729" w:rsidRDefault="00A3332E" w:rsidP="00CF5F07">
      <w:pPr>
        <w:pStyle w:val="Corpodetexto"/>
        <w:spacing w:before="1"/>
        <w:rPr>
          <w:rFonts w:ascii="Verdana" w:hAnsi="Verdana" w:cstheme="minorHAnsi"/>
          <w:sz w:val="22"/>
          <w:szCs w:val="22"/>
          <w:highlight w:val="green"/>
          <w:lang w:val="pt-BR"/>
        </w:rPr>
      </w:pPr>
    </w:p>
    <w:p w14:paraId="2570EE6B" w14:textId="77777777" w:rsidR="00A3332E" w:rsidRPr="00116729" w:rsidRDefault="00A3332E" w:rsidP="00CF5F07">
      <w:pPr>
        <w:pStyle w:val="Corpodetexto"/>
        <w:spacing w:before="1"/>
        <w:rPr>
          <w:rFonts w:ascii="Verdana" w:hAnsi="Verdana" w:cstheme="minorHAnsi"/>
          <w:sz w:val="22"/>
          <w:szCs w:val="22"/>
          <w:highlight w:val="cyan"/>
          <w:lang w:val="pt-BR"/>
        </w:rPr>
      </w:pPr>
      <w:r w:rsidRPr="00116729">
        <w:rPr>
          <w:rFonts w:ascii="Verdana" w:hAnsi="Verdana" w:cstheme="minorHAnsi"/>
          <w:sz w:val="22"/>
          <w:szCs w:val="22"/>
          <w:lang w:val="pt-BR"/>
        </w:rPr>
        <w:t xml:space="preserve">As estimativas e as respectivas premissas estão baseadas na experiência histórica e em outros fatores considerados relevantes. As estimativas e premissas subjacentes são revisadas continuamente. Os efeitos decorrentes das revisões feitas às </w:t>
      </w:r>
      <w:r w:rsidRPr="00116729">
        <w:rPr>
          <w:rFonts w:ascii="Verdana" w:hAnsi="Verdana" w:cstheme="minorHAnsi"/>
          <w:sz w:val="22"/>
          <w:szCs w:val="22"/>
          <w:lang w:val="pt-BR"/>
        </w:rPr>
        <w:lastRenderedPageBreak/>
        <w:t>estimativas contábeis são reconhecidos no período em que as estimativas são revistas, se a revisão afetar apenas este período, ou também em períodos posteriores, se a revisão afetar tanto o período presente como períodos futuros.</w:t>
      </w:r>
    </w:p>
    <w:p w14:paraId="78774AFF" w14:textId="77777777" w:rsidR="00A3332E" w:rsidRPr="00116729" w:rsidRDefault="00A3332E" w:rsidP="00CF5F07">
      <w:pPr>
        <w:pStyle w:val="Corpodetexto"/>
        <w:spacing w:before="1"/>
        <w:rPr>
          <w:rFonts w:ascii="Verdana" w:hAnsi="Verdana" w:cstheme="minorHAnsi"/>
          <w:sz w:val="22"/>
          <w:szCs w:val="22"/>
          <w:highlight w:val="green"/>
          <w:lang w:val="pt-BR"/>
        </w:rPr>
      </w:pPr>
    </w:p>
    <w:p w14:paraId="13850775" w14:textId="77777777" w:rsidR="00A3332E" w:rsidRPr="00116729" w:rsidRDefault="00A3332E" w:rsidP="00CF5F07">
      <w:pPr>
        <w:pStyle w:val="Corpodetexto"/>
        <w:spacing w:before="1"/>
        <w:rPr>
          <w:rFonts w:ascii="Verdana" w:hAnsi="Verdana" w:cstheme="minorHAnsi"/>
          <w:sz w:val="22"/>
          <w:szCs w:val="22"/>
          <w:lang w:val="pt-BR"/>
        </w:rPr>
      </w:pPr>
      <w:r w:rsidRPr="00116729">
        <w:rPr>
          <w:rFonts w:ascii="Verdana" w:hAnsi="Verdana" w:cstheme="minorHAnsi"/>
          <w:sz w:val="22"/>
          <w:szCs w:val="22"/>
          <w:lang w:val="pt-BR"/>
        </w:rPr>
        <w:t>Ainda que estas estimativas e premissas sejam permanentemente monitoradas e revistas pela Administração da Companhia, a materialização sobre o valor contábil de receitas, despesas, ativos e passivos são inerentemente incertas, por decorrer do uso de julgamento. Como consequência, a Companhia pode sofrer efeitos em decorrência de imprecisão nestas estimativas e julgamentos que sejam substanciais em períodos futuros, que podem ter efeito material adverso na sua condição financeira, no resultado de suas atividades e/ou nos seus fluxos de caixa.</w:t>
      </w:r>
    </w:p>
    <w:p w14:paraId="717BDFDA" w14:textId="77777777" w:rsidR="00A3332E" w:rsidRPr="00116729" w:rsidRDefault="00A3332E" w:rsidP="00CF5F07">
      <w:pPr>
        <w:pStyle w:val="Corpodetexto"/>
        <w:spacing w:before="1"/>
        <w:rPr>
          <w:rFonts w:ascii="Verdana" w:hAnsi="Verdana" w:cstheme="minorHAnsi"/>
          <w:sz w:val="22"/>
          <w:szCs w:val="22"/>
          <w:lang w:val="pt-BR"/>
        </w:rPr>
      </w:pPr>
    </w:p>
    <w:p w14:paraId="3847B1EC" w14:textId="77777777" w:rsidR="00A3332E" w:rsidRPr="00116729" w:rsidRDefault="00A3332E" w:rsidP="00CF5F07">
      <w:pPr>
        <w:pStyle w:val="Corpodetexto"/>
        <w:spacing w:before="1"/>
        <w:rPr>
          <w:rFonts w:ascii="Verdana" w:hAnsi="Verdana" w:cstheme="minorHAnsi"/>
          <w:sz w:val="22"/>
          <w:szCs w:val="22"/>
          <w:lang w:val="pt-BR"/>
        </w:rPr>
      </w:pPr>
      <w:r w:rsidRPr="00116729">
        <w:rPr>
          <w:rFonts w:ascii="Verdana" w:hAnsi="Verdana" w:cstheme="minorHAnsi"/>
          <w:sz w:val="22"/>
          <w:szCs w:val="22"/>
          <w:lang w:val="pt-BR"/>
        </w:rPr>
        <w:t>A seguir, são apresentadas as principais premissas das estimativas contábeis avaliadas como as mais críticas pela Administração da Companhia, a respeito do futuro e outras principais origens da incerteza utilizadas que podem levar a ajustes significativos nos valores contábeis dos ativos e passivos nos próximos exercícios:</w:t>
      </w:r>
    </w:p>
    <w:p w14:paraId="31816ACD" w14:textId="77777777" w:rsidR="00FB13E4" w:rsidRPr="00116729" w:rsidRDefault="00FB13E4" w:rsidP="00CF5F07">
      <w:pPr>
        <w:pStyle w:val="Corpodetexto"/>
        <w:spacing w:before="1"/>
        <w:rPr>
          <w:rFonts w:ascii="Verdana" w:hAnsi="Verdana" w:cstheme="minorHAnsi"/>
          <w:sz w:val="22"/>
          <w:szCs w:val="22"/>
          <w:lang w:val="pt-BR"/>
        </w:rPr>
      </w:pPr>
    </w:p>
    <w:p w14:paraId="4CEAF990" w14:textId="77777777" w:rsidR="00A3332E" w:rsidRPr="00F7132F" w:rsidRDefault="0083170C" w:rsidP="00FB13E4">
      <w:pPr>
        <w:jc w:val="both"/>
        <w:rPr>
          <w:rFonts w:ascii="Verdana" w:hAnsi="Verdana" w:cstheme="minorHAnsi"/>
          <w:b/>
          <w:bdr w:val="nil"/>
        </w:rPr>
      </w:pPr>
      <w:r w:rsidRPr="00F7132F">
        <w:rPr>
          <w:rFonts w:ascii="Verdana" w:hAnsi="Verdana" w:cstheme="minorHAnsi"/>
          <w:b/>
          <w:bdr w:val="nil"/>
        </w:rPr>
        <w:t>3</w:t>
      </w:r>
      <w:r w:rsidR="00A3332E" w:rsidRPr="00F7132F">
        <w:rPr>
          <w:rFonts w:ascii="Verdana" w:hAnsi="Verdana" w:cstheme="minorHAnsi"/>
          <w:b/>
          <w:bdr w:val="nil"/>
        </w:rPr>
        <w:t xml:space="preserve">.1 - </w:t>
      </w:r>
      <w:r w:rsidR="00A3332E" w:rsidRPr="00F7132F">
        <w:rPr>
          <w:rFonts w:ascii="Verdana" w:hAnsi="Verdana" w:cstheme="minorHAnsi"/>
          <w:b/>
          <w:bdr w:val="nil"/>
        </w:rPr>
        <w:tab/>
        <w:t xml:space="preserve">Provisão para redução do valor recuperável de ativos de longa duração </w:t>
      </w:r>
    </w:p>
    <w:p w14:paraId="6D74E0E7" w14:textId="77777777" w:rsidR="00A3332E" w:rsidRPr="00116729" w:rsidRDefault="00A3332E" w:rsidP="00CF5F07">
      <w:pPr>
        <w:pStyle w:val="Corpodetexto"/>
        <w:spacing w:before="1"/>
        <w:rPr>
          <w:rFonts w:ascii="Verdana" w:hAnsi="Verdana" w:cstheme="minorHAnsi"/>
          <w:sz w:val="22"/>
          <w:szCs w:val="22"/>
          <w:lang w:val="pt-BR"/>
        </w:rPr>
      </w:pPr>
      <w:r w:rsidRPr="00116729">
        <w:rPr>
          <w:rFonts w:ascii="Verdana" w:hAnsi="Verdana" w:cstheme="minorHAnsi"/>
          <w:sz w:val="22"/>
          <w:szCs w:val="22"/>
          <w:lang w:val="pt-BR"/>
        </w:rPr>
        <w:t xml:space="preserve">A Administração da Companhia considera premissas e dados técnicos para elaboração do teste de determinação de recuperação de ativos. Nesta prática são aplicadas premissas, baseadas na experiência histórica na gestão do ativo, conjunto de ativos ou unidade geradora de caixa, e práticas de avaliação comumente utilizadas no mercado. Tais premissas podem, eventualmente, não se verificarem no futuro, inclusive quanto à vida útil econômica estimada. Atualmente, a vida útil adotada pela Companhia está de acordo com as práticas determinadas pela Aneel, aplicáveis sobre os ativos vinculados à concessão do serviço público de energia elétrica, que podem variar em decorrência da análise periódica do prazo de vida útil econômica de bens em vigor. </w:t>
      </w:r>
    </w:p>
    <w:p w14:paraId="37E4E4B8" w14:textId="77777777" w:rsidR="00A3332E" w:rsidRPr="00116729" w:rsidRDefault="00A3332E" w:rsidP="00CF5F07">
      <w:pPr>
        <w:pStyle w:val="Corpodetexto"/>
        <w:spacing w:before="1"/>
        <w:rPr>
          <w:rFonts w:ascii="Verdana" w:hAnsi="Verdana" w:cstheme="minorHAnsi"/>
          <w:sz w:val="22"/>
          <w:szCs w:val="22"/>
          <w:lang w:val="pt-BR"/>
        </w:rPr>
      </w:pPr>
    </w:p>
    <w:p w14:paraId="632748C6" w14:textId="77777777" w:rsidR="00A3332E" w:rsidRPr="00116729" w:rsidRDefault="00A3332E" w:rsidP="00CF5F07">
      <w:pPr>
        <w:pStyle w:val="Corpodetexto"/>
        <w:spacing w:before="1"/>
        <w:rPr>
          <w:rFonts w:ascii="Verdana" w:hAnsi="Verdana" w:cstheme="minorHAnsi"/>
          <w:sz w:val="22"/>
          <w:szCs w:val="22"/>
          <w:lang w:val="pt-BR"/>
        </w:rPr>
      </w:pPr>
      <w:r w:rsidRPr="00116729">
        <w:rPr>
          <w:rFonts w:ascii="Verdana" w:hAnsi="Verdana" w:cstheme="minorHAnsi"/>
          <w:sz w:val="22"/>
          <w:szCs w:val="22"/>
          <w:lang w:val="pt-BR"/>
        </w:rPr>
        <w:t xml:space="preserve">Diversos eventos incertos também compõem as premissas utilizadas pela Companhia, dentre elas: as tarifas futuras para venda de energia elétrica; </w:t>
      </w:r>
      <w:r w:rsidR="0080657B" w:rsidRPr="00116729">
        <w:rPr>
          <w:rFonts w:ascii="Verdana" w:hAnsi="Verdana" w:cstheme="minorHAnsi"/>
          <w:sz w:val="22"/>
          <w:szCs w:val="22"/>
          <w:lang w:val="pt-BR"/>
        </w:rPr>
        <w:t xml:space="preserve">a </w:t>
      </w:r>
      <w:r w:rsidRPr="00116729">
        <w:rPr>
          <w:rFonts w:ascii="Verdana" w:hAnsi="Verdana" w:cstheme="minorHAnsi"/>
          <w:sz w:val="22"/>
          <w:szCs w:val="22"/>
          <w:lang w:val="pt-BR"/>
        </w:rPr>
        <w:t>taxa de crescimento da atividade econômica no país.</w:t>
      </w:r>
    </w:p>
    <w:p w14:paraId="751FBD47" w14:textId="77777777" w:rsidR="00A3332E" w:rsidRPr="00116729" w:rsidRDefault="00A3332E" w:rsidP="00CF5F07">
      <w:pPr>
        <w:pStyle w:val="Corpodetexto"/>
        <w:spacing w:before="1"/>
        <w:rPr>
          <w:rFonts w:ascii="Verdana" w:hAnsi="Verdana" w:cstheme="minorHAnsi"/>
          <w:sz w:val="22"/>
          <w:szCs w:val="22"/>
          <w:lang w:val="pt-BR"/>
        </w:rPr>
      </w:pPr>
    </w:p>
    <w:p w14:paraId="5DAD3577" w14:textId="77777777" w:rsidR="00A3332E" w:rsidRPr="00F7132F" w:rsidRDefault="0083170C" w:rsidP="00FB13E4">
      <w:pPr>
        <w:jc w:val="both"/>
        <w:rPr>
          <w:rFonts w:ascii="Verdana" w:hAnsi="Verdana" w:cstheme="minorHAnsi"/>
          <w:b/>
          <w:bdr w:val="nil"/>
        </w:rPr>
      </w:pPr>
      <w:r w:rsidRPr="00F7132F">
        <w:rPr>
          <w:rFonts w:ascii="Verdana" w:hAnsi="Verdana" w:cstheme="minorHAnsi"/>
          <w:b/>
          <w:bdr w:val="nil"/>
        </w:rPr>
        <w:t>3</w:t>
      </w:r>
      <w:r w:rsidR="00A3332E" w:rsidRPr="00F7132F">
        <w:rPr>
          <w:rFonts w:ascii="Verdana" w:hAnsi="Verdana" w:cstheme="minorHAnsi"/>
          <w:b/>
          <w:bdr w:val="nil"/>
        </w:rPr>
        <w:t>.2 -</w:t>
      </w:r>
      <w:r w:rsidR="00A3332E" w:rsidRPr="00F7132F">
        <w:rPr>
          <w:rFonts w:ascii="Verdana" w:hAnsi="Verdana" w:cstheme="minorHAnsi"/>
          <w:b/>
          <w:bdr w:val="nil"/>
        </w:rPr>
        <w:tab/>
        <w:t xml:space="preserve">Provisão para desmobilização de ativos </w:t>
      </w:r>
    </w:p>
    <w:p w14:paraId="58E90CFE" w14:textId="77777777" w:rsidR="00A3332E" w:rsidRPr="00116729" w:rsidRDefault="00A3332E" w:rsidP="00CF5F07">
      <w:pPr>
        <w:pStyle w:val="Corpodetexto"/>
        <w:spacing w:before="1"/>
        <w:rPr>
          <w:rFonts w:ascii="Verdana" w:hAnsi="Verdana" w:cstheme="minorHAnsi"/>
          <w:sz w:val="22"/>
          <w:szCs w:val="22"/>
          <w:lang w:val="pt-BR"/>
        </w:rPr>
      </w:pPr>
      <w:r w:rsidRPr="00116729">
        <w:rPr>
          <w:rFonts w:ascii="Verdana" w:hAnsi="Verdana" w:cstheme="minorHAnsi"/>
          <w:sz w:val="22"/>
          <w:szCs w:val="22"/>
          <w:lang w:val="pt-BR"/>
        </w:rPr>
        <w:t>A C</w:t>
      </w:r>
      <w:r w:rsidR="00B8767D" w:rsidRPr="00116729">
        <w:rPr>
          <w:rFonts w:ascii="Verdana" w:hAnsi="Verdana" w:cstheme="minorHAnsi"/>
          <w:sz w:val="22"/>
          <w:szCs w:val="22"/>
          <w:lang w:val="pt-BR"/>
        </w:rPr>
        <w:t>ontrolada Eletronuclear</w:t>
      </w:r>
      <w:r w:rsidRPr="00116729">
        <w:rPr>
          <w:rFonts w:ascii="Verdana" w:hAnsi="Verdana" w:cstheme="minorHAnsi"/>
          <w:sz w:val="22"/>
          <w:szCs w:val="22"/>
          <w:lang w:val="pt-BR"/>
        </w:rPr>
        <w:t xml:space="preserve"> reconhece provisão para obrigações com a desativação de ativos relativos às suas usinas termonucleares. Para determinar o valor da provisão, premissas e estimativas são feitas em relação às taxas de desconto, ao custo estimado para a desativação e remoção de todas as usinas dos locais e à época </w:t>
      </w:r>
      <w:r w:rsidR="000B3334">
        <w:rPr>
          <w:rFonts w:ascii="Verdana" w:hAnsi="Verdana" w:cstheme="minorHAnsi"/>
          <w:sz w:val="22"/>
          <w:szCs w:val="22"/>
          <w:lang w:val="pt-BR"/>
        </w:rPr>
        <w:t>esperada dos referidos custos (N</w:t>
      </w:r>
      <w:r w:rsidRPr="00116729">
        <w:rPr>
          <w:rFonts w:ascii="Verdana" w:hAnsi="Verdana" w:cstheme="minorHAnsi"/>
          <w:sz w:val="22"/>
          <w:szCs w:val="22"/>
          <w:lang w:val="pt-BR"/>
        </w:rPr>
        <w:t xml:space="preserve">ota </w:t>
      </w:r>
      <w:r w:rsidR="008361CF" w:rsidRPr="00116729">
        <w:rPr>
          <w:rFonts w:ascii="Verdana" w:hAnsi="Verdana" w:cstheme="minorHAnsi"/>
          <w:sz w:val="22"/>
          <w:szCs w:val="22"/>
          <w:lang w:val="pt-BR"/>
        </w:rPr>
        <w:t>2</w:t>
      </w:r>
      <w:r w:rsidR="00E75271">
        <w:rPr>
          <w:rFonts w:ascii="Verdana" w:hAnsi="Verdana" w:cstheme="minorHAnsi"/>
          <w:sz w:val="22"/>
          <w:szCs w:val="22"/>
          <w:lang w:val="pt-BR"/>
        </w:rPr>
        <w:t>1</w:t>
      </w:r>
      <w:r w:rsidRPr="00116729">
        <w:rPr>
          <w:rFonts w:ascii="Verdana" w:hAnsi="Verdana" w:cstheme="minorHAnsi"/>
          <w:sz w:val="22"/>
          <w:szCs w:val="22"/>
          <w:lang w:val="pt-BR"/>
        </w:rPr>
        <w:t>). A estimativa dos custos é baseada nos requerimentos legais, regulatórios e ambientais para a desativação e remoção de todas as usinas em conjunto assim como os preços de produtos e serviços a serem utilizados no final da vida útil.</w:t>
      </w:r>
    </w:p>
    <w:p w14:paraId="7FA4424A" w14:textId="77777777" w:rsidR="00A3332E" w:rsidRPr="00F7132F" w:rsidRDefault="00A3332E" w:rsidP="00CF5F07">
      <w:pPr>
        <w:pStyle w:val="Corpodetexto"/>
        <w:spacing w:before="1"/>
        <w:rPr>
          <w:rFonts w:ascii="Verdana" w:hAnsi="Verdana" w:cstheme="minorHAnsi"/>
          <w:b/>
          <w:sz w:val="22"/>
          <w:szCs w:val="22"/>
          <w:lang w:val="pt-BR"/>
        </w:rPr>
      </w:pPr>
    </w:p>
    <w:p w14:paraId="5B8FFECD" w14:textId="77777777" w:rsidR="00A3332E" w:rsidRPr="00F7132F" w:rsidRDefault="0083170C" w:rsidP="00FB13E4">
      <w:pPr>
        <w:jc w:val="both"/>
        <w:rPr>
          <w:rFonts w:ascii="Verdana" w:hAnsi="Verdana" w:cstheme="minorHAnsi"/>
          <w:b/>
          <w:bdr w:val="nil"/>
        </w:rPr>
      </w:pPr>
      <w:r w:rsidRPr="00F7132F">
        <w:rPr>
          <w:rFonts w:ascii="Verdana" w:hAnsi="Verdana" w:cstheme="minorHAnsi"/>
          <w:b/>
          <w:bdr w:val="nil"/>
        </w:rPr>
        <w:t>3</w:t>
      </w:r>
      <w:r w:rsidR="00A3332E" w:rsidRPr="00F7132F">
        <w:rPr>
          <w:rFonts w:ascii="Verdana" w:hAnsi="Verdana" w:cstheme="minorHAnsi"/>
          <w:b/>
          <w:bdr w:val="nil"/>
        </w:rPr>
        <w:t>.3 -</w:t>
      </w:r>
      <w:r w:rsidR="00A3332E" w:rsidRPr="00F7132F">
        <w:rPr>
          <w:rFonts w:ascii="Verdana" w:hAnsi="Verdana" w:cstheme="minorHAnsi"/>
          <w:b/>
          <w:bdr w:val="nil"/>
        </w:rPr>
        <w:tab/>
        <w:t>Obrigações atuariais</w:t>
      </w:r>
    </w:p>
    <w:p w14:paraId="3E2EEA4B" w14:textId="65C71157" w:rsidR="00A3332E" w:rsidRPr="00116729" w:rsidRDefault="00B8767D" w:rsidP="00CF5F07">
      <w:pPr>
        <w:pStyle w:val="Corpodetexto"/>
        <w:spacing w:before="1"/>
        <w:rPr>
          <w:rFonts w:ascii="Verdana" w:hAnsi="Verdana" w:cstheme="minorHAnsi"/>
          <w:sz w:val="22"/>
          <w:szCs w:val="22"/>
          <w:lang w:val="pt-BR"/>
        </w:rPr>
      </w:pPr>
      <w:r w:rsidRPr="00116729">
        <w:rPr>
          <w:rFonts w:ascii="Verdana" w:hAnsi="Verdana" w:cstheme="minorHAnsi"/>
          <w:sz w:val="22"/>
          <w:szCs w:val="22"/>
          <w:lang w:val="pt-BR"/>
        </w:rPr>
        <w:t>Na Controlada Eletronuclear a</w:t>
      </w:r>
      <w:r w:rsidR="00A3332E" w:rsidRPr="00116729">
        <w:rPr>
          <w:rFonts w:ascii="Verdana" w:hAnsi="Verdana" w:cstheme="minorHAnsi"/>
          <w:sz w:val="22"/>
          <w:szCs w:val="22"/>
          <w:lang w:val="pt-BR"/>
        </w:rPr>
        <w:t xml:space="preserve">s obrigações atuariais registradas são determinadas por cálculos atuariais elaborados por atuários independentes com base na expectativa de vida do participante, idade média de aposentadoria e inflação. </w:t>
      </w:r>
      <w:r w:rsidR="00A3332E" w:rsidRPr="00116729">
        <w:rPr>
          <w:rFonts w:ascii="Verdana" w:hAnsi="Verdana" w:cstheme="minorHAnsi"/>
          <w:sz w:val="22"/>
          <w:szCs w:val="22"/>
          <w:lang w:val="pt-BR"/>
        </w:rPr>
        <w:lastRenderedPageBreak/>
        <w:t>Contudo, os resultados reais futuros dos benefícios podem ser diferentes daqueles existentes e registrados contabilmente (</w:t>
      </w:r>
      <w:r w:rsidR="000B3334">
        <w:rPr>
          <w:rFonts w:ascii="Verdana" w:hAnsi="Verdana" w:cstheme="minorHAnsi"/>
          <w:sz w:val="22"/>
          <w:szCs w:val="22"/>
          <w:lang w:val="pt-BR"/>
        </w:rPr>
        <w:t>N</w:t>
      </w:r>
      <w:r w:rsidR="00A3332E" w:rsidRPr="00116729">
        <w:rPr>
          <w:rFonts w:ascii="Verdana" w:hAnsi="Verdana" w:cstheme="minorHAnsi"/>
          <w:sz w:val="22"/>
          <w:szCs w:val="22"/>
          <w:lang w:val="pt-BR"/>
        </w:rPr>
        <w:t xml:space="preserve">ota </w:t>
      </w:r>
      <w:r w:rsidR="00E75271">
        <w:rPr>
          <w:rFonts w:ascii="Verdana" w:hAnsi="Verdana" w:cstheme="minorHAnsi"/>
          <w:sz w:val="22"/>
          <w:szCs w:val="22"/>
          <w:lang w:val="pt-BR"/>
        </w:rPr>
        <w:t>2</w:t>
      </w:r>
      <w:r w:rsidR="00A71D62">
        <w:rPr>
          <w:rFonts w:ascii="Verdana" w:hAnsi="Verdana" w:cstheme="minorHAnsi"/>
          <w:sz w:val="22"/>
          <w:szCs w:val="22"/>
          <w:lang w:val="pt-BR"/>
        </w:rPr>
        <w:t>0</w:t>
      </w:r>
      <w:r w:rsidR="00A3332E" w:rsidRPr="00116729">
        <w:rPr>
          <w:rFonts w:ascii="Verdana" w:hAnsi="Verdana" w:cstheme="minorHAnsi"/>
          <w:sz w:val="22"/>
          <w:szCs w:val="22"/>
          <w:lang w:val="pt-BR"/>
        </w:rPr>
        <w:t>).</w:t>
      </w:r>
    </w:p>
    <w:p w14:paraId="28DF27B3" w14:textId="77777777" w:rsidR="00A3332E" w:rsidRPr="00116729" w:rsidRDefault="00A3332E" w:rsidP="00CF5F07">
      <w:pPr>
        <w:pStyle w:val="Corpodetexto"/>
        <w:spacing w:before="1"/>
        <w:rPr>
          <w:rFonts w:ascii="Verdana" w:hAnsi="Verdana" w:cstheme="minorHAnsi"/>
          <w:sz w:val="22"/>
          <w:szCs w:val="22"/>
          <w:lang w:val="pt-BR"/>
        </w:rPr>
      </w:pPr>
    </w:p>
    <w:p w14:paraId="1402B973" w14:textId="77777777" w:rsidR="00A3332E" w:rsidRPr="00F7132F" w:rsidRDefault="0083170C" w:rsidP="00FB13E4">
      <w:pPr>
        <w:jc w:val="both"/>
        <w:rPr>
          <w:rFonts w:ascii="Verdana" w:hAnsi="Verdana" w:cstheme="minorHAnsi"/>
          <w:b/>
          <w:bdr w:val="nil"/>
        </w:rPr>
      </w:pPr>
      <w:r w:rsidRPr="00F7132F">
        <w:rPr>
          <w:rFonts w:ascii="Verdana" w:hAnsi="Verdana" w:cstheme="minorHAnsi"/>
          <w:b/>
          <w:bdr w:val="nil"/>
        </w:rPr>
        <w:t>3</w:t>
      </w:r>
      <w:r w:rsidR="00A3332E" w:rsidRPr="00F7132F">
        <w:rPr>
          <w:rFonts w:ascii="Verdana" w:hAnsi="Verdana" w:cstheme="minorHAnsi"/>
          <w:b/>
          <w:bdr w:val="nil"/>
        </w:rPr>
        <w:t>.4 -</w:t>
      </w:r>
      <w:r w:rsidR="00A3332E" w:rsidRPr="00F7132F">
        <w:rPr>
          <w:rFonts w:ascii="Verdana" w:hAnsi="Verdana" w:cstheme="minorHAnsi"/>
          <w:b/>
          <w:bdr w:val="nil"/>
        </w:rPr>
        <w:tab/>
        <w:t>Provisões e passivos contingentes</w:t>
      </w:r>
    </w:p>
    <w:p w14:paraId="479125D4" w14:textId="77777777" w:rsidR="00A3332E" w:rsidRPr="00116729" w:rsidRDefault="00A3332E" w:rsidP="00CF5F07">
      <w:pPr>
        <w:pStyle w:val="Corpodetexto"/>
        <w:spacing w:before="1"/>
        <w:rPr>
          <w:rFonts w:ascii="Verdana" w:hAnsi="Verdana" w:cstheme="minorHAnsi"/>
          <w:sz w:val="22"/>
          <w:szCs w:val="22"/>
          <w:lang w:val="pt-BR"/>
        </w:rPr>
      </w:pPr>
      <w:r w:rsidRPr="00116729">
        <w:rPr>
          <w:rFonts w:ascii="Verdana" w:hAnsi="Verdana" w:cstheme="minorHAnsi"/>
          <w:sz w:val="22"/>
          <w:szCs w:val="22"/>
          <w:lang w:val="pt-BR"/>
        </w:rPr>
        <w:t>As provisões para riscos trabalhistas, tributários e cíveis são reconhecidas quando há obrigações presentes (legais ou presumidas) resultantes de eventos passados, cuja liquidação seja provável e que seja possível estimarem os valores de forma confiável, com base na avaliação da Administração e dos assessores jurídicos internos e externos. Os valores provisionados são registrados com base nas estimativas dos custos dos desfechos das referidas contingências. Riscos contingentes com expectativa de perda possível são divulgados pela Administração, não sendo constituída provisão. Essa avaliação é suportada pelo julgamento da Administração, juntamente com seus assessores jurídicos, considerando as jurisprudências, as decisões em instâncias iniciais e superiores, o histórico de eventuais acordos e decisões, a experiência da administração e dos assessores jurídicos, bem co</w:t>
      </w:r>
      <w:r w:rsidR="000B3334">
        <w:rPr>
          <w:rFonts w:ascii="Verdana" w:hAnsi="Verdana" w:cstheme="minorHAnsi"/>
          <w:sz w:val="22"/>
          <w:szCs w:val="22"/>
          <w:lang w:val="pt-BR"/>
        </w:rPr>
        <w:t>mo outros aspectos aplicáveis (N</w:t>
      </w:r>
      <w:r w:rsidRPr="00116729">
        <w:rPr>
          <w:rFonts w:ascii="Verdana" w:hAnsi="Verdana" w:cstheme="minorHAnsi"/>
          <w:sz w:val="22"/>
          <w:szCs w:val="22"/>
          <w:lang w:val="pt-BR"/>
        </w:rPr>
        <w:t xml:space="preserve">ota </w:t>
      </w:r>
      <w:r w:rsidR="00E75271">
        <w:rPr>
          <w:rFonts w:ascii="Verdana" w:hAnsi="Verdana" w:cstheme="minorHAnsi"/>
          <w:sz w:val="22"/>
          <w:szCs w:val="22"/>
          <w:lang w:val="pt-BR"/>
        </w:rPr>
        <w:t>19</w:t>
      </w:r>
      <w:r w:rsidRPr="00116729">
        <w:rPr>
          <w:rFonts w:ascii="Verdana" w:hAnsi="Verdana" w:cstheme="minorHAnsi"/>
          <w:sz w:val="22"/>
          <w:szCs w:val="22"/>
          <w:lang w:val="pt-BR"/>
        </w:rPr>
        <w:t>).</w:t>
      </w:r>
    </w:p>
    <w:p w14:paraId="26650092" w14:textId="77777777" w:rsidR="006370E1" w:rsidRPr="00116729" w:rsidRDefault="006370E1" w:rsidP="00CF5F07">
      <w:pPr>
        <w:pStyle w:val="Corpodetexto"/>
        <w:spacing w:before="1"/>
        <w:rPr>
          <w:rFonts w:ascii="Verdana" w:hAnsi="Verdana" w:cstheme="minorHAnsi"/>
          <w:sz w:val="22"/>
          <w:szCs w:val="22"/>
          <w:lang w:val="pt-BR"/>
        </w:rPr>
      </w:pPr>
    </w:p>
    <w:p w14:paraId="0BD3B09E" w14:textId="77777777" w:rsidR="00A3332E" w:rsidRPr="00F7132F" w:rsidRDefault="0083170C" w:rsidP="00FB13E4">
      <w:pPr>
        <w:jc w:val="both"/>
        <w:rPr>
          <w:rFonts w:ascii="Verdana" w:hAnsi="Verdana" w:cstheme="minorHAnsi"/>
          <w:b/>
          <w:bdr w:val="nil"/>
        </w:rPr>
      </w:pPr>
      <w:r w:rsidRPr="00F7132F">
        <w:rPr>
          <w:rFonts w:ascii="Verdana" w:hAnsi="Verdana" w:cstheme="minorHAnsi"/>
          <w:b/>
          <w:bdr w:val="nil"/>
        </w:rPr>
        <w:t>3</w:t>
      </w:r>
      <w:r w:rsidR="00A3332E" w:rsidRPr="00F7132F">
        <w:rPr>
          <w:rFonts w:ascii="Verdana" w:hAnsi="Verdana" w:cstheme="minorHAnsi"/>
          <w:b/>
          <w:bdr w:val="nil"/>
        </w:rPr>
        <w:t>.5 -</w:t>
      </w:r>
      <w:r w:rsidR="00A3332E" w:rsidRPr="00F7132F">
        <w:rPr>
          <w:rFonts w:ascii="Verdana" w:hAnsi="Verdana" w:cstheme="minorHAnsi"/>
          <w:b/>
          <w:bdr w:val="nil"/>
        </w:rPr>
        <w:tab/>
        <w:t xml:space="preserve">Provisão para Perda Estimada em Créditos de Liquidação Duvidosa </w:t>
      </w:r>
    </w:p>
    <w:p w14:paraId="532B4D20" w14:textId="77777777" w:rsidR="00A3332E" w:rsidRPr="00116729" w:rsidRDefault="00B8767D" w:rsidP="00CF5F07">
      <w:pPr>
        <w:pStyle w:val="Corpodetexto"/>
        <w:spacing w:before="1"/>
        <w:rPr>
          <w:rFonts w:ascii="Verdana" w:hAnsi="Verdana" w:cstheme="minorHAnsi"/>
          <w:sz w:val="22"/>
          <w:szCs w:val="22"/>
          <w:lang w:val="pt-BR"/>
        </w:rPr>
      </w:pPr>
      <w:r w:rsidRPr="00116729">
        <w:rPr>
          <w:rFonts w:ascii="Verdana" w:hAnsi="Verdana" w:cstheme="minorHAnsi"/>
          <w:sz w:val="22"/>
          <w:szCs w:val="22"/>
          <w:lang w:val="pt-BR"/>
        </w:rPr>
        <w:t xml:space="preserve">A Controlada Eletronuclear </w:t>
      </w:r>
      <w:r w:rsidR="00A3332E" w:rsidRPr="00116729">
        <w:rPr>
          <w:rFonts w:ascii="Verdana" w:hAnsi="Verdana" w:cstheme="minorHAnsi"/>
          <w:sz w:val="22"/>
          <w:szCs w:val="22"/>
          <w:lang w:val="pt-BR"/>
        </w:rPr>
        <w:t>adotou a abordagem simplificada e calcula a perda esperada, com base na expectativa de risco de inadimplência que ocorre ao longo da vida útil do instrumento financeiro de acordo com o IFRS 9.</w:t>
      </w:r>
    </w:p>
    <w:p w14:paraId="3F3AB983" w14:textId="77777777" w:rsidR="00A3332E" w:rsidRPr="00116729" w:rsidRDefault="00A3332E" w:rsidP="00CF5F07">
      <w:pPr>
        <w:pStyle w:val="Corpodetexto"/>
        <w:spacing w:before="1"/>
        <w:rPr>
          <w:rFonts w:ascii="Verdana" w:hAnsi="Verdana" w:cstheme="minorHAnsi"/>
          <w:sz w:val="22"/>
          <w:szCs w:val="22"/>
          <w:lang w:val="pt-BR"/>
        </w:rPr>
      </w:pPr>
    </w:p>
    <w:p w14:paraId="4AEBBE37" w14:textId="77777777" w:rsidR="00A3332E" w:rsidRPr="00116729" w:rsidRDefault="00A3332E" w:rsidP="00CF5F07">
      <w:pPr>
        <w:pStyle w:val="Corpodetexto"/>
        <w:spacing w:before="1"/>
        <w:rPr>
          <w:rFonts w:ascii="Verdana" w:hAnsi="Verdana" w:cstheme="minorHAnsi"/>
          <w:sz w:val="22"/>
          <w:szCs w:val="22"/>
          <w:lang w:val="pt-BR"/>
        </w:rPr>
      </w:pPr>
      <w:r w:rsidRPr="00116729">
        <w:rPr>
          <w:rFonts w:ascii="Verdana" w:hAnsi="Verdana" w:cstheme="minorHAnsi"/>
          <w:sz w:val="22"/>
          <w:szCs w:val="22"/>
          <w:lang w:val="pt-BR"/>
        </w:rPr>
        <w:t>Considera-se um ativo financeiro inadimplente quando: (i) é improvável que o credor pague integralmente suas obrigações de crédito com a Companhia sem recorrer a ações como a garantia (se houver); ou (</w:t>
      </w:r>
      <w:proofErr w:type="spellStart"/>
      <w:r w:rsidRPr="00116729">
        <w:rPr>
          <w:rFonts w:ascii="Verdana" w:hAnsi="Verdana" w:cstheme="minorHAnsi"/>
          <w:sz w:val="22"/>
          <w:szCs w:val="22"/>
          <w:lang w:val="pt-BR"/>
        </w:rPr>
        <w:t>ii</w:t>
      </w:r>
      <w:proofErr w:type="spellEnd"/>
      <w:r w:rsidRPr="00116729">
        <w:rPr>
          <w:rFonts w:ascii="Verdana" w:hAnsi="Verdana" w:cstheme="minorHAnsi"/>
          <w:sz w:val="22"/>
          <w:szCs w:val="22"/>
          <w:lang w:val="pt-BR"/>
        </w:rPr>
        <w:t>) o ativo financeiro expirou de acordo com as regras atuais.</w:t>
      </w:r>
    </w:p>
    <w:p w14:paraId="50ED25D6" w14:textId="77777777" w:rsidR="00A3332E" w:rsidRPr="00116729" w:rsidRDefault="00A3332E" w:rsidP="00CF5F07">
      <w:pPr>
        <w:pStyle w:val="Corpodetexto"/>
        <w:spacing w:before="1"/>
        <w:rPr>
          <w:rFonts w:ascii="Verdana" w:hAnsi="Verdana" w:cstheme="minorHAnsi"/>
          <w:sz w:val="22"/>
          <w:szCs w:val="22"/>
          <w:lang w:val="pt-BR"/>
        </w:rPr>
      </w:pPr>
    </w:p>
    <w:p w14:paraId="34D16520" w14:textId="77777777" w:rsidR="00A3332E" w:rsidRPr="00F7132F" w:rsidRDefault="0083170C" w:rsidP="00FB13E4">
      <w:pPr>
        <w:jc w:val="both"/>
        <w:rPr>
          <w:rFonts w:ascii="Verdana" w:hAnsi="Verdana" w:cstheme="minorHAnsi"/>
          <w:b/>
          <w:bdr w:val="nil"/>
        </w:rPr>
      </w:pPr>
      <w:r w:rsidRPr="00F7132F">
        <w:rPr>
          <w:rFonts w:ascii="Verdana" w:hAnsi="Verdana" w:cstheme="minorHAnsi"/>
          <w:b/>
          <w:bdr w:val="nil"/>
        </w:rPr>
        <w:t>3</w:t>
      </w:r>
      <w:r w:rsidR="00A3332E" w:rsidRPr="00F7132F">
        <w:rPr>
          <w:rFonts w:ascii="Verdana" w:hAnsi="Verdana" w:cstheme="minorHAnsi"/>
          <w:b/>
          <w:bdr w:val="nil"/>
        </w:rPr>
        <w:t>.6 -</w:t>
      </w:r>
      <w:r w:rsidR="00A3332E" w:rsidRPr="00F7132F">
        <w:rPr>
          <w:rFonts w:ascii="Verdana" w:hAnsi="Verdana" w:cstheme="minorHAnsi"/>
          <w:b/>
          <w:bdr w:val="nil"/>
        </w:rPr>
        <w:tab/>
        <w:t>Avaliação de instrumentos financeiros</w:t>
      </w:r>
    </w:p>
    <w:p w14:paraId="6021430E" w14:textId="77777777" w:rsidR="00A3332E" w:rsidRPr="00116729" w:rsidRDefault="00B8767D" w:rsidP="00CF5F07">
      <w:pPr>
        <w:jc w:val="both"/>
        <w:rPr>
          <w:rFonts w:ascii="Verdana" w:hAnsi="Verdana" w:cstheme="minorHAnsi"/>
        </w:rPr>
      </w:pPr>
      <w:r w:rsidRPr="00116729">
        <w:rPr>
          <w:rFonts w:ascii="Verdana" w:hAnsi="Verdana" w:cstheme="minorHAnsi"/>
        </w:rPr>
        <w:t xml:space="preserve">A Controlada Eletronuclear </w:t>
      </w:r>
      <w:r w:rsidR="00A3332E" w:rsidRPr="00116729">
        <w:rPr>
          <w:rFonts w:ascii="Verdana" w:hAnsi="Verdana" w:cstheme="minorHAnsi"/>
        </w:rPr>
        <w:t>classifica seus instrumentos financeiros sob as seguintes categorias: custo amortizado e valor justo por meio de resultado. A classificação depende do modelo de negócio no qual o instrumento financeiro é mantido e nas características de fluxo de caixa contratual. Os valores justos dos instrumentos financeiros são determinados com base em preços de mercado ou técnicas de aval</w:t>
      </w:r>
      <w:r w:rsidR="000B3334">
        <w:rPr>
          <w:rFonts w:ascii="Verdana" w:hAnsi="Verdana" w:cstheme="minorHAnsi"/>
        </w:rPr>
        <w:t>iação, conforme demonstrado na N</w:t>
      </w:r>
      <w:r w:rsidR="00A3332E" w:rsidRPr="00116729">
        <w:rPr>
          <w:rFonts w:ascii="Verdana" w:hAnsi="Verdana" w:cstheme="minorHAnsi"/>
        </w:rPr>
        <w:t xml:space="preserve">ota </w:t>
      </w:r>
      <w:r w:rsidR="00D028AE" w:rsidRPr="00116729">
        <w:rPr>
          <w:rFonts w:ascii="Verdana" w:hAnsi="Verdana" w:cstheme="minorHAnsi"/>
        </w:rPr>
        <w:t>30</w:t>
      </w:r>
      <w:r w:rsidR="00A3332E" w:rsidRPr="00116729">
        <w:rPr>
          <w:rFonts w:ascii="Verdana" w:hAnsi="Verdana" w:cstheme="minorHAnsi"/>
        </w:rPr>
        <w:t xml:space="preserve">.2. </w:t>
      </w:r>
    </w:p>
    <w:p w14:paraId="77166665" w14:textId="77777777" w:rsidR="00A3332E" w:rsidRPr="00F7132F" w:rsidRDefault="0083170C" w:rsidP="00FB13E4">
      <w:pPr>
        <w:jc w:val="both"/>
        <w:rPr>
          <w:rFonts w:ascii="Verdana" w:hAnsi="Verdana" w:cstheme="minorHAnsi"/>
          <w:b/>
          <w:bdr w:val="nil"/>
        </w:rPr>
      </w:pPr>
      <w:bookmarkStart w:id="1" w:name="_Hlk93921151"/>
      <w:r w:rsidRPr="00F7132F">
        <w:rPr>
          <w:rFonts w:ascii="Verdana" w:hAnsi="Verdana" w:cstheme="minorHAnsi"/>
          <w:b/>
          <w:bdr w:val="nil"/>
        </w:rPr>
        <w:t>3</w:t>
      </w:r>
      <w:r w:rsidR="00A3332E" w:rsidRPr="00F7132F">
        <w:rPr>
          <w:rFonts w:ascii="Verdana" w:hAnsi="Verdana" w:cstheme="minorHAnsi"/>
          <w:b/>
          <w:bdr w:val="nil"/>
        </w:rPr>
        <w:t xml:space="preserve">.7 - Estimativa da taxa incremental de arrendamentos </w:t>
      </w:r>
    </w:p>
    <w:p w14:paraId="316329A0" w14:textId="77777777" w:rsidR="00DD4F83" w:rsidRPr="00116729" w:rsidRDefault="00A3332E" w:rsidP="00CF5F07">
      <w:pPr>
        <w:autoSpaceDE w:val="0"/>
        <w:autoSpaceDN w:val="0"/>
        <w:adjustRightInd w:val="0"/>
        <w:jc w:val="both"/>
        <w:rPr>
          <w:rFonts w:ascii="Verdana" w:hAnsi="Verdana" w:cstheme="minorHAnsi"/>
        </w:rPr>
      </w:pPr>
      <w:r w:rsidRPr="00116729">
        <w:rPr>
          <w:rFonts w:ascii="Verdana" w:hAnsi="Verdana" w:cstheme="minorHAnsi"/>
        </w:rPr>
        <w:t xml:space="preserve">Os arrendamentos vigentes não possuem sua taxa de juros implícita prontamente identificável, motivo pelo qual a Companhia </w:t>
      </w:r>
      <w:r w:rsidR="00B8767D" w:rsidRPr="00116729">
        <w:rPr>
          <w:rFonts w:ascii="Verdana" w:hAnsi="Verdana" w:cstheme="minorHAnsi"/>
        </w:rPr>
        <w:t xml:space="preserve">e sua Controlada Eletronuclear </w:t>
      </w:r>
      <w:r w:rsidRPr="00116729">
        <w:rPr>
          <w:rFonts w:ascii="Verdana" w:hAnsi="Verdana" w:cstheme="minorHAnsi"/>
        </w:rPr>
        <w:t xml:space="preserve">considera a taxa incremental sobre empréstimos para mensurar os passivos de arrendamento. </w:t>
      </w:r>
    </w:p>
    <w:p w14:paraId="4440BF8F" w14:textId="77777777" w:rsidR="00A3332E" w:rsidRPr="00116729" w:rsidRDefault="00DD4F83" w:rsidP="00CF5F07">
      <w:pPr>
        <w:autoSpaceDE w:val="0"/>
        <w:autoSpaceDN w:val="0"/>
        <w:adjustRightInd w:val="0"/>
        <w:jc w:val="both"/>
        <w:rPr>
          <w:rFonts w:ascii="Verdana" w:hAnsi="Verdana" w:cstheme="minorHAnsi"/>
        </w:rPr>
      </w:pPr>
      <w:r w:rsidRPr="00116729">
        <w:rPr>
          <w:rFonts w:ascii="Verdana" w:hAnsi="Verdana" w:cstheme="minorHAnsi"/>
        </w:rPr>
        <w:t xml:space="preserve">A Controladora considera como </w:t>
      </w:r>
      <w:r w:rsidR="00A3332E" w:rsidRPr="00116729">
        <w:rPr>
          <w:rFonts w:ascii="Verdana" w:hAnsi="Verdana" w:cstheme="minorHAnsi"/>
        </w:rPr>
        <w:t xml:space="preserve">taxa incremental </w:t>
      </w:r>
      <w:r w:rsidRPr="00116729">
        <w:rPr>
          <w:rFonts w:ascii="Verdana" w:hAnsi="Verdana" w:cstheme="minorHAnsi"/>
        </w:rPr>
        <w:t>a projeção da inflação (IPCA)</w:t>
      </w:r>
      <w:r w:rsidR="00A3332E" w:rsidRPr="00116729">
        <w:rPr>
          <w:rFonts w:ascii="Verdana" w:hAnsi="Verdana" w:cstheme="minorHAnsi"/>
        </w:rPr>
        <w:t>.</w:t>
      </w:r>
    </w:p>
    <w:p w14:paraId="0301A207" w14:textId="77777777" w:rsidR="00A3332E" w:rsidRPr="00F7132F" w:rsidRDefault="0083170C" w:rsidP="00FB13E4">
      <w:pPr>
        <w:jc w:val="both"/>
        <w:rPr>
          <w:rFonts w:ascii="Verdana" w:hAnsi="Verdana" w:cstheme="minorHAnsi"/>
          <w:b/>
          <w:bdr w:val="nil"/>
        </w:rPr>
      </w:pPr>
      <w:bookmarkStart w:id="2" w:name="_Hlk94112462"/>
      <w:bookmarkEnd w:id="1"/>
      <w:r w:rsidRPr="00F7132F">
        <w:rPr>
          <w:rFonts w:ascii="Verdana" w:hAnsi="Verdana" w:cstheme="minorHAnsi"/>
          <w:b/>
          <w:bdr w:val="nil"/>
        </w:rPr>
        <w:t>3</w:t>
      </w:r>
      <w:r w:rsidR="00A3332E" w:rsidRPr="00F7132F">
        <w:rPr>
          <w:rFonts w:ascii="Verdana" w:hAnsi="Verdana" w:cstheme="minorHAnsi"/>
          <w:b/>
          <w:bdr w:val="nil"/>
        </w:rPr>
        <w:t xml:space="preserve">.8 – Determinação da vida útil dos ativos </w:t>
      </w:r>
    </w:p>
    <w:p w14:paraId="70B1882F" w14:textId="77777777" w:rsidR="00A3332E" w:rsidRPr="00116729" w:rsidRDefault="006453EF" w:rsidP="00FB13E4">
      <w:pPr>
        <w:autoSpaceDE w:val="0"/>
        <w:autoSpaceDN w:val="0"/>
        <w:adjustRightInd w:val="0"/>
        <w:jc w:val="both"/>
        <w:rPr>
          <w:rFonts w:ascii="Verdana" w:hAnsi="Verdana" w:cstheme="minorHAnsi"/>
        </w:rPr>
      </w:pPr>
      <w:r w:rsidRPr="00116729">
        <w:rPr>
          <w:rFonts w:ascii="Verdana" w:hAnsi="Verdana" w:cstheme="minorHAnsi"/>
        </w:rPr>
        <w:t>Na Controlada Eletronuclear a</w:t>
      </w:r>
      <w:r w:rsidR="00A3332E" w:rsidRPr="00116729">
        <w:rPr>
          <w:rFonts w:ascii="Verdana" w:hAnsi="Verdana" w:cstheme="minorHAnsi"/>
        </w:rPr>
        <w:t xml:space="preserve"> depreciação é reconhecida com base na vida útil estimada de cada ativo pelo método linear, de modo que o valor do custo menos o seu valor residual após sua vida útil esteja integralmente baixado. A </w:t>
      </w:r>
      <w:r w:rsidRPr="00116729">
        <w:rPr>
          <w:rFonts w:ascii="Verdana" w:hAnsi="Verdana" w:cstheme="minorHAnsi"/>
        </w:rPr>
        <w:t xml:space="preserve">Controlada </w:t>
      </w:r>
      <w:r w:rsidRPr="00116729">
        <w:rPr>
          <w:rFonts w:ascii="Verdana" w:hAnsi="Verdana" w:cstheme="minorHAnsi"/>
        </w:rPr>
        <w:lastRenderedPageBreak/>
        <w:t>Eletronuclear</w:t>
      </w:r>
      <w:r w:rsidR="00A3332E" w:rsidRPr="00116729">
        <w:rPr>
          <w:rFonts w:ascii="Verdana" w:hAnsi="Verdana" w:cstheme="minorHAnsi"/>
        </w:rPr>
        <w:t xml:space="preserve"> considera que a vida útil estimada de cada ativo é semelhante às taxas de depreciação determinadas pela Aneel, as quais são tidas pelo mercado como aceitáveis por expressar adequadamente o tempo de vida útil dos bens. </w:t>
      </w:r>
    </w:p>
    <w:p w14:paraId="65C26245" w14:textId="77777777" w:rsidR="00A3332E" w:rsidRPr="00116729" w:rsidRDefault="00A3332E" w:rsidP="00FB13E4">
      <w:pPr>
        <w:autoSpaceDE w:val="0"/>
        <w:autoSpaceDN w:val="0"/>
        <w:adjustRightInd w:val="0"/>
        <w:jc w:val="both"/>
        <w:rPr>
          <w:rFonts w:ascii="Verdana" w:hAnsi="Verdana" w:cstheme="minorHAnsi"/>
        </w:rPr>
      </w:pPr>
      <w:r w:rsidRPr="00116729">
        <w:rPr>
          <w:rFonts w:ascii="Verdana" w:hAnsi="Verdana" w:cstheme="minorHAnsi"/>
        </w:rPr>
        <w:t xml:space="preserve">A </w:t>
      </w:r>
      <w:r w:rsidR="006453EF" w:rsidRPr="00116729">
        <w:rPr>
          <w:rFonts w:ascii="Verdana" w:hAnsi="Verdana" w:cstheme="minorHAnsi"/>
        </w:rPr>
        <w:t>Controlada Eletronuclear</w:t>
      </w:r>
      <w:r w:rsidRPr="00116729">
        <w:rPr>
          <w:rFonts w:ascii="Verdana" w:hAnsi="Verdana" w:cstheme="minorHAnsi"/>
        </w:rPr>
        <w:t xml:space="preserve"> registra depreciação acelerada sobre o ativo cujo término de vida útil supera a data da licença de operação das Usinas.</w:t>
      </w:r>
    </w:p>
    <w:p w14:paraId="6D40D0E6" w14:textId="77777777" w:rsidR="00A3332E" w:rsidRPr="00116729" w:rsidRDefault="00A3332E" w:rsidP="00FB13E4">
      <w:pPr>
        <w:autoSpaceDE w:val="0"/>
        <w:autoSpaceDN w:val="0"/>
        <w:adjustRightInd w:val="0"/>
        <w:jc w:val="both"/>
        <w:rPr>
          <w:rFonts w:ascii="Verdana" w:hAnsi="Verdana" w:cstheme="minorHAnsi"/>
        </w:rPr>
      </w:pPr>
      <w:r w:rsidRPr="00116729">
        <w:rPr>
          <w:rFonts w:ascii="Verdana" w:hAnsi="Verdana" w:cstheme="minorHAnsi"/>
        </w:rPr>
        <w:t>Ativos mantidos por meio de arrendamento financeiro são depreciados pela vida útil esperada da mesma forma que os ativos próprios ou por um período inferior, se aplicável, conforme termos do contrato de arrendamento em questão.</w:t>
      </w:r>
    </w:p>
    <w:bookmarkEnd w:id="2"/>
    <w:p w14:paraId="6A9AED9B" w14:textId="77777777" w:rsidR="00A3332E" w:rsidRPr="00F7132F" w:rsidRDefault="0083170C" w:rsidP="00FB13E4">
      <w:pPr>
        <w:jc w:val="both"/>
        <w:rPr>
          <w:rFonts w:ascii="Verdana" w:hAnsi="Verdana" w:cstheme="minorHAnsi"/>
          <w:b/>
          <w:bdr w:val="nil"/>
        </w:rPr>
      </w:pPr>
      <w:r w:rsidRPr="00F7132F">
        <w:rPr>
          <w:rFonts w:ascii="Verdana" w:hAnsi="Verdana" w:cstheme="minorHAnsi"/>
          <w:b/>
          <w:bdr w:val="nil"/>
        </w:rPr>
        <w:t>3</w:t>
      </w:r>
      <w:r w:rsidR="00A3332E" w:rsidRPr="00F7132F">
        <w:rPr>
          <w:rFonts w:ascii="Verdana" w:hAnsi="Verdana" w:cstheme="minorHAnsi"/>
          <w:b/>
          <w:bdr w:val="nil"/>
        </w:rPr>
        <w:t>.9 – Consumo de Combustível Nuclear</w:t>
      </w:r>
    </w:p>
    <w:p w14:paraId="549A3C6F" w14:textId="77777777" w:rsidR="00E11DF3" w:rsidRPr="00116729" w:rsidRDefault="00A3332E" w:rsidP="00F7132F">
      <w:pPr>
        <w:autoSpaceDE w:val="0"/>
        <w:autoSpaceDN w:val="0"/>
        <w:adjustRightInd w:val="0"/>
        <w:jc w:val="both"/>
        <w:rPr>
          <w:rFonts w:ascii="Verdana" w:hAnsi="Verdana" w:cstheme="minorHAnsi"/>
        </w:rPr>
      </w:pPr>
      <w:r w:rsidRPr="00116729">
        <w:rPr>
          <w:rFonts w:ascii="Verdana" w:hAnsi="Verdana" w:cstheme="minorHAnsi"/>
        </w:rPr>
        <w:t xml:space="preserve">A </w:t>
      </w:r>
      <w:r w:rsidR="006453EF" w:rsidRPr="00116729">
        <w:rPr>
          <w:rFonts w:ascii="Verdana" w:hAnsi="Verdana" w:cstheme="minorHAnsi"/>
        </w:rPr>
        <w:t>Controlada Eletronuclear</w:t>
      </w:r>
      <w:r w:rsidRPr="00116729">
        <w:rPr>
          <w:rFonts w:ascii="Verdana" w:hAnsi="Verdana" w:cstheme="minorHAnsi"/>
        </w:rPr>
        <w:t xml:space="preserve"> efetua um acompanhamento mensal do desempenho dos elementos combustíveis por meio do sistema Cadastro de Combustível Nuclear – CCN que proporcionaliza os custos de aquisição das recargas de combustíveis nucleares para cada elemento de combustível nuclear no momento da inclusão no sistema e ca</w:t>
      </w:r>
      <w:r w:rsidR="00CF5F07" w:rsidRPr="00116729">
        <w:rPr>
          <w:rFonts w:ascii="Verdana" w:hAnsi="Verdana" w:cstheme="minorHAnsi"/>
        </w:rPr>
        <w:t>l</w:t>
      </w:r>
      <w:r w:rsidRPr="00116729">
        <w:rPr>
          <w:rFonts w:ascii="Verdana" w:hAnsi="Verdana" w:cstheme="minorHAnsi"/>
        </w:rPr>
        <w:t xml:space="preserve">cula mensalmente o </w:t>
      </w:r>
      <w:r w:rsidR="006453EF" w:rsidRPr="00116729">
        <w:rPr>
          <w:rFonts w:ascii="Verdana" w:hAnsi="Verdana" w:cstheme="minorHAnsi"/>
        </w:rPr>
        <w:t xml:space="preserve">consumo de cada elemento. Este </w:t>
      </w:r>
      <w:r w:rsidRPr="00116729">
        <w:rPr>
          <w:rFonts w:ascii="Verdana" w:hAnsi="Verdana" w:cstheme="minorHAnsi"/>
        </w:rPr>
        <w:t>consumo (amortização) é registrado contabilmente com base no relatório gerado pelo CCN que apresenta a queima (consumo) mensal, a queima acumulada mensalmente e o saldo residual dos elementos combustíveis que compõem o núcleo do reator</w:t>
      </w:r>
      <w:r w:rsidR="00B25EB1" w:rsidRPr="00116729">
        <w:rPr>
          <w:rFonts w:ascii="Verdana" w:hAnsi="Verdana" w:cstheme="minorHAnsi"/>
        </w:rPr>
        <w:t>.</w:t>
      </w:r>
    </w:p>
    <w:p w14:paraId="3C0D4218" w14:textId="77777777" w:rsidR="008A12C9" w:rsidRPr="00F7132F" w:rsidRDefault="003B3613" w:rsidP="00F7132F">
      <w:pPr>
        <w:tabs>
          <w:tab w:val="left" w:pos="567"/>
          <w:tab w:val="left" w:pos="1134"/>
          <w:tab w:val="left" w:pos="1701"/>
          <w:tab w:val="left" w:pos="2268"/>
          <w:tab w:val="left" w:pos="2835"/>
        </w:tabs>
        <w:jc w:val="both"/>
        <w:outlineLvl w:val="0"/>
        <w:rPr>
          <w:rFonts w:ascii="Verdana" w:hAnsi="Verdana" w:cstheme="minorHAnsi"/>
          <w:b/>
        </w:rPr>
      </w:pPr>
      <w:r w:rsidRPr="00F7132F">
        <w:rPr>
          <w:rFonts w:ascii="Verdana" w:hAnsi="Verdana" w:cstheme="minorHAnsi"/>
          <w:b/>
        </w:rPr>
        <w:t>4 – CAIXA</w:t>
      </w:r>
      <w:r w:rsidR="00E11DF3" w:rsidRPr="00F7132F">
        <w:rPr>
          <w:rFonts w:ascii="Verdana" w:hAnsi="Verdana" w:cstheme="minorHAnsi"/>
          <w:b/>
        </w:rPr>
        <w:t xml:space="preserve"> </w:t>
      </w:r>
      <w:r w:rsidR="003D318B" w:rsidRPr="00F7132F">
        <w:rPr>
          <w:rFonts w:ascii="Verdana" w:hAnsi="Verdana" w:cstheme="minorHAnsi"/>
          <w:b/>
        </w:rPr>
        <w:t>E</w:t>
      </w:r>
      <w:r w:rsidR="00E11DF3" w:rsidRPr="00F7132F">
        <w:rPr>
          <w:rFonts w:ascii="Verdana" w:hAnsi="Verdana" w:cstheme="minorHAnsi"/>
          <w:b/>
        </w:rPr>
        <w:t xml:space="preserve"> </w:t>
      </w:r>
      <w:r w:rsidR="00B25EB1" w:rsidRPr="00F7132F">
        <w:rPr>
          <w:rFonts w:ascii="Verdana" w:hAnsi="Verdana" w:cstheme="minorHAnsi"/>
          <w:b/>
        </w:rPr>
        <w:t>EQUIVALENTES DE CAIXA</w:t>
      </w:r>
    </w:p>
    <w:tbl>
      <w:tblPr>
        <w:tblW w:w="5000" w:type="pct"/>
        <w:tblCellMar>
          <w:left w:w="70" w:type="dxa"/>
          <w:right w:w="70" w:type="dxa"/>
        </w:tblCellMar>
        <w:tblLook w:val="04A0" w:firstRow="1" w:lastRow="0" w:firstColumn="1" w:lastColumn="0" w:noHBand="0" w:noVBand="1"/>
      </w:tblPr>
      <w:tblGrid>
        <w:gridCol w:w="5387"/>
        <w:gridCol w:w="202"/>
        <w:gridCol w:w="1782"/>
        <w:gridCol w:w="202"/>
        <w:gridCol w:w="1782"/>
      </w:tblGrid>
      <w:tr w:rsidR="008A12C9" w:rsidRPr="00116729" w14:paraId="580267E9" w14:textId="77777777" w:rsidTr="008A12C9">
        <w:trPr>
          <w:trHeight w:val="20"/>
        </w:trPr>
        <w:tc>
          <w:tcPr>
            <w:tcW w:w="2956" w:type="pct"/>
            <w:tcBorders>
              <w:top w:val="nil"/>
              <w:left w:val="nil"/>
              <w:bottom w:val="nil"/>
              <w:right w:val="nil"/>
            </w:tcBorders>
            <w:shd w:val="clear" w:color="auto" w:fill="auto"/>
            <w:noWrap/>
            <w:vAlign w:val="bottom"/>
            <w:hideMark/>
          </w:tcPr>
          <w:p w14:paraId="63AD6F67" w14:textId="77777777" w:rsidR="008A12C9" w:rsidRPr="00116729" w:rsidRDefault="008A12C9" w:rsidP="008A12C9">
            <w:pPr>
              <w:spacing w:after="0" w:line="240" w:lineRule="auto"/>
              <w:rPr>
                <w:rFonts w:ascii="Times New Roman" w:eastAsia="Times New Roman" w:hAnsi="Times New Roman" w:cs="Times New Roman"/>
                <w:sz w:val="24"/>
                <w:szCs w:val="24"/>
                <w:lang w:eastAsia="pt-BR"/>
              </w:rPr>
            </w:pPr>
          </w:p>
        </w:tc>
        <w:tc>
          <w:tcPr>
            <w:tcW w:w="111" w:type="pct"/>
            <w:tcBorders>
              <w:top w:val="nil"/>
              <w:left w:val="nil"/>
              <w:bottom w:val="nil"/>
              <w:right w:val="nil"/>
            </w:tcBorders>
            <w:shd w:val="clear" w:color="auto" w:fill="auto"/>
            <w:noWrap/>
            <w:vAlign w:val="bottom"/>
            <w:hideMark/>
          </w:tcPr>
          <w:p w14:paraId="0F97B6B6" w14:textId="77777777" w:rsidR="008A12C9" w:rsidRPr="00116729" w:rsidRDefault="008A12C9" w:rsidP="008A12C9">
            <w:pPr>
              <w:spacing w:after="0" w:line="240" w:lineRule="auto"/>
              <w:rPr>
                <w:rFonts w:ascii="Times New Roman" w:eastAsia="Times New Roman" w:hAnsi="Times New Roman" w:cs="Times New Roman"/>
                <w:sz w:val="20"/>
                <w:szCs w:val="20"/>
                <w:lang w:eastAsia="pt-BR"/>
              </w:rPr>
            </w:pPr>
          </w:p>
        </w:tc>
        <w:tc>
          <w:tcPr>
            <w:tcW w:w="911" w:type="pct"/>
            <w:tcBorders>
              <w:top w:val="nil"/>
              <w:left w:val="nil"/>
              <w:bottom w:val="single" w:sz="4" w:space="0" w:color="auto"/>
              <w:right w:val="nil"/>
            </w:tcBorders>
            <w:shd w:val="clear" w:color="auto" w:fill="auto"/>
            <w:noWrap/>
            <w:vAlign w:val="bottom"/>
            <w:hideMark/>
          </w:tcPr>
          <w:p w14:paraId="4A4913FF"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Controladora</w:t>
            </w:r>
          </w:p>
        </w:tc>
        <w:tc>
          <w:tcPr>
            <w:tcW w:w="111" w:type="pct"/>
            <w:tcBorders>
              <w:top w:val="nil"/>
              <w:left w:val="nil"/>
              <w:bottom w:val="nil"/>
              <w:right w:val="nil"/>
            </w:tcBorders>
            <w:shd w:val="clear" w:color="auto" w:fill="auto"/>
            <w:noWrap/>
            <w:vAlign w:val="bottom"/>
            <w:hideMark/>
          </w:tcPr>
          <w:p w14:paraId="7090FA18"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p>
        </w:tc>
        <w:tc>
          <w:tcPr>
            <w:tcW w:w="911" w:type="pct"/>
            <w:tcBorders>
              <w:top w:val="nil"/>
              <w:left w:val="nil"/>
              <w:bottom w:val="single" w:sz="4" w:space="0" w:color="auto"/>
              <w:right w:val="nil"/>
            </w:tcBorders>
            <w:shd w:val="clear" w:color="auto" w:fill="auto"/>
            <w:noWrap/>
            <w:vAlign w:val="bottom"/>
            <w:hideMark/>
          </w:tcPr>
          <w:p w14:paraId="04D77078"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Consolidado</w:t>
            </w:r>
          </w:p>
        </w:tc>
      </w:tr>
      <w:tr w:rsidR="008A12C9" w:rsidRPr="00116729" w14:paraId="2C83D36F" w14:textId="77777777" w:rsidTr="008A12C9">
        <w:trPr>
          <w:trHeight w:val="20"/>
        </w:trPr>
        <w:tc>
          <w:tcPr>
            <w:tcW w:w="2956" w:type="pct"/>
            <w:tcBorders>
              <w:top w:val="nil"/>
              <w:left w:val="nil"/>
              <w:bottom w:val="nil"/>
              <w:right w:val="nil"/>
            </w:tcBorders>
            <w:shd w:val="clear" w:color="auto" w:fill="auto"/>
            <w:noWrap/>
            <w:vAlign w:val="center"/>
            <w:hideMark/>
          </w:tcPr>
          <w:p w14:paraId="6F5937F3"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p>
        </w:tc>
        <w:tc>
          <w:tcPr>
            <w:tcW w:w="111" w:type="pct"/>
            <w:tcBorders>
              <w:top w:val="nil"/>
              <w:left w:val="nil"/>
              <w:bottom w:val="nil"/>
              <w:right w:val="nil"/>
            </w:tcBorders>
            <w:shd w:val="clear" w:color="auto" w:fill="auto"/>
            <w:noWrap/>
            <w:vAlign w:val="center"/>
            <w:hideMark/>
          </w:tcPr>
          <w:p w14:paraId="4CC44B1B" w14:textId="77777777" w:rsidR="008A12C9" w:rsidRPr="00116729" w:rsidRDefault="008A12C9" w:rsidP="008A12C9">
            <w:pPr>
              <w:spacing w:after="0" w:line="240" w:lineRule="auto"/>
              <w:rPr>
                <w:rFonts w:ascii="Times New Roman" w:eastAsia="Times New Roman" w:hAnsi="Times New Roman" w:cs="Times New Roman"/>
                <w:sz w:val="20"/>
                <w:szCs w:val="20"/>
                <w:lang w:eastAsia="pt-BR"/>
              </w:rPr>
            </w:pPr>
          </w:p>
        </w:tc>
        <w:tc>
          <w:tcPr>
            <w:tcW w:w="911" w:type="pct"/>
            <w:tcBorders>
              <w:top w:val="nil"/>
              <w:left w:val="nil"/>
              <w:bottom w:val="single" w:sz="4" w:space="0" w:color="auto"/>
              <w:right w:val="nil"/>
            </w:tcBorders>
            <w:shd w:val="clear" w:color="auto" w:fill="auto"/>
            <w:noWrap/>
            <w:vAlign w:val="center"/>
            <w:hideMark/>
          </w:tcPr>
          <w:p w14:paraId="21821EF5"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30/06/2022</w:t>
            </w:r>
          </w:p>
        </w:tc>
        <w:tc>
          <w:tcPr>
            <w:tcW w:w="111" w:type="pct"/>
            <w:tcBorders>
              <w:top w:val="nil"/>
              <w:left w:val="nil"/>
              <w:bottom w:val="nil"/>
              <w:right w:val="nil"/>
            </w:tcBorders>
            <w:shd w:val="clear" w:color="auto" w:fill="auto"/>
            <w:noWrap/>
            <w:vAlign w:val="center"/>
            <w:hideMark/>
          </w:tcPr>
          <w:p w14:paraId="17EA4FCF"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p>
        </w:tc>
        <w:tc>
          <w:tcPr>
            <w:tcW w:w="911" w:type="pct"/>
            <w:tcBorders>
              <w:top w:val="nil"/>
              <w:left w:val="nil"/>
              <w:bottom w:val="single" w:sz="4" w:space="0" w:color="auto"/>
              <w:right w:val="nil"/>
            </w:tcBorders>
            <w:shd w:val="clear" w:color="auto" w:fill="auto"/>
            <w:noWrap/>
            <w:vAlign w:val="center"/>
            <w:hideMark/>
          </w:tcPr>
          <w:p w14:paraId="13047186"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30/06/2022</w:t>
            </w:r>
          </w:p>
        </w:tc>
      </w:tr>
      <w:tr w:rsidR="008A12C9" w:rsidRPr="00116729" w14:paraId="30CE159A" w14:textId="77777777" w:rsidTr="00F7132F">
        <w:trPr>
          <w:trHeight w:val="20"/>
        </w:trPr>
        <w:tc>
          <w:tcPr>
            <w:tcW w:w="2956" w:type="pct"/>
            <w:tcBorders>
              <w:top w:val="nil"/>
              <w:left w:val="nil"/>
              <w:bottom w:val="nil"/>
              <w:right w:val="nil"/>
            </w:tcBorders>
            <w:shd w:val="clear" w:color="auto" w:fill="auto"/>
            <w:noWrap/>
            <w:vAlign w:val="center"/>
            <w:hideMark/>
          </w:tcPr>
          <w:p w14:paraId="5853142D" w14:textId="77777777" w:rsidR="008A12C9" w:rsidRPr="00F7132F" w:rsidRDefault="008A12C9" w:rsidP="008A12C9">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11" w:type="pct"/>
            <w:tcBorders>
              <w:top w:val="nil"/>
              <w:left w:val="nil"/>
              <w:bottom w:val="nil"/>
              <w:right w:val="nil"/>
            </w:tcBorders>
            <w:shd w:val="clear" w:color="auto" w:fill="auto"/>
            <w:noWrap/>
            <w:vAlign w:val="center"/>
            <w:hideMark/>
          </w:tcPr>
          <w:p w14:paraId="0639EDCC"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911" w:type="pct"/>
            <w:tcBorders>
              <w:top w:val="nil"/>
              <w:left w:val="nil"/>
              <w:bottom w:val="nil"/>
              <w:right w:val="nil"/>
            </w:tcBorders>
            <w:shd w:val="clear" w:color="auto" w:fill="auto"/>
            <w:noWrap/>
            <w:vAlign w:val="center"/>
            <w:hideMark/>
          </w:tcPr>
          <w:p w14:paraId="776470B7"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11" w:type="pct"/>
            <w:tcBorders>
              <w:top w:val="nil"/>
              <w:left w:val="nil"/>
              <w:bottom w:val="nil"/>
              <w:right w:val="nil"/>
            </w:tcBorders>
            <w:shd w:val="clear" w:color="auto" w:fill="auto"/>
            <w:noWrap/>
            <w:vAlign w:val="center"/>
            <w:hideMark/>
          </w:tcPr>
          <w:p w14:paraId="634512DE"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911" w:type="pct"/>
            <w:tcBorders>
              <w:top w:val="nil"/>
              <w:left w:val="nil"/>
              <w:bottom w:val="nil"/>
              <w:right w:val="nil"/>
            </w:tcBorders>
            <w:shd w:val="clear" w:color="auto" w:fill="auto"/>
            <w:noWrap/>
            <w:vAlign w:val="center"/>
            <w:hideMark/>
          </w:tcPr>
          <w:p w14:paraId="6BF1A82F"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r>
      <w:tr w:rsidR="008A12C9" w:rsidRPr="00116729" w14:paraId="64AE6F39" w14:textId="77777777" w:rsidTr="008A12C9">
        <w:trPr>
          <w:trHeight w:val="20"/>
        </w:trPr>
        <w:tc>
          <w:tcPr>
            <w:tcW w:w="2956" w:type="pct"/>
            <w:tcBorders>
              <w:top w:val="nil"/>
              <w:left w:val="nil"/>
              <w:bottom w:val="nil"/>
              <w:right w:val="nil"/>
            </w:tcBorders>
            <w:shd w:val="clear" w:color="auto" w:fill="auto"/>
            <w:noWrap/>
            <w:vAlign w:val="center"/>
            <w:hideMark/>
          </w:tcPr>
          <w:p w14:paraId="6D1F789A" w14:textId="77777777" w:rsidR="008A12C9" w:rsidRPr="00F7132F" w:rsidRDefault="008A12C9" w:rsidP="008A12C9">
            <w:pPr>
              <w:spacing w:after="0" w:line="240" w:lineRule="auto"/>
              <w:rPr>
                <w:rFonts w:ascii="Verdana" w:eastAsia="Times New Roman" w:hAnsi="Verdana" w:cs="Calibri"/>
                <w:bCs/>
                <w:sz w:val="18"/>
                <w:szCs w:val="18"/>
                <w:lang w:eastAsia="pt-BR"/>
              </w:rPr>
            </w:pPr>
            <w:r w:rsidRPr="00F7132F">
              <w:rPr>
                <w:rFonts w:ascii="Verdana" w:eastAsia="Times New Roman" w:hAnsi="Verdana" w:cs="Calibri"/>
                <w:bCs/>
                <w:sz w:val="18"/>
                <w:szCs w:val="18"/>
                <w:lang w:eastAsia="pt-BR"/>
              </w:rPr>
              <w:t>Bancos</w:t>
            </w:r>
          </w:p>
        </w:tc>
        <w:tc>
          <w:tcPr>
            <w:tcW w:w="111" w:type="pct"/>
            <w:tcBorders>
              <w:top w:val="nil"/>
              <w:left w:val="nil"/>
              <w:bottom w:val="nil"/>
              <w:right w:val="nil"/>
            </w:tcBorders>
            <w:shd w:val="clear" w:color="auto" w:fill="auto"/>
            <w:noWrap/>
            <w:vAlign w:val="center"/>
            <w:hideMark/>
          </w:tcPr>
          <w:p w14:paraId="6B62ACF8" w14:textId="77777777" w:rsidR="008A12C9" w:rsidRPr="00F7132F" w:rsidRDefault="008A12C9" w:rsidP="008A12C9">
            <w:pPr>
              <w:spacing w:after="0" w:line="240" w:lineRule="auto"/>
              <w:rPr>
                <w:rFonts w:ascii="Verdana" w:eastAsia="Times New Roman" w:hAnsi="Verdana" w:cs="Calibri"/>
                <w:b/>
                <w:bCs/>
                <w:sz w:val="18"/>
                <w:szCs w:val="18"/>
                <w:lang w:eastAsia="pt-BR"/>
              </w:rPr>
            </w:pPr>
          </w:p>
        </w:tc>
        <w:tc>
          <w:tcPr>
            <w:tcW w:w="911" w:type="pct"/>
            <w:tcBorders>
              <w:top w:val="nil"/>
              <w:left w:val="nil"/>
              <w:bottom w:val="nil"/>
              <w:right w:val="nil"/>
            </w:tcBorders>
            <w:shd w:val="clear" w:color="auto" w:fill="auto"/>
            <w:noWrap/>
            <w:vAlign w:val="center"/>
            <w:hideMark/>
          </w:tcPr>
          <w:p w14:paraId="43929E34" w14:textId="77777777" w:rsidR="008A12C9" w:rsidRPr="00F7132F" w:rsidRDefault="008A12C9" w:rsidP="008A12C9">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10 </w:t>
            </w:r>
          </w:p>
        </w:tc>
        <w:tc>
          <w:tcPr>
            <w:tcW w:w="111" w:type="pct"/>
            <w:tcBorders>
              <w:top w:val="nil"/>
              <w:left w:val="nil"/>
              <w:bottom w:val="nil"/>
              <w:right w:val="nil"/>
            </w:tcBorders>
            <w:shd w:val="clear" w:color="auto" w:fill="auto"/>
            <w:noWrap/>
            <w:vAlign w:val="center"/>
            <w:hideMark/>
          </w:tcPr>
          <w:p w14:paraId="6ACC1152" w14:textId="77777777" w:rsidR="008A12C9" w:rsidRPr="00F7132F" w:rsidRDefault="008A12C9" w:rsidP="008A12C9">
            <w:pPr>
              <w:spacing w:after="0" w:line="240" w:lineRule="auto"/>
              <w:jc w:val="right"/>
              <w:rPr>
                <w:rFonts w:ascii="Verdana" w:eastAsia="Times New Roman" w:hAnsi="Verdana" w:cs="Calibri"/>
                <w:sz w:val="18"/>
                <w:szCs w:val="18"/>
                <w:lang w:eastAsia="pt-BR"/>
              </w:rPr>
            </w:pPr>
          </w:p>
        </w:tc>
        <w:tc>
          <w:tcPr>
            <w:tcW w:w="911" w:type="pct"/>
            <w:tcBorders>
              <w:top w:val="nil"/>
              <w:left w:val="nil"/>
              <w:bottom w:val="nil"/>
              <w:right w:val="nil"/>
            </w:tcBorders>
            <w:shd w:val="clear" w:color="auto" w:fill="auto"/>
            <w:noWrap/>
            <w:vAlign w:val="center"/>
            <w:hideMark/>
          </w:tcPr>
          <w:p w14:paraId="31C16E3A" w14:textId="77777777" w:rsidR="008A12C9" w:rsidRPr="00F7132F" w:rsidRDefault="008A12C9" w:rsidP="008A12C9">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6.620 </w:t>
            </w:r>
          </w:p>
        </w:tc>
      </w:tr>
      <w:tr w:rsidR="008A12C9" w:rsidRPr="00116729" w14:paraId="7786CA8B" w14:textId="77777777" w:rsidTr="00F7132F">
        <w:trPr>
          <w:trHeight w:val="20"/>
        </w:trPr>
        <w:tc>
          <w:tcPr>
            <w:tcW w:w="2956" w:type="pct"/>
            <w:tcBorders>
              <w:top w:val="nil"/>
              <w:left w:val="nil"/>
              <w:bottom w:val="nil"/>
              <w:right w:val="nil"/>
            </w:tcBorders>
            <w:shd w:val="clear" w:color="auto" w:fill="auto"/>
            <w:noWrap/>
            <w:vAlign w:val="center"/>
            <w:hideMark/>
          </w:tcPr>
          <w:p w14:paraId="12EDDAD7" w14:textId="77777777" w:rsidR="008A12C9" w:rsidRPr="00F7132F" w:rsidRDefault="008A12C9" w:rsidP="008A12C9">
            <w:pPr>
              <w:spacing w:after="0" w:line="240" w:lineRule="auto"/>
              <w:rPr>
                <w:rFonts w:ascii="Verdana" w:eastAsia="Times New Roman" w:hAnsi="Verdana" w:cs="Calibri"/>
                <w:bCs/>
                <w:sz w:val="18"/>
                <w:szCs w:val="18"/>
                <w:lang w:eastAsia="pt-BR"/>
              </w:rPr>
            </w:pPr>
            <w:r w:rsidRPr="00F7132F">
              <w:rPr>
                <w:rFonts w:ascii="Verdana" w:eastAsia="Times New Roman" w:hAnsi="Verdana" w:cs="Calibri"/>
                <w:bCs/>
                <w:sz w:val="18"/>
                <w:szCs w:val="18"/>
                <w:lang w:eastAsia="pt-BR"/>
              </w:rPr>
              <w:t>Aplicações financeiras</w:t>
            </w:r>
            <w:r w:rsidR="00581D1F">
              <w:rPr>
                <w:rFonts w:ascii="Verdana" w:eastAsia="Times New Roman" w:hAnsi="Verdana" w:cs="Calibri"/>
                <w:bCs/>
                <w:sz w:val="18"/>
                <w:szCs w:val="18"/>
                <w:lang w:eastAsia="pt-BR"/>
              </w:rPr>
              <w:t xml:space="preserve"> (a)</w:t>
            </w:r>
          </w:p>
        </w:tc>
        <w:tc>
          <w:tcPr>
            <w:tcW w:w="111" w:type="pct"/>
            <w:tcBorders>
              <w:top w:val="nil"/>
              <w:left w:val="nil"/>
              <w:bottom w:val="nil"/>
              <w:right w:val="nil"/>
            </w:tcBorders>
            <w:shd w:val="clear" w:color="auto" w:fill="auto"/>
            <w:noWrap/>
            <w:vAlign w:val="center"/>
            <w:hideMark/>
          </w:tcPr>
          <w:p w14:paraId="49F12A9E"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911" w:type="pct"/>
            <w:tcBorders>
              <w:top w:val="nil"/>
              <w:left w:val="nil"/>
              <w:bottom w:val="nil"/>
              <w:right w:val="nil"/>
            </w:tcBorders>
            <w:shd w:val="clear" w:color="auto" w:fill="auto"/>
            <w:noWrap/>
            <w:vAlign w:val="center"/>
            <w:hideMark/>
          </w:tcPr>
          <w:p w14:paraId="43FCD84C" w14:textId="77777777" w:rsidR="008A12C9" w:rsidRPr="00F7132F" w:rsidRDefault="008A12C9" w:rsidP="008A12C9">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596.308 </w:t>
            </w:r>
          </w:p>
        </w:tc>
        <w:tc>
          <w:tcPr>
            <w:tcW w:w="111" w:type="pct"/>
            <w:tcBorders>
              <w:top w:val="nil"/>
              <w:left w:val="nil"/>
              <w:bottom w:val="nil"/>
              <w:right w:val="nil"/>
            </w:tcBorders>
            <w:shd w:val="clear" w:color="auto" w:fill="auto"/>
            <w:noWrap/>
            <w:vAlign w:val="center"/>
            <w:hideMark/>
          </w:tcPr>
          <w:p w14:paraId="5602C0D6"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911" w:type="pct"/>
            <w:tcBorders>
              <w:top w:val="nil"/>
              <w:left w:val="nil"/>
              <w:bottom w:val="nil"/>
              <w:right w:val="nil"/>
            </w:tcBorders>
            <w:shd w:val="clear" w:color="auto" w:fill="auto"/>
            <w:noWrap/>
            <w:vAlign w:val="center"/>
            <w:hideMark/>
          </w:tcPr>
          <w:p w14:paraId="42ACBACB" w14:textId="77777777" w:rsidR="008A12C9" w:rsidRPr="00F7132F" w:rsidRDefault="008A12C9" w:rsidP="008A12C9">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596.308 </w:t>
            </w:r>
          </w:p>
        </w:tc>
      </w:tr>
      <w:tr w:rsidR="00AE0B22" w:rsidRPr="00116729" w14:paraId="47FE3AE4" w14:textId="77777777" w:rsidTr="00F7132F">
        <w:trPr>
          <w:trHeight w:val="20"/>
        </w:trPr>
        <w:tc>
          <w:tcPr>
            <w:tcW w:w="2956" w:type="pct"/>
            <w:tcBorders>
              <w:top w:val="nil"/>
              <w:left w:val="nil"/>
              <w:bottom w:val="nil"/>
              <w:right w:val="nil"/>
            </w:tcBorders>
            <w:shd w:val="clear" w:color="auto" w:fill="auto"/>
            <w:noWrap/>
            <w:vAlign w:val="center"/>
          </w:tcPr>
          <w:p w14:paraId="09153DAC" w14:textId="77777777" w:rsidR="00AE0B22" w:rsidRPr="00F7132F" w:rsidRDefault="00AE0B22" w:rsidP="008A12C9">
            <w:pPr>
              <w:spacing w:after="0" w:line="240" w:lineRule="auto"/>
              <w:rPr>
                <w:rFonts w:ascii="Verdana" w:eastAsia="Times New Roman" w:hAnsi="Verdana" w:cs="Calibri"/>
                <w:bCs/>
                <w:sz w:val="18"/>
                <w:szCs w:val="18"/>
                <w:lang w:eastAsia="pt-BR"/>
              </w:rPr>
            </w:pPr>
            <w:r>
              <w:rPr>
                <w:rFonts w:ascii="Verdana" w:eastAsia="Times New Roman" w:hAnsi="Verdana" w:cs="Calibri"/>
                <w:bCs/>
                <w:sz w:val="18"/>
                <w:szCs w:val="18"/>
                <w:lang w:eastAsia="pt-BR"/>
              </w:rPr>
              <w:t>Caixa restrito</w:t>
            </w:r>
            <w:r w:rsidR="00581D1F">
              <w:rPr>
                <w:rFonts w:ascii="Verdana" w:eastAsia="Times New Roman" w:hAnsi="Verdana" w:cs="Calibri"/>
                <w:bCs/>
                <w:sz w:val="18"/>
                <w:szCs w:val="18"/>
                <w:lang w:eastAsia="pt-BR"/>
              </w:rPr>
              <w:t xml:space="preserve"> (b)</w:t>
            </w:r>
          </w:p>
        </w:tc>
        <w:tc>
          <w:tcPr>
            <w:tcW w:w="111" w:type="pct"/>
            <w:tcBorders>
              <w:top w:val="nil"/>
              <w:left w:val="nil"/>
              <w:bottom w:val="nil"/>
              <w:right w:val="nil"/>
            </w:tcBorders>
            <w:shd w:val="clear" w:color="auto" w:fill="auto"/>
            <w:noWrap/>
            <w:vAlign w:val="center"/>
          </w:tcPr>
          <w:p w14:paraId="0EEB96AD" w14:textId="77777777" w:rsidR="00AE0B22" w:rsidRPr="00F7132F" w:rsidRDefault="00AE0B22" w:rsidP="008A12C9">
            <w:pPr>
              <w:spacing w:after="0" w:line="240" w:lineRule="auto"/>
              <w:jc w:val="center"/>
              <w:rPr>
                <w:rFonts w:ascii="Verdana" w:eastAsia="Times New Roman" w:hAnsi="Verdana" w:cs="Calibri"/>
                <w:b/>
                <w:bCs/>
                <w:sz w:val="18"/>
                <w:szCs w:val="18"/>
                <w:lang w:eastAsia="pt-BR"/>
              </w:rPr>
            </w:pPr>
          </w:p>
        </w:tc>
        <w:tc>
          <w:tcPr>
            <w:tcW w:w="911" w:type="pct"/>
            <w:tcBorders>
              <w:top w:val="nil"/>
              <w:left w:val="nil"/>
              <w:bottom w:val="nil"/>
              <w:right w:val="nil"/>
            </w:tcBorders>
            <w:shd w:val="clear" w:color="auto" w:fill="auto"/>
            <w:noWrap/>
            <w:vAlign w:val="center"/>
          </w:tcPr>
          <w:p w14:paraId="7F001E3F" w14:textId="77777777" w:rsidR="00AE0B22" w:rsidRPr="00F7132F" w:rsidRDefault="00AE0B22" w:rsidP="008A12C9">
            <w:pPr>
              <w:spacing w:after="0" w:line="240" w:lineRule="auto"/>
              <w:jc w:val="right"/>
              <w:rPr>
                <w:rFonts w:ascii="Verdana" w:eastAsia="Times New Roman" w:hAnsi="Verdana" w:cs="Calibri"/>
                <w:sz w:val="18"/>
                <w:szCs w:val="18"/>
                <w:lang w:eastAsia="pt-BR"/>
              </w:rPr>
            </w:pPr>
            <w:r>
              <w:rPr>
                <w:rFonts w:ascii="Verdana" w:eastAsia="Times New Roman" w:hAnsi="Verdana" w:cs="Calibri"/>
                <w:sz w:val="18"/>
                <w:szCs w:val="18"/>
                <w:lang w:eastAsia="pt-BR"/>
              </w:rPr>
              <w:t>949.389</w:t>
            </w:r>
          </w:p>
        </w:tc>
        <w:tc>
          <w:tcPr>
            <w:tcW w:w="111" w:type="pct"/>
            <w:tcBorders>
              <w:top w:val="nil"/>
              <w:left w:val="nil"/>
              <w:bottom w:val="nil"/>
              <w:right w:val="nil"/>
            </w:tcBorders>
            <w:shd w:val="clear" w:color="auto" w:fill="auto"/>
            <w:noWrap/>
            <w:vAlign w:val="center"/>
          </w:tcPr>
          <w:p w14:paraId="429547F4" w14:textId="77777777" w:rsidR="00AE0B22" w:rsidRPr="00F7132F" w:rsidRDefault="00AE0B22" w:rsidP="008A12C9">
            <w:pPr>
              <w:spacing w:after="0" w:line="240" w:lineRule="auto"/>
              <w:jc w:val="center"/>
              <w:rPr>
                <w:rFonts w:ascii="Verdana" w:eastAsia="Times New Roman" w:hAnsi="Verdana" w:cs="Calibri"/>
                <w:b/>
                <w:bCs/>
                <w:sz w:val="18"/>
                <w:szCs w:val="18"/>
                <w:lang w:eastAsia="pt-BR"/>
              </w:rPr>
            </w:pPr>
          </w:p>
        </w:tc>
        <w:tc>
          <w:tcPr>
            <w:tcW w:w="911" w:type="pct"/>
            <w:tcBorders>
              <w:top w:val="nil"/>
              <w:left w:val="nil"/>
              <w:bottom w:val="nil"/>
              <w:right w:val="nil"/>
            </w:tcBorders>
            <w:shd w:val="clear" w:color="auto" w:fill="auto"/>
            <w:noWrap/>
            <w:vAlign w:val="center"/>
          </w:tcPr>
          <w:p w14:paraId="73F63939" w14:textId="77777777" w:rsidR="00AE0B22" w:rsidRPr="00F7132F" w:rsidRDefault="00AE0B22" w:rsidP="008A12C9">
            <w:pPr>
              <w:spacing w:after="0" w:line="240" w:lineRule="auto"/>
              <w:jc w:val="right"/>
              <w:rPr>
                <w:rFonts w:ascii="Verdana" w:eastAsia="Times New Roman" w:hAnsi="Verdana" w:cs="Calibri"/>
                <w:sz w:val="18"/>
                <w:szCs w:val="18"/>
                <w:lang w:eastAsia="pt-BR"/>
              </w:rPr>
            </w:pPr>
            <w:r>
              <w:rPr>
                <w:rFonts w:ascii="Verdana" w:eastAsia="Times New Roman" w:hAnsi="Verdana" w:cs="Calibri"/>
                <w:sz w:val="18"/>
                <w:szCs w:val="18"/>
                <w:lang w:eastAsia="pt-BR"/>
              </w:rPr>
              <w:t>949.389</w:t>
            </w:r>
          </w:p>
        </w:tc>
      </w:tr>
      <w:tr w:rsidR="008A12C9" w:rsidRPr="00116729" w14:paraId="661255F2" w14:textId="77777777" w:rsidTr="008A12C9">
        <w:trPr>
          <w:trHeight w:val="20"/>
        </w:trPr>
        <w:tc>
          <w:tcPr>
            <w:tcW w:w="2956" w:type="pct"/>
            <w:tcBorders>
              <w:top w:val="nil"/>
              <w:left w:val="nil"/>
              <w:bottom w:val="nil"/>
              <w:right w:val="nil"/>
            </w:tcBorders>
            <w:shd w:val="clear" w:color="auto" w:fill="auto"/>
            <w:noWrap/>
            <w:vAlign w:val="center"/>
            <w:hideMark/>
          </w:tcPr>
          <w:p w14:paraId="7F2607FA" w14:textId="77777777" w:rsidR="008A12C9" w:rsidRPr="00F7132F" w:rsidRDefault="008A12C9" w:rsidP="008A12C9">
            <w:pPr>
              <w:spacing w:after="0" w:line="240" w:lineRule="auto"/>
              <w:jc w:val="right"/>
              <w:rPr>
                <w:rFonts w:ascii="Verdana" w:eastAsia="Times New Roman" w:hAnsi="Verdana" w:cs="Calibri"/>
                <w:sz w:val="18"/>
                <w:szCs w:val="18"/>
                <w:lang w:eastAsia="pt-BR"/>
              </w:rPr>
            </w:pPr>
          </w:p>
        </w:tc>
        <w:tc>
          <w:tcPr>
            <w:tcW w:w="111" w:type="pct"/>
            <w:tcBorders>
              <w:top w:val="nil"/>
              <w:left w:val="nil"/>
              <w:bottom w:val="nil"/>
              <w:right w:val="nil"/>
            </w:tcBorders>
            <w:shd w:val="clear" w:color="auto" w:fill="auto"/>
            <w:noWrap/>
            <w:vAlign w:val="center"/>
            <w:hideMark/>
          </w:tcPr>
          <w:p w14:paraId="710D0923" w14:textId="77777777" w:rsidR="008A12C9" w:rsidRPr="00116729" w:rsidRDefault="008A12C9" w:rsidP="008A12C9">
            <w:pPr>
              <w:spacing w:after="0" w:line="240" w:lineRule="auto"/>
              <w:rPr>
                <w:rFonts w:ascii="Times New Roman" w:eastAsia="Times New Roman" w:hAnsi="Times New Roman" w:cs="Times New Roman"/>
                <w:sz w:val="20"/>
                <w:szCs w:val="20"/>
                <w:lang w:eastAsia="pt-BR"/>
              </w:rPr>
            </w:pPr>
          </w:p>
        </w:tc>
        <w:tc>
          <w:tcPr>
            <w:tcW w:w="911" w:type="pct"/>
            <w:tcBorders>
              <w:top w:val="single" w:sz="4" w:space="0" w:color="auto"/>
              <w:left w:val="nil"/>
              <w:bottom w:val="double" w:sz="6" w:space="0" w:color="auto"/>
              <w:right w:val="nil"/>
            </w:tcBorders>
            <w:shd w:val="clear" w:color="auto" w:fill="auto"/>
            <w:noWrap/>
            <w:vAlign w:val="center"/>
            <w:hideMark/>
          </w:tcPr>
          <w:p w14:paraId="1C2485B8" w14:textId="77777777" w:rsidR="008A12C9" w:rsidRPr="00F7132F" w:rsidRDefault="008A12C9" w:rsidP="00AE0B22">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xml:space="preserve">          </w:t>
            </w:r>
            <w:r w:rsidR="00AE0B22">
              <w:rPr>
                <w:rFonts w:ascii="Verdana" w:eastAsia="Times New Roman" w:hAnsi="Verdana" w:cs="Calibri"/>
                <w:b/>
                <w:bCs/>
                <w:sz w:val="18"/>
                <w:szCs w:val="18"/>
                <w:lang w:eastAsia="pt-BR"/>
              </w:rPr>
              <w:t>1.545.707</w:t>
            </w:r>
            <w:r w:rsidRPr="00F7132F">
              <w:rPr>
                <w:rFonts w:ascii="Verdana" w:eastAsia="Times New Roman" w:hAnsi="Verdana" w:cs="Calibri"/>
                <w:b/>
                <w:bCs/>
                <w:sz w:val="18"/>
                <w:szCs w:val="18"/>
                <w:lang w:eastAsia="pt-BR"/>
              </w:rPr>
              <w:t xml:space="preserve"> </w:t>
            </w:r>
          </w:p>
        </w:tc>
        <w:tc>
          <w:tcPr>
            <w:tcW w:w="111" w:type="pct"/>
            <w:tcBorders>
              <w:top w:val="nil"/>
              <w:left w:val="nil"/>
              <w:bottom w:val="nil"/>
              <w:right w:val="nil"/>
            </w:tcBorders>
            <w:shd w:val="clear" w:color="auto" w:fill="auto"/>
            <w:noWrap/>
            <w:vAlign w:val="center"/>
            <w:hideMark/>
          </w:tcPr>
          <w:p w14:paraId="402A9D04" w14:textId="77777777" w:rsidR="008A12C9" w:rsidRPr="00F7132F" w:rsidRDefault="008A12C9" w:rsidP="008A12C9">
            <w:pPr>
              <w:spacing w:after="0" w:line="240" w:lineRule="auto"/>
              <w:jc w:val="right"/>
              <w:rPr>
                <w:rFonts w:ascii="Verdana" w:eastAsia="Times New Roman" w:hAnsi="Verdana" w:cs="Calibri"/>
                <w:b/>
                <w:bCs/>
                <w:sz w:val="18"/>
                <w:szCs w:val="18"/>
                <w:lang w:eastAsia="pt-BR"/>
              </w:rPr>
            </w:pPr>
          </w:p>
        </w:tc>
        <w:tc>
          <w:tcPr>
            <w:tcW w:w="911" w:type="pct"/>
            <w:tcBorders>
              <w:top w:val="single" w:sz="4" w:space="0" w:color="auto"/>
              <w:left w:val="nil"/>
              <w:bottom w:val="double" w:sz="6" w:space="0" w:color="auto"/>
              <w:right w:val="nil"/>
            </w:tcBorders>
            <w:shd w:val="clear" w:color="auto" w:fill="auto"/>
            <w:noWrap/>
            <w:vAlign w:val="center"/>
            <w:hideMark/>
          </w:tcPr>
          <w:p w14:paraId="3DD66CA2" w14:textId="77777777" w:rsidR="008A12C9" w:rsidRPr="00F7132F" w:rsidRDefault="008A12C9" w:rsidP="00AE0B22">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xml:space="preserve">          </w:t>
            </w:r>
            <w:r w:rsidR="00AE0B22">
              <w:rPr>
                <w:rFonts w:ascii="Verdana" w:eastAsia="Times New Roman" w:hAnsi="Verdana" w:cs="Calibri"/>
                <w:b/>
                <w:bCs/>
                <w:sz w:val="18"/>
                <w:szCs w:val="18"/>
                <w:lang w:eastAsia="pt-BR"/>
              </w:rPr>
              <w:t>1.552.317</w:t>
            </w:r>
            <w:r w:rsidRPr="00F7132F">
              <w:rPr>
                <w:rFonts w:ascii="Verdana" w:eastAsia="Times New Roman" w:hAnsi="Verdana" w:cs="Calibri"/>
                <w:b/>
                <w:bCs/>
                <w:sz w:val="18"/>
                <w:szCs w:val="18"/>
                <w:lang w:eastAsia="pt-BR"/>
              </w:rPr>
              <w:t xml:space="preserve"> </w:t>
            </w:r>
          </w:p>
        </w:tc>
      </w:tr>
    </w:tbl>
    <w:p w14:paraId="68780F9C" w14:textId="77777777" w:rsidR="008A12C9" w:rsidRPr="00A610F5" w:rsidRDefault="008A12C9" w:rsidP="00B25EB1">
      <w:pPr>
        <w:widowControl w:val="0"/>
        <w:autoSpaceDE w:val="0"/>
        <w:autoSpaceDN w:val="0"/>
        <w:jc w:val="both"/>
        <w:rPr>
          <w:rFonts w:ascii="Verdana" w:hAnsi="Verdana" w:cstheme="minorHAnsi"/>
          <w:sz w:val="12"/>
          <w:szCs w:val="12"/>
        </w:rPr>
      </w:pPr>
    </w:p>
    <w:p w14:paraId="60FBC6AF" w14:textId="77777777" w:rsidR="003D318B" w:rsidRPr="00581D1F" w:rsidRDefault="00B25EB1" w:rsidP="00581D1F">
      <w:pPr>
        <w:pStyle w:val="PargrafodaLista"/>
        <w:widowControl w:val="0"/>
        <w:numPr>
          <w:ilvl w:val="0"/>
          <w:numId w:val="26"/>
        </w:numPr>
        <w:autoSpaceDE w:val="0"/>
        <w:autoSpaceDN w:val="0"/>
        <w:rPr>
          <w:rFonts w:ascii="Verdana" w:hAnsi="Verdana" w:cstheme="minorHAnsi"/>
        </w:rPr>
      </w:pPr>
      <w:r w:rsidRPr="00581D1F">
        <w:rPr>
          <w:rFonts w:ascii="Verdana" w:hAnsi="Verdana" w:cstheme="minorHAnsi"/>
        </w:rPr>
        <w:t xml:space="preserve">O excedente de caixa da Companhia é aplicado de forma conservadora em ativos financeiros de baixo risco, sendo os principais instrumentos financeiros representados por </w:t>
      </w:r>
      <w:proofErr w:type="spellStart"/>
      <w:r w:rsidRPr="00581D1F">
        <w:rPr>
          <w:rFonts w:ascii="Verdana" w:hAnsi="Verdana" w:cstheme="minorHAnsi"/>
        </w:rPr>
        <w:t>CDB’s</w:t>
      </w:r>
      <w:proofErr w:type="spellEnd"/>
      <w:r w:rsidRPr="00581D1F">
        <w:rPr>
          <w:rFonts w:ascii="Verdana" w:hAnsi="Verdana" w:cstheme="minorHAnsi"/>
        </w:rPr>
        <w:t xml:space="preserve"> (Certificados de Depósitos Bancários), aplicados junto ao Banco </w:t>
      </w:r>
      <w:r w:rsidR="005C7733" w:rsidRPr="00581D1F">
        <w:rPr>
          <w:rFonts w:ascii="Verdana" w:hAnsi="Verdana" w:cstheme="minorHAnsi"/>
        </w:rPr>
        <w:t>do Brasil</w:t>
      </w:r>
      <w:r w:rsidRPr="00581D1F">
        <w:rPr>
          <w:rFonts w:ascii="Verdana" w:hAnsi="Verdana" w:cstheme="minorHAnsi"/>
        </w:rPr>
        <w:t xml:space="preserve"> S.A. – </w:t>
      </w:r>
      <w:r w:rsidR="005C7733" w:rsidRPr="00581D1F">
        <w:rPr>
          <w:rFonts w:ascii="Verdana" w:hAnsi="Verdana" w:cstheme="minorHAnsi"/>
        </w:rPr>
        <w:t>BB</w:t>
      </w:r>
      <w:r w:rsidRPr="00581D1F">
        <w:rPr>
          <w:rFonts w:ascii="Verdana" w:hAnsi="Verdana" w:cstheme="minorHAnsi"/>
        </w:rPr>
        <w:t xml:space="preserve">. Os investimentos têm alta liquidez, sendo prontamente conversíveis em recursos disponíveis de acordo com as necessidades de caixa da Companhia em um valor conhecido e com risco insignificante de perda. As aplicações financeiras da Companhia têm rentabilidade compatível às variações do CDI (Certificado de Depósito Bancário), com remuneração de </w:t>
      </w:r>
      <w:r w:rsidR="006370E1" w:rsidRPr="00581D1F">
        <w:rPr>
          <w:rFonts w:ascii="Verdana" w:hAnsi="Verdana" w:cstheme="minorHAnsi"/>
        </w:rPr>
        <w:t>90,83</w:t>
      </w:r>
      <w:r w:rsidRPr="00581D1F">
        <w:rPr>
          <w:rFonts w:ascii="Verdana" w:hAnsi="Verdana" w:cstheme="minorHAnsi"/>
        </w:rPr>
        <w:t>% deste indicador. Dada à natureza e característica das aplicações financeiras, as mesmas já estão reconhecidas pelo seu valor justo, em contrapartida ao resultado.</w:t>
      </w:r>
    </w:p>
    <w:p w14:paraId="360220CF" w14:textId="77777777" w:rsidR="00901DB3" w:rsidRPr="00A610F5" w:rsidRDefault="00901DB3" w:rsidP="005C7733">
      <w:pPr>
        <w:widowControl w:val="0"/>
        <w:autoSpaceDE w:val="0"/>
        <w:autoSpaceDN w:val="0"/>
        <w:jc w:val="both"/>
        <w:rPr>
          <w:rFonts w:ascii="Verdana" w:hAnsi="Verdana" w:cstheme="minorHAnsi"/>
          <w:sz w:val="12"/>
          <w:szCs w:val="12"/>
        </w:rPr>
      </w:pPr>
    </w:p>
    <w:p w14:paraId="0AB17AFF" w14:textId="77777777" w:rsidR="008A12C9" w:rsidRPr="00581D1F" w:rsidRDefault="00B25EB1" w:rsidP="00581D1F">
      <w:pPr>
        <w:pStyle w:val="PargrafodaLista"/>
        <w:numPr>
          <w:ilvl w:val="0"/>
          <w:numId w:val="26"/>
        </w:numPr>
        <w:autoSpaceDE w:val="0"/>
        <w:autoSpaceDN w:val="0"/>
        <w:adjustRightInd w:val="0"/>
        <w:rPr>
          <w:rFonts w:ascii="Verdana" w:hAnsi="Verdana" w:cstheme="minorHAnsi"/>
        </w:rPr>
      </w:pPr>
      <w:r w:rsidRPr="00581D1F">
        <w:rPr>
          <w:rFonts w:ascii="Verdana" w:hAnsi="Verdana" w:cstheme="minorHAnsi"/>
        </w:rPr>
        <w:t>O montante c</w:t>
      </w:r>
      <w:r w:rsidR="00431AD6" w:rsidRPr="00581D1F">
        <w:rPr>
          <w:rFonts w:ascii="Verdana" w:hAnsi="Verdana" w:cstheme="minorHAnsi"/>
        </w:rPr>
        <w:t xml:space="preserve">ompreende o saldo </w:t>
      </w:r>
      <w:r w:rsidR="00FB13E4" w:rsidRPr="00581D1F">
        <w:rPr>
          <w:rFonts w:ascii="Verdana" w:hAnsi="Verdana" w:cstheme="minorHAnsi"/>
        </w:rPr>
        <w:t xml:space="preserve">de conta corrente </w:t>
      </w:r>
      <w:r w:rsidRPr="00581D1F">
        <w:rPr>
          <w:rFonts w:ascii="Verdana" w:hAnsi="Verdana" w:cstheme="minorHAnsi"/>
        </w:rPr>
        <w:t>das atividades relacionadas à</w:t>
      </w:r>
      <w:r w:rsidR="00DD4F83" w:rsidRPr="00581D1F">
        <w:rPr>
          <w:rFonts w:ascii="Verdana" w:hAnsi="Verdana" w:cstheme="minorHAnsi"/>
        </w:rPr>
        <w:t xml:space="preserve"> atividade de comercialização da energia elétrica de</w:t>
      </w:r>
      <w:r w:rsidRPr="00581D1F">
        <w:rPr>
          <w:rFonts w:ascii="Verdana" w:hAnsi="Verdana" w:cstheme="minorHAnsi"/>
        </w:rPr>
        <w:t xml:space="preserve"> Itaipu</w:t>
      </w:r>
      <w:r w:rsidR="005C7733" w:rsidRPr="00581D1F">
        <w:rPr>
          <w:rFonts w:ascii="Verdana" w:hAnsi="Verdana" w:cstheme="minorHAnsi"/>
        </w:rPr>
        <w:t>,</w:t>
      </w:r>
      <w:r w:rsidR="00DD4F83" w:rsidRPr="00581D1F">
        <w:rPr>
          <w:rFonts w:ascii="Verdana" w:hAnsi="Verdana" w:cstheme="minorHAnsi"/>
        </w:rPr>
        <w:t xml:space="preserve"> administrada pela Companh</w:t>
      </w:r>
      <w:r w:rsidR="005A4FD7">
        <w:rPr>
          <w:rFonts w:ascii="Verdana" w:hAnsi="Verdana" w:cstheme="minorHAnsi"/>
        </w:rPr>
        <w:t>i</w:t>
      </w:r>
      <w:r w:rsidR="00DD4F83" w:rsidRPr="00581D1F">
        <w:rPr>
          <w:rFonts w:ascii="Verdana" w:hAnsi="Verdana" w:cstheme="minorHAnsi"/>
        </w:rPr>
        <w:t>a, e não pode</w:t>
      </w:r>
      <w:r w:rsidR="005C7733" w:rsidRPr="00581D1F">
        <w:rPr>
          <w:rFonts w:ascii="Verdana" w:hAnsi="Verdana" w:cstheme="minorHAnsi"/>
        </w:rPr>
        <w:t xml:space="preserve"> ser utilizada para outra finalidade</w:t>
      </w:r>
      <w:r w:rsidRPr="00581D1F">
        <w:rPr>
          <w:rFonts w:ascii="Verdana" w:hAnsi="Verdana" w:cstheme="minorHAnsi"/>
        </w:rPr>
        <w:t xml:space="preserve">. </w:t>
      </w:r>
      <w:r w:rsidR="00DD4F83" w:rsidRPr="00581D1F">
        <w:rPr>
          <w:rFonts w:ascii="Verdana" w:hAnsi="Verdana" w:cstheme="minorHAnsi"/>
        </w:rPr>
        <w:t xml:space="preserve">Os recursos estão aplicados no Bando do Brasil, no fundo BB EXTRAM FAE 2 FI, com remuneração de </w:t>
      </w:r>
      <w:r w:rsidR="006370E1" w:rsidRPr="00581D1F">
        <w:rPr>
          <w:rFonts w:ascii="Verdana" w:hAnsi="Verdana" w:cstheme="minorHAnsi"/>
        </w:rPr>
        <w:t>90,83% do CDI.</w:t>
      </w:r>
    </w:p>
    <w:p w14:paraId="55C83B4A" w14:textId="77777777" w:rsidR="00431AD6" w:rsidRPr="00A610F5" w:rsidRDefault="00431AD6" w:rsidP="00431AD6">
      <w:pPr>
        <w:autoSpaceDE w:val="0"/>
        <w:autoSpaceDN w:val="0"/>
        <w:adjustRightInd w:val="0"/>
        <w:spacing w:line="240" w:lineRule="auto"/>
        <w:jc w:val="both"/>
        <w:rPr>
          <w:rFonts w:ascii="Verdana" w:hAnsi="Verdana" w:cstheme="minorHAnsi"/>
          <w:sz w:val="16"/>
          <w:szCs w:val="16"/>
        </w:rPr>
      </w:pPr>
    </w:p>
    <w:p w14:paraId="7D9757A0" w14:textId="77777777" w:rsidR="008A12C9" w:rsidRPr="00116729" w:rsidRDefault="00581D1F" w:rsidP="00F7132F">
      <w:pPr>
        <w:tabs>
          <w:tab w:val="left" w:pos="567"/>
          <w:tab w:val="left" w:pos="1134"/>
          <w:tab w:val="left" w:pos="1701"/>
          <w:tab w:val="left" w:pos="2268"/>
          <w:tab w:val="left" w:pos="2835"/>
        </w:tabs>
        <w:jc w:val="both"/>
        <w:outlineLvl w:val="0"/>
        <w:rPr>
          <w:rFonts w:ascii="Verdana" w:hAnsi="Verdana" w:cstheme="minorHAnsi"/>
        </w:rPr>
      </w:pPr>
      <w:r>
        <w:rPr>
          <w:rFonts w:ascii="Verdana" w:hAnsi="Verdana" w:cstheme="minorHAnsi"/>
          <w:b/>
        </w:rPr>
        <w:lastRenderedPageBreak/>
        <w:t>5</w:t>
      </w:r>
      <w:r w:rsidR="002B1787" w:rsidRPr="00F7132F">
        <w:rPr>
          <w:rFonts w:ascii="Verdana" w:hAnsi="Verdana" w:cstheme="minorHAnsi"/>
          <w:b/>
        </w:rPr>
        <w:t xml:space="preserve"> – TÍTULOS E V</w:t>
      </w:r>
      <w:r w:rsidR="005C7733" w:rsidRPr="00F7132F">
        <w:rPr>
          <w:rFonts w:ascii="Verdana" w:hAnsi="Verdana" w:cstheme="minorHAnsi"/>
          <w:b/>
        </w:rPr>
        <w:t>ALORES MOBILIÁRIOS</w:t>
      </w:r>
    </w:p>
    <w:tbl>
      <w:tblPr>
        <w:tblW w:w="9295" w:type="dxa"/>
        <w:tblCellMar>
          <w:left w:w="70" w:type="dxa"/>
          <w:right w:w="70" w:type="dxa"/>
        </w:tblCellMar>
        <w:tblLook w:val="04A0" w:firstRow="1" w:lastRow="0" w:firstColumn="1" w:lastColumn="0" w:noHBand="0" w:noVBand="1"/>
      </w:tblPr>
      <w:tblGrid>
        <w:gridCol w:w="4969"/>
        <w:gridCol w:w="236"/>
        <w:gridCol w:w="1927"/>
        <w:gridCol w:w="236"/>
        <w:gridCol w:w="1927"/>
      </w:tblGrid>
      <w:tr w:rsidR="008A12C9" w:rsidRPr="00116729" w14:paraId="34FF4F5F" w14:textId="77777777" w:rsidTr="00F7132F">
        <w:trPr>
          <w:trHeight w:val="20"/>
        </w:trPr>
        <w:tc>
          <w:tcPr>
            <w:tcW w:w="4969" w:type="dxa"/>
            <w:tcBorders>
              <w:top w:val="nil"/>
              <w:left w:val="nil"/>
              <w:bottom w:val="nil"/>
              <w:right w:val="nil"/>
            </w:tcBorders>
            <w:shd w:val="clear" w:color="auto" w:fill="auto"/>
            <w:noWrap/>
            <w:vAlign w:val="bottom"/>
            <w:hideMark/>
          </w:tcPr>
          <w:p w14:paraId="32099BD9" w14:textId="77777777" w:rsidR="008A12C9" w:rsidRPr="00116729" w:rsidRDefault="008A12C9" w:rsidP="008A12C9">
            <w:pPr>
              <w:spacing w:after="0" w:line="240" w:lineRule="auto"/>
              <w:rPr>
                <w:rFonts w:ascii="Times New Roman" w:eastAsia="Times New Roman" w:hAnsi="Times New Roman" w:cs="Times New Roman"/>
                <w:sz w:val="24"/>
                <w:szCs w:val="24"/>
                <w:lang w:eastAsia="pt-BR"/>
              </w:rPr>
            </w:pPr>
          </w:p>
        </w:tc>
        <w:tc>
          <w:tcPr>
            <w:tcW w:w="236" w:type="dxa"/>
            <w:tcBorders>
              <w:top w:val="nil"/>
              <w:left w:val="nil"/>
              <w:bottom w:val="nil"/>
              <w:right w:val="nil"/>
            </w:tcBorders>
            <w:shd w:val="clear" w:color="auto" w:fill="auto"/>
            <w:noWrap/>
            <w:vAlign w:val="bottom"/>
            <w:hideMark/>
          </w:tcPr>
          <w:p w14:paraId="35AC9E16" w14:textId="77777777" w:rsidR="008A12C9" w:rsidRPr="00116729" w:rsidRDefault="008A12C9" w:rsidP="008A12C9">
            <w:pPr>
              <w:spacing w:after="0" w:line="240" w:lineRule="auto"/>
              <w:rPr>
                <w:rFonts w:ascii="Times New Roman" w:eastAsia="Times New Roman" w:hAnsi="Times New Roman" w:cs="Times New Roman"/>
                <w:sz w:val="20"/>
                <w:szCs w:val="20"/>
                <w:lang w:eastAsia="pt-BR"/>
              </w:rPr>
            </w:pPr>
          </w:p>
        </w:tc>
        <w:tc>
          <w:tcPr>
            <w:tcW w:w="1927" w:type="dxa"/>
            <w:tcBorders>
              <w:top w:val="nil"/>
              <w:left w:val="nil"/>
              <w:bottom w:val="single" w:sz="4" w:space="0" w:color="auto"/>
              <w:right w:val="nil"/>
            </w:tcBorders>
            <w:shd w:val="clear" w:color="auto" w:fill="auto"/>
            <w:noWrap/>
            <w:vAlign w:val="bottom"/>
            <w:hideMark/>
          </w:tcPr>
          <w:p w14:paraId="3A398C0F"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Controladora</w:t>
            </w:r>
          </w:p>
        </w:tc>
        <w:tc>
          <w:tcPr>
            <w:tcW w:w="236" w:type="dxa"/>
            <w:tcBorders>
              <w:top w:val="nil"/>
              <w:left w:val="nil"/>
              <w:bottom w:val="nil"/>
              <w:right w:val="nil"/>
            </w:tcBorders>
            <w:shd w:val="clear" w:color="auto" w:fill="auto"/>
            <w:noWrap/>
            <w:vAlign w:val="bottom"/>
            <w:hideMark/>
          </w:tcPr>
          <w:p w14:paraId="4CBEDBAA"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p>
        </w:tc>
        <w:tc>
          <w:tcPr>
            <w:tcW w:w="1927" w:type="dxa"/>
            <w:tcBorders>
              <w:top w:val="nil"/>
              <w:left w:val="nil"/>
              <w:bottom w:val="single" w:sz="4" w:space="0" w:color="auto"/>
              <w:right w:val="nil"/>
            </w:tcBorders>
            <w:shd w:val="clear" w:color="auto" w:fill="auto"/>
            <w:noWrap/>
            <w:vAlign w:val="bottom"/>
            <w:hideMark/>
          </w:tcPr>
          <w:p w14:paraId="50FDD5C9"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Consolidado</w:t>
            </w:r>
          </w:p>
        </w:tc>
      </w:tr>
      <w:tr w:rsidR="008A12C9" w:rsidRPr="00116729" w14:paraId="03E34026" w14:textId="77777777" w:rsidTr="00F7132F">
        <w:trPr>
          <w:trHeight w:val="20"/>
        </w:trPr>
        <w:tc>
          <w:tcPr>
            <w:tcW w:w="4969" w:type="dxa"/>
            <w:tcBorders>
              <w:top w:val="nil"/>
              <w:left w:val="nil"/>
              <w:bottom w:val="nil"/>
              <w:right w:val="nil"/>
            </w:tcBorders>
            <w:shd w:val="clear" w:color="auto" w:fill="auto"/>
            <w:noWrap/>
            <w:vAlign w:val="center"/>
            <w:hideMark/>
          </w:tcPr>
          <w:p w14:paraId="4194B0B3"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p>
        </w:tc>
        <w:tc>
          <w:tcPr>
            <w:tcW w:w="236" w:type="dxa"/>
            <w:tcBorders>
              <w:top w:val="nil"/>
              <w:left w:val="nil"/>
              <w:bottom w:val="nil"/>
              <w:right w:val="nil"/>
            </w:tcBorders>
            <w:shd w:val="clear" w:color="auto" w:fill="auto"/>
            <w:noWrap/>
            <w:vAlign w:val="center"/>
            <w:hideMark/>
          </w:tcPr>
          <w:p w14:paraId="004B9DEB" w14:textId="77777777" w:rsidR="008A12C9" w:rsidRPr="00116729" w:rsidRDefault="008A12C9" w:rsidP="008A12C9">
            <w:pPr>
              <w:spacing w:after="0" w:line="240" w:lineRule="auto"/>
              <w:rPr>
                <w:rFonts w:ascii="Times New Roman" w:eastAsia="Times New Roman" w:hAnsi="Times New Roman" w:cs="Times New Roman"/>
                <w:sz w:val="20"/>
                <w:szCs w:val="20"/>
                <w:lang w:eastAsia="pt-BR"/>
              </w:rPr>
            </w:pPr>
          </w:p>
        </w:tc>
        <w:tc>
          <w:tcPr>
            <w:tcW w:w="1927" w:type="dxa"/>
            <w:tcBorders>
              <w:top w:val="nil"/>
              <w:left w:val="nil"/>
              <w:bottom w:val="single" w:sz="4" w:space="0" w:color="auto"/>
              <w:right w:val="nil"/>
            </w:tcBorders>
            <w:shd w:val="clear" w:color="auto" w:fill="auto"/>
            <w:noWrap/>
            <w:vAlign w:val="center"/>
            <w:hideMark/>
          </w:tcPr>
          <w:p w14:paraId="6FF60082"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30/06/2022</w:t>
            </w:r>
          </w:p>
        </w:tc>
        <w:tc>
          <w:tcPr>
            <w:tcW w:w="236" w:type="dxa"/>
            <w:tcBorders>
              <w:top w:val="nil"/>
              <w:left w:val="nil"/>
              <w:bottom w:val="nil"/>
              <w:right w:val="nil"/>
            </w:tcBorders>
            <w:shd w:val="clear" w:color="auto" w:fill="auto"/>
            <w:noWrap/>
            <w:vAlign w:val="center"/>
            <w:hideMark/>
          </w:tcPr>
          <w:p w14:paraId="4B7E67A6"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p>
        </w:tc>
        <w:tc>
          <w:tcPr>
            <w:tcW w:w="1927" w:type="dxa"/>
            <w:tcBorders>
              <w:top w:val="nil"/>
              <w:left w:val="nil"/>
              <w:bottom w:val="single" w:sz="4" w:space="0" w:color="auto"/>
              <w:right w:val="nil"/>
            </w:tcBorders>
            <w:shd w:val="clear" w:color="auto" w:fill="auto"/>
            <w:noWrap/>
            <w:vAlign w:val="center"/>
            <w:hideMark/>
          </w:tcPr>
          <w:p w14:paraId="4B5B2D3C"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30/06/2022</w:t>
            </w:r>
          </w:p>
        </w:tc>
      </w:tr>
      <w:tr w:rsidR="008A12C9" w:rsidRPr="00116729" w14:paraId="52FD9823" w14:textId="77777777" w:rsidTr="00F7132F">
        <w:trPr>
          <w:trHeight w:val="20"/>
        </w:trPr>
        <w:tc>
          <w:tcPr>
            <w:tcW w:w="4969" w:type="dxa"/>
            <w:tcBorders>
              <w:top w:val="nil"/>
              <w:left w:val="nil"/>
              <w:bottom w:val="nil"/>
              <w:right w:val="nil"/>
            </w:tcBorders>
            <w:shd w:val="clear" w:color="auto" w:fill="auto"/>
            <w:noWrap/>
            <w:vAlign w:val="center"/>
            <w:hideMark/>
          </w:tcPr>
          <w:p w14:paraId="4020B41E" w14:textId="77777777" w:rsidR="008A12C9" w:rsidRPr="00F7132F" w:rsidRDefault="008A12C9" w:rsidP="008A12C9">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236" w:type="dxa"/>
            <w:tcBorders>
              <w:top w:val="nil"/>
              <w:left w:val="nil"/>
              <w:bottom w:val="nil"/>
              <w:right w:val="nil"/>
            </w:tcBorders>
            <w:shd w:val="clear" w:color="auto" w:fill="auto"/>
            <w:noWrap/>
            <w:vAlign w:val="center"/>
            <w:hideMark/>
          </w:tcPr>
          <w:p w14:paraId="41AAB339"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927" w:type="dxa"/>
            <w:tcBorders>
              <w:top w:val="nil"/>
              <w:left w:val="nil"/>
              <w:bottom w:val="nil"/>
              <w:right w:val="nil"/>
            </w:tcBorders>
            <w:shd w:val="clear" w:color="auto" w:fill="auto"/>
            <w:noWrap/>
            <w:vAlign w:val="center"/>
            <w:hideMark/>
          </w:tcPr>
          <w:p w14:paraId="4CAA60C2"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236" w:type="dxa"/>
            <w:tcBorders>
              <w:top w:val="nil"/>
              <w:left w:val="nil"/>
              <w:bottom w:val="nil"/>
              <w:right w:val="nil"/>
            </w:tcBorders>
            <w:shd w:val="clear" w:color="auto" w:fill="auto"/>
            <w:noWrap/>
            <w:vAlign w:val="center"/>
            <w:hideMark/>
          </w:tcPr>
          <w:p w14:paraId="3F4EBE28"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927" w:type="dxa"/>
            <w:tcBorders>
              <w:top w:val="nil"/>
              <w:left w:val="nil"/>
              <w:bottom w:val="nil"/>
              <w:right w:val="nil"/>
            </w:tcBorders>
            <w:shd w:val="clear" w:color="auto" w:fill="auto"/>
            <w:noWrap/>
            <w:vAlign w:val="center"/>
            <w:hideMark/>
          </w:tcPr>
          <w:p w14:paraId="4AE1C98A"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r>
      <w:tr w:rsidR="008A12C9" w:rsidRPr="00116729" w14:paraId="1590F394" w14:textId="77777777" w:rsidTr="00F7132F">
        <w:trPr>
          <w:trHeight w:val="20"/>
        </w:trPr>
        <w:tc>
          <w:tcPr>
            <w:tcW w:w="4969" w:type="dxa"/>
            <w:tcBorders>
              <w:top w:val="nil"/>
              <w:left w:val="nil"/>
              <w:bottom w:val="nil"/>
              <w:right w:val="nil"/>
            </w:tcBorders>
            <w:shd w:val="clear" w:color="auto" w:fill="auto"/>
            <w:noWrap/>
            <w:vAlign w:val="center"/>
            <w:hideMark/>
          </w:tcPr>
          <w:p w14:paraId="65C24ADB" w14:textId="77777777" w:rsidR="008A12C9" w:rsidRPr="00F7132F" w:rsidRDefault="008A12C9" w:rsidP="008A12C9">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BB RF </w:t>
            </w:r>
            <w:proofErr w:type="spellStart"/>
            <w:r w:rsidRPr="00F7132F">
              <w:rPr>
                <w:rFonts w:ascii="Verdana" w:eastAsia="Times New Roman" w:hAnsi="Verdana" w:cs="Calibri"/>
                <w:sz w:val="18"/>
                <w:szCs w:val="18"/>
                <w:lang w:eastAsia="pt-BR"/>
              </w:rPr>
              <w:t>Ref</w:t>
            </w:r>
            <w:proofErr w:type="spellEnd"/>
            <w:r w:rsidRPr="00F7132F">
              <w:rPr>
                <w:rFonts w:ascii="Verdana" w:eastAsia="Times New Roman" w:hAnsi="Verdana" w:cs="Calibri"/>
                <w:sz w:val="18"/>
                <w:szCs w:val="18"/>
                <w:lang w:eastAsia="pt-BR"/>
              </w:rPr>
              <w:t xml:space="preserve"> DI TP FI</w:t>
            </w:r>
          </w:p>
        </w:tc>
        <w:tc>
          <w:tcPr>
            <w:tcW w:w="236" w:type="dxa"/>
            <w:tcBorders>
              <w:top w:val="nil"/>
              <w:left w:val="nil"/>
              <w:bottom w:val="nil"/>
              <w:right w:val="nil"/>
            </w:tcBorders>
            <w:shd w:val="clear" w:color="auto" w:fill="auto"/>
            <w:noWrap/>
            <w:vAlign w:val="center"/>
            <w:hideMark/>
          </w:tcPr>
          <w:p w14:paraId="69BEB316" w14:textId="77777777" w:rsidR="008A12C9" w:rsidRPr="00F7132F" w:rsidRDefault="008A12C9" w:rsidP="008A12C9">
            <w:pPr>
              <w:spacing w:after="0" w:line="240" w:lineRule="auto"/>
              <w:rPr>
                <w:rFonts w:ascii="Verdana" w:eastAsia="Times New Roman" w:hAnsi="Verdana" w:cs="Calibri"/>
                <w:sz w:val="18"/>
                <w:szCs w:val="18"/>
                <w:lang w:eastAsia="pt-BR"/>
              </w:rPr>
            </w:pPr>
          </w:p>
        </w:tc>
        <w:tc>
          <w:tcPr>
            <w:tcW w:w="1927" w:type="dxa"/>
            <w:tcBorders>
              <w:top w:val="nil"/>
              <w:left w:val="nil"/>
              <w:bottom w:val="nil"/>
              <w:right w:val="nil"/>
            </w:tcBorders>
            <w:shd w:val="clear" w:color="auto" w:fill="auto"/>
            <w:noWrap/>
            <w:vAlign w:val="center"/>
            <w:hideMark/>
          </w:tcPr>
          <w:p w14:paraId="53E932AD" w14:textId="77777777" w:rsidR="008A12C9" w:rsidRPr="00F7132F" w:rsidRDefault="008A12C9" w:rsidP="008A12C9">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236" w:type="dxa"/>
            <w:tcBorders>
              <w:top w:val="nil"/>
              <w:left w:val="nil"/>
              <w:bottom w:val="nil"/>
              <w:right w:val="nil"/>
            </w:tcBorders>
            <w:shd w:val="clear" w:color="auto" w:fill="auto"/>
            <w:noWrap/>
            <w:vAlign w:val="center"/>
            <w:hideMark/>
          </w:tcPr>
          <w:p w14:paraId="3449EEF7" w14:textId="77777777" w:rsidR="008A12C9" w:rsidRPr="00F7132F" w:rsidRDefault="008A12C9" w:rsidP="008A12C9">
            <w:pPr>
              <w:spacing w:after="0" w:line="240" w:lineRule="auto"/>
              <w:jc w:val="right"/>
              <w:rPr>
                <w:rFonts w:ascii="Verdana" w:eastAsia="Times New Roman" w:hAnsi="Verdana" w:cs="Calibri"/>
                <w:sz w:val="18"/>
                <w:szCs w:val="18"/>
                <w:lang w:eastAsia="pt-BR"/>
              </w:rPr>
            </w:pPr>
          </w:p>
        </w:tc>
        <w:tc>
          <w:tcPr>
            <w:tcW w:w="1927" w:type="dxa"/>
            <w:tcBorders>
              <w:top w:val="nil"/>
              <w:left w:val="nil"/>
              <w:bottom w:val="nil"/>
              <w:right w:val="nil"/>
            </w:tcBorders>
            <w:shd w:val="clear" w:color="auto" w:fill="auto"/>
            <w:noWrap/>
            <w:vAlign w:val="center"/>
            <w:hideMark/>
          </w:tcPr>
          <w:p w14:paraId="13614496" w14:textId="77777777" w:rsidR="008A12C9" w:rsidRPr="00F7132F" w:rsidRDefault="008A12C9" w:rsidP="008A12C9">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3.432.309 </w:t>
            </w:r>
          </w:p>
        </w:tc>
      </w:tr>
      <w:tr w:rsidR="008A12C9" w:rsidRPr="00116729" w14:paraId="0076FDC4" w14:textId="77777777" w:rsidTr="00F7132F">
        <w:trPr>
          <w:trHeight w:val="20"/>
        </w:trPr>
        <w:tc>
          <w:tcPr>
            <w:tcW w:w="4969" w:type="dxa"/>
            <w:tcBorders>
              <w:top w:val="nil"/>
              <w:left w:val="nil"/>
              <w:bottom w:val="nil"/>
              <w:right w:val="nil"/>
            </w:tcBorders>
            <w:shd w:val="clear" w:color="auto" w:fill="auto"/>
            <w:noWrap/>
            <w:vAlign w:val="center"/>
            <w:hideMark/>
          </w:tcPr>
          <w:p w14:paraId="74DD3A5F" w14:textId="795F89BE" w:rsidR="008A12C9" w:rsidRPr="00F7132F" w:rsidRDefault="008A12C9" w:rsidP="008A12C9">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w:t>
            </w:r>
            <w:r w:rsidR="00F87197" w:rsidRPr="00F87197">
              <w:rPr>
                <w:rFonts w:ascii="Verdana" w:eastAsia="Times New Roman" w:hAnsi="Verdana" w:cs="Calibri"/>
                <w:sz w:val="18"/>
                <w:szCs w:val="18"/>
                <w:lang w:eastAsia="pt-BR"/>
              </w:rPr>
              <w:t>BB Extramercado FAE 2 FI</w:t>
            </w:r>
          </w:p>
        </w:tc>
        <w:tc>
          <w:tcPr>
            <w:tcW w:w="236" w:type="dxa"/>
            <w:tcBorders>
              <w:top w:val="nil"/>
              <w:left w:val="nil"/>
              <w:bottom w:val="nil"/>
              <w:right w:val="nil"/>
            </w:tcBorders>
            <w:shd w:val="clear" w:color="auto" w:fill="auto"/>
            <w:noWrap/>
            <w:vAlign w:val="center"/>
            <w:hideMark/>
          </w:tcPr>
          <w:p w14:paraId="661544E5" w14:textId="77777777" w:rsidR="008A12C9" w:rsidRPr="00F7132F" w:rsidRDefault="008A12C9" w:rsidP="008A12C9">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927" w:type="dxa"/>
            <w:tcBorders>
              <w:top w:val="nil"/>
              <w:left w:val="nil"/>
              <w:bottom w:val="nil"/>
              <w:right w:val="nil"/>
            </w:tcBorders>
            <w:shd w:val="clear" w:color="auto" w:fill="auto"/>
            <w:noWrap/>
            <w:vAlign w:val="center"/>
            <w:hideMark/>
          </w:tcPr>
          <w:p w14:paraId="59010518" w14:textId="77777777" w:rsidR="008A12C9" w:rsidRPr="00F7132F" w:rsidRDefault="008A12C9" w:rsidP="008A12C9">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236" w:type="dxa"/>
            <w:tcBorders>
              <w:top w:val="nil"/>
              <w:left w:val="nil"/>
              <w:bottom w:val="nil"/>
              <w:right w:val="nil"/>
            </w:tcBorders>
            <w:shd w:val="clear" w:color="auto" w:fill="auto"/>
            <w:noWrap/>
            <w:vAlign w:val="center"/>
            <w:hideMark/>
          </w:tcPr>
          <w:p w14:paraId="172D45E2" w14:textId="77777777" w:rsidR="008A12C9" w:rsidRPr="00F7132F" w:rsidRDefault="008A12C9" w:rsidP="008A12C9">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927" w:type="dxa"/>
            <w:tcBorders>
              <w:top w:val="nil"/>
              <w:left w:val="nil"/>
              <w:bottom w:val="nil"/>
              <w:right w:val="nil"/>
            </w:tcBorders>
            <w:shd w:val="clear" w:color="auto" w:fill="auto"/>
            <w:noWrap/>
            <w:vAlign w:val="center"/>
            <w:hideMark/>
          </w:tcPr>
          <w:p w14:paraId="3EDEB29D" w14:textId="77777777" w:rsidR="008A12C9" w:rsidRPr="00F7132F" w:rsidRDefault="008A12C9" w:rsidP="008A12C9">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121.647 </w:t>
            </w:r>
          </w:p>
        </w:tc>
      </w:tr>
      <w:tr w:rsidR="008A12C9" w:rsidRPr="00116729" w14:paraId="6F61FC50" w14:textId="77777777" w:rsidTr="00F7132F">
        <w:trPr>
          <w:trHeight w:val="20"/>
        </w:trPr>
        <w:tc>
          <w:tcPr>
            <w:tcW w:w="4969" w:type="dxa"/>
            <w:tcBorders>
              <w:top w:val="nil"/>
              <w:left w:val="nil"/>
              <w:bottom w:val="nil"/>
              <w:right w:val="nil"/>
            </w:tcBorders>
            <w:shd w:val="clear" w:color="auto" w:fill="auto"/>
            <w:noWrap/>
            <w:vAlign w:val="center"/>
            <w:hideMark/>
          </w:tcPr>
          <w:p w14:paraId="6FF1FBAD" w14:textId="77777777" w:rsidR="008A12C9" w:rsidRPr="00F7132F" w:rsidRDefault="008A12C9" w:rsidP="008A12C9">
            <w:pPr>
              <w:spacing w:after="0" w:line="240" w:lineRule="auto"/>
              <w:jc w:val="right"/>
              <w:rPr>
                <w:rFonts w:ascii="Verdana" w:eastAsia="Times New Roman" w:hAnsi="Verdana" w:cs="Calibri"/>
                <w:sz w:val="18"/>
                <w:szCs w:val="18"/>
                <w:lang w:eastAsia="pt-BR"/>
              </w:rPr>
            </w:pPr>
          </w:p>
        </w:tc>
        <w:tc>
          <w:tcPr>
            <w:tcW w:w="236" w:type="dxa"/>
            <w:tcBorders>
              <w:top w:val="nil"/>
              <w:left w:val="nil"/>
              <w:bottom w:val="nil"/>
              <w:right w:val="nil"/>
            </w:tcBorders>
            <w:shd w:val="clear" w:color="auto" w:fill="auto"/>
            <w:noWrap/>
            <w:vAlign w:val="center"/>
            <w:hideMark/>
          </w:tcPr>
          <w:p w14:paraId="315113E3" w14:textId="77777777" w:rsidR="008A12C9" w:rsidRPr="00116729" w:rsidRDefault="008A12C9" w:rsidP="008A12C9">
            <w:pPr>
              <w:spacing w:after="0" w:line="240" w:lineRule="auto"/>
              <w:rPr>
                <w:rFonts w:ascii="Times New Roman" w:eastAsia="Times New Roman" w:hAnsi="Times New Roman" w:cs="Times New Roman"/>
                <w:sz w:val="20"/>
                <w:szCs w:val="20"/>
                <w:lang w:eastAsia="pt-BR"/>
              </w:rPr>
            </w:pPr>
          </w:p>
        </w:tc>
        <w:tc>
          <w:tcPr>
            <w:tcW w:w="1927" w:type="dxa"/>
            <w:tcBorders>
              <w:top w:val="single" w:sz="4" w:space="0" w:color="auto"/>
              <w:left w:val="nil"/>
              <w:bottom w:val="double" w:sz="6" w:space="0" w:color="auto"/>
              <w:right w:val="nil"/>
            </w:tcBorders>
            <w:shd w:val="clear" w:color="auto" w:fill="auto"/>
            <w:noWrap/>
            <w:vAlign w:val="center"/>
            <w:hideMark/>
          </w:tcPr>
          <w:p w14:paraId="0E74AA09" w14:textId="77777777" w:rsidR="008A12C9" w:rsidRPr="00F7132F" w:rsidRDefault="008A12C9" w:rsidP="008A12C9">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xml:space="preserve">                     -   </w:t>
            </w:r>
          </w:p>
        </w:tc>
        <w:tc>
          <w:tcPr>
            <w:tcW w:w="236" w:type="dxa"/>
            <w:tcBorders>
              <w:top w:val="nil"/>
              <w:left w:val="nil"/>
              <w:bottom w:val="nil"/>
              <w:right w:val="nil"/>
            </w:tcBorders>
            <w:shd w:val="clear" w:color="auto" w:fill="auto"/>
            <w:noWrap/>
            <w:vAlign w:val="center"/>
            <w:hideMark/>
          </w:tcPr>
          <w:p w14:paraId="2CABC215" w14:textId="77777777" w:rsidR="008A12C9" w:rsidRPr="00F7132F" w:rsidRDefault="008A12C9" w:rsidP="008A12C9">
            <w:pPr>
              <w:spacing w:after="0" w:line="240" w:lineRule="auto"/>
              <w:jc w:val="right"/>
              <w:rPr>
                <w:rFonts w:ascii="Verdana" w:eastAsia="Times New Roman" w:hAnsi="Verdana" w:cs="Calibri"/>
                <w:b/>
                <w:bCs/>
                <w:sz w:val="18"/>
                <w:szCs w:val="18"/>
                <w:lang w:eastAsia="pt-BR"/>
              </w:rPr>
            </w:pPr>
          </w:p>
        </w:tc>
        <w:tc>
          <w:tcPr>
            <w:tcW w:w="1927" w:type="dxa"/>
            <w:tcBorders>
              <w:top w:val="single" w:sz="4" w:space="0" w:color="auto"/>
              <w:left w:val="nil"/>
              <w:bottom w:val="double" w:sz="6" w:space="0" w:color="auto"/>
              <w:right w:val="nil"/>
            </w:tcBorders>
            <w:shd w:val="clear" w:color="auto" w:fill="auto"/>
            <w:noWrap/>
            <w:vAlign w:val="center"/>
            <w:hideMark/>
          </w:tcPr>
          <w:p w14:paraId="54417CEA" w14:textId="77777777" w:rsidR="008A12C9" w:rsidRPr="00F7132F" w:rsidRDefault="008A12C9" w:rsidP="008A12C9">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xml:space="preserve">       3.553.956 </w:t>
            </w:r>
          </w:p>
        </w:tc>
      </w:tr>
    </w:tbl>
    <w:p w14:paraId="1D198B11" w14:textId="0E44204F" w:rsidR="00753BCE" w:rsidRDefault="005C7733" w:rsidP="00CF5F07">
      <w:pPr>
        <w:jc w:val="both"/>
        <w:rPr>
          <w:rFonts w:ascii="Verdana" w:hAnsi="Verdana" w:cstheme="minorHAnsi"/>
        </w:rPr>
      </w:pPr>
      <w:r w:rsidRPr="00116729">
        <w:rPr>
          <w:rFonts w:ascii="Verdana" w:hAnsi="Verdana" w:cstheme="minorHAnsi"/>
        </w:rPr>
        <w:t xml:space="preserve">A </w:t>
      </w:r>
      <w:r w:rsidR="00CE41ED">
        <w:rPr>
          <w:rFonts w:ascii="Verdana" w:hAnsi="Verdana" w:cstheme="minorHAnsi"/>
        </w:rPr>
        <w:t>Controlada</w:t>
      </w:r>
      <w:r w:rsidRPr="00116729">
        <w:rPr>
          <w:rFonts w:ascii="Verdana" w:hAnsi="Verdana" w:cstheme="minorHAnsi"/>
        </w:rPr>
        <w:t xml:space="preserve"> Eletronuclear possui títulos que, em </w:t>
      </w:r>
      <w:r w:rsidR="00753BCE" w:rsidRPr="00116729">
        <w:rPr>
          <w:rFonts w:ascii="Verdana" w:hAnsi="Verdana" w:cstheme="minorHAnsi"/>
        </w:rPr>
        <w:t>2022</w:t>
      </w:r>
      <w:r w:rsidRPr="00116729">
        <w:rPr>
          <w:rFonts w:ascii="Verdana" w:hAnsi="Verdana" w:cstheme="minorHAnsi"/>
        </w:rPr>
        <w:t>,</w:t>
      </w:r>
      <w:r w:rsidR="00753BCE" w:rsidRPr="00116729">
        <w:rPr>
          <w:rFonts w:ascii="Verdana" w:hAnsi="Verdana" w:cstheme="minorHAnsi"/>
        </w:rPr>
        <w:t xml:space="preserve"> </w:t>
      </w:r>
      <w:r w:rsidRPr="00116729">
        <w:rPr>
          <w:rFonts w:ascii="Verdana" w:hAnsi="Verdana" w:cstheme="minorHAnsi"/>
        </w:rPr>
        <w:t xml:space="preserve">renderam </w:t>
      </w:r>
      <w:r w:rsidR="00753BCE" w:rsidRPr="00116729">
        <w:rPr>
          <w:rFonts w:ascii="Verdana" w:hAnsi="Verdana" w:cstheme="minorHAnsi"/>
        </w:rPr>
        <w:t>8,75%</w:t>
      </w:r>
      <w:r w:rsidRPr="00116729">
        <w:rPr>
          <w:rFonts w:ascii="Verdana" w:hAnsi="Verdana" w:cstheme="minorHAnsi"/>
        </w:rPr>
        <w:t xml:space="preserve"> a.a.</w:t>
      </w:r>
      <w:r w:rsidR="00753BCE" w:rsidRPr="00116729">
        <w:rPr>
          <w:rFonts w:ascii="Verdana" w:hAnsi="Verdana" w:cstheme="minorHAnsi"/>
        </w:rPr>
        <w:t xml:space="preserve"> e</w:t>
      </w:r>
      <w:r w:rsidRPr="00116729">
        <w:rPr>
          <w:rFonts w:ascii="Verdana" w:hAnsi="Verdana" w:cstheme="minorHAnsi"/>
        </w:rPr>
        <w:t xml:space="preserve"> nos últimos 12 meses re</w:t>
      </w:r>
      <w:r w:rsidR="00014731">
        <w:rPr>
          <w:rFonts w:ascii="Verdana" w:hAnsi="Verdana" w:cstheme="minorHAnsi"/>
        </w:rPr>
        <w:t>n</w:t>
      </w:r>
      <w:r w:rsidRPr="00116729">
        <w:rPr>
          <w:rFonts w:ascii="Verdana" w:hAnsi="Verdana" w:cstheme="minorHAnsi"/>
        </w:rPr>
        <w:t>deram</w:t>
      </w:r>
      <w:r w:rsidR="00753BCE" w:rsidRPr="00116729">
        <w:rPr>
          <w:rFonts w:ascii="Verdana" w:hAnsi="Verdana" w:cstheme="minorHAnsi"/>
        </w:rPr>
        <w:t xml:space="preserve"> 6,88%</w:t>
      </w:r>
      <w:r w:rsidRPr="00116729">
        <w:rPr>
          <w:rFonts w:ascii="Verdana" w:hAnsi="Verdana" w:cstheme="minorHAnsi"/>
        </w:rPr>
        <w:t xml:space="preserve"> a.a</w:t>
      </w:r>
      <w:r w:rsidR="00753BCE" w:rsidRPr="00116729">
        <w:rPr>
          <w:rFonts w:ascii="Verdana" w:hAnsi="Verdana" w:cstheme="minorHAnsi"/>
        </w:rPr>
        <w:t>.</w:t>
      </w:r>
    </w:p>
    <w:p w14:paraId="77F8C458" w14:textId="77777777" w:rsidR="002B1787" w:rsidRPr="00F7132F" w:rsidRDefault="00581D1F" w:rsidP="00CF5F07">
      <w:pPr>
        <w:tabs>
          <w:tab w:val="left" w:pos="567"/>
          <w:tab w:val="left" w:pos="1134"/>
          <w:tab w:val="left" w:pos="1701"/>
          <w:tab w:val="left" w:pos="2268"/>
          <w:tab w:val="left" w:pos="2835"/>
        </w:tabs>
        <w:jc w:val="both"/>
        <w:outlineLvl w:val="0"/>
        <w:rPr>
          <w:rFonts w:ascii="Verdana" w:hAnsi="Verdana" w:cstheme="minorHAnsi"/>
          <w:b/>
        </w:rPr>
      </w:pPr>
      <w:r>
        <w:rPr>
          <w:rFonts w:ascii="Verdana" w:hAnsi="Verdana" w:cstheme="minorHAnsi"/>
          <w:b/>
        </w:rPr>
        <w:t>6</w:t>
      </w:r>
      <w:r w:rsidR="002B1787" w:rsidRPr="00F7132F">
        <w:rPr>
          <w:rFonts w:ascii="Verdana" w:hAnsi="Verdana" w:cstheme="minorHAnsi"/>
          <w:b/>
        </w:rPr>
        <w:t xml:space="preserve"> – CLIENTES </w:t>
      </w:r>
    </w:p>
    <w:tbl>
      <w:tblPr>
        <w:tblW w:w="9310" w:type="dxa"/>
        <w:tblCellMar>
          <w:left w:w="70" w:type="dxa"/>
          <w:right w:w="70" w:type="dxa"/>
        </w:tblCellMar>
        <w:tblLook w:val="04A0" w:firstRow="1" w:lastRow="0" w:firstColumn="1" w:lastColumn="0" w:noHBand="0" w:noVBand="1"/>
      </w:tblPr>
      <w:tblGrid>
        <w:gridCol w:w="4976"/>
        <w:gridCol w:w="237"/>
        <w:gridCol w:w="1930"/>
        <w:gridCol w:w="237"/>
        <w:gridCol w:w="1930"/>
      </w:tblGrid>
      <w:tr w:rsidR="008A12C9" w:rsidRPr="006C756A" w14:paraId="12C2C4B0" w14:textId="77777777" w:rsidTr="006C756A">
        <w:trPr>
          <w:trHeight w:val="20"/>
        </w:trPr>
        <w:tc>
          <w:tcPr>
            <w:tcW w:w="4976" w:type="dxa"/>
            <w:tcBorders>
              <w:top w:val="nil"/>
              <w:left w:val="nil"/>
              <w:bottom w:val="nil"/>
              <w:right w:val="nil"/>
            </w:tcBorders>
            <w:shd w:val="clear" w:color="auto" w:fill="auto"/>
            <w:noWrap/>
            <w:vAlign w:val="bottom"/>
            <w:hideMark/>
          </w:tcPr>
          <w:p w14:paraId="1D915483" w14:textId="77777777" w:rsidR="008A12C9" w:rsidRPr="00116729" w:rsidRDefault="008A12C9" w:rsidP="008A12C9">
            <w:pPr>
              <w:spacing w:after="0" w:line="240" w:lineRule="auto"/>
              <w:rPr>
                <w:rFonts w:ascii="Times New Roman" w:eastAsia="Times New Roman" w:hAnsi="Times New Roman" w:cs="Times New Roman"/>
                <w:sz w:val="24"/>
                <w:szCs w:val="24"/>
                <w:lang w:eastAsia="pt-BR"/>
              </w:rPr>
            </w:pPr>
          </w:p>
        </w:tc>
        <w:tc>
          <w:tcPr>
            <w:tcW w:w="237" w:type="dxa"/>
            <w:tcBorders>
              <w:top w:val="nil"/>
              <w:left w:val="nil"/>
              <w:bottom w:val="nil"/>
              <w:right w:val="nil"/>
            </w:tcBorders>
            <w:shd w:val="clear" w:color="auto" w:fill="auto"/>
            <w:noWrap/>
            <w:vAlign w:val="bottom"/>
            <w:hideMark/>
          </w:tcPr>
          <w:p w14:paraId="6B63F8D5" w14:textId="77777777" w:rsidR="008A12C9" w:rsidRPr="00116729" w:rsidRDefault="008A12C9" w:rsidP="008A12C9">
            <w:pPr>
              <w:spacing w:after="0" w:line="240" w:lineRule="auto"/>
              <w:rPr>
                <w:rFonts w:ascii="Times New Roman" w:eastAsia="Times New Roman" w:hAnsi="Times New Roman" w:cs="Times New Roman"/>
                <w:sz w:val="20"/>
                <w:szCs w:val="20"/>
                <w:lang w:eastAsia="pt-BR"/>
              </w:rPr>
            </w:pPr>
          </w:p>
        </w:tc>
        <w:tc>
          <w:tcPr>
            <w:tcW w:w="1930" w:type="dxa"/>
            <w:tcBorders>
              <w:top w:val="nil"/>
              <w:left w:val="nil"/>
              <w:bottom w:val="single" w:sz="4" w:space="0" w:color="auto"/>
              <w:right w:val="nil"/>
            </w:tcBorders>
            <w:shd w:val="clear" w:color="auto" w:fill="auto"/>
            <w:noWrap/>
            <w:vAlign w:val="bottom"/>
            <w:hideMark/>
          </w:tcPr>
          <w:p w14:paraId="754DFC03" w14:textId="77777777" w:rsidR="008A12C9" w:rsidRPr="006C756A" w:rsidRDefault="008A12C9" w:rsidP="008A12C9">
            <w:pPr>
              <w:spacing w:after="0" w:line="240" w:lineRule="auto"/>
              <w:jc w:val="center"/>
              <w:rPr>
                <w:rFonts w:ascii="Verdana" w:eastAsia="Times New Roman" w:hAnsi="Verdana" w:cs="Calibri"/>
                <w:b/>
                <w:bCs/>
                <w:sz w:val="18"/>
                <w:szCs w:val="18"/>
                <w:lang w:eastAsia="pt-BR"/>
              </w:rPr>
            </w:pPr>
            <w:r w:rsidRPr="006C756A">
              <w:rPr>
                <w:rFonts w:ascii="Verdana" w:eastAsia="Times New Roman" w:hAnsi="Verdana" w:cs="Calibri"/>
                <w:b/>
                <w:bCs/>
                <w:sz w:val="18"/>
                <w:szCs w:val="18"/>
                <w:lang w:eastAsia="pt-BR"/>
              </w:rPr>
              <w:t>Controladora</w:t>
            </w:r>
          </w:p>
        </w:tc>
        <w:tc>
          <w:tcPr>
            <w:tcW w:w="237" w:type="dxa"/>
            <w:tcBorders>
              <w:top w:val="nil"/>
              <w:left w:val="nil"/>
              <w:bottom w:val="nil"/>
              <w:right w:val="nil"/>
            </w:tcBorders>
            <w:shd w:val="clear" w:color="auto" w:fill="auto"/>
            <w:noWrap/>
            <w:vAlign w:val="bottom"/>
            <w:hideMark/>
          </w:tcPr>
          <w:p w14:paraId="4BC9EA03" w14:textId="77777777" w:rsidR="008A12C9" w:rsidRPr="006C756A" w:rsidRDefault="008A12C9" w:rsidP="008A12C9">
            <w:pPr>
              <w:spacing w:after="0" w:line="240" w:lineRule="auto"/>
              <w:jc w:val="center"/>
              <w:rPr>
                <w:rFonts w:ascii="Verdana" w:eastAsia="Times New Roman" w:hAnsi="Verdana" w:cs="Calibri"/>
                <w:b/>
                <w:bCs/>
                <w:sz w:val="18"/>
                <w:szCs w:val="18"/>
                <w:lang w:eastAsia="pt-BR"/>
              </w:rPr>
            </w:pPr>
          </w:p>
        </w:tc>
        <w:tc>
          <w:tcPr>
            <w:tcW w:w="1930" w:type="dxa"/>
            <w:tcBorders>
              <w:top w:val="nil"/>
              <w:left w:val="nil"/>
              <w:bottom w:val="single" w:sz="4" w:space="0" w:color="auto"/>
              <w:right w:val="nil"/>
            </w:tcBorders>
            <w:shd w:val="clear" w:color="auto" w:fill="auto"/>
            <w:noWrap/>
            <w:vAlign w:val="bottom"/>
            <w:hideMark/>
          </w:tcPr>
          <w:p w14:paraId="1C2356B9" w14:textId="77777777" w:rsidR="008A12C9" w:rsidRPr="006C756A" w:rsidRDefault="008A12C9" w:rsidP="008A12C9">
            <w:pPr>
              <w:spacing w:after="0" w:line="240" w:lineRule="auto"/>
              <w:jc w:val="center"/>
              <w:rPr>
                <w:rFonts w:ascii="Verdana" w:eastAsia="Times New Roman" w:hAnsi="Verdana" w:cs="Calibri"/>
                <w:b/>
                <w:bCs/>
                <w:sz w:val="18"/>
                <w:szCs w:val="18"/>
                <w:lang w:eastAsia="pt-BR"/>
              </w:rPr>
            </w:pPr>
            <w:r w:rsidRPr="006C756A">
              <w:rPr>
                <w:rFonts w:ascii="Verdana" w:eastAsia="Times New Roman" w:hAnsi="Verdana" w:cs="Calibri"/>
                <w:b/>
                <w:bCs/>
                <w:sz w:val="18"/>
                <w:szCs w:val="18"/>
                <w:lang w:eastAsia="pt-BR"/>
              </w:rPr>
              <w:t>Consolidado</w:t>
            </w:r>
          </w:p>
        </w:tc>
      </w:tr>
      <w:tr w:rsidR="008A12C9" w:rsidRPr="006C756A" w14:paraId="218F58EF" w14:textId="77777777" w:rsidTr="006C756A">
        <w:trPr>
          <w:trHeight w:val="20"/>
        </w:trPr>
        <w:tc>
          <w:tcPr>
            <w:tcW w:w="4976" w:type="dxa"/>
            <w:tcBorders>
              <w:top w:val="nil"/>
              <w:left w:val="nil"/>
              <w:bottom w:val="nil"/>
              <w:right w:val="nil"/>
            </w:tcBorders>
            <w:shd w:val="clear" w:color="auto" w:fill="auto"/>
            <w:noWrap/>
            <w:vAlign w:val="center"/>
            <w:hideMark/>
          </w:tcPr>
          <w:p w14:paraId="5500405E" w14:textId="77777777" w:rsidR="008A12C9" w:rsidRPr="006C756A" w:rsidRDefault="008A12C9" w:rsidP="008A12C9">
            <w:pPr>
              <w:spacing w:after="0" w:line="240" w:lineRule="auto"/>
              <w:jc w:val="center"/>
              <w:rPr>
                <w:rFonts w:ascii="Verdana" w:eastAsia="Times New Roman" w:hAnsi="Verdana" w:cs="Calibri"/>
                <w:b/>
                <w:bCs/>
                <w:sz w:val="18"/>
                <w:szCs w:val="18"/>
                <w:lang w:eastAsia="pt-BR"/>
              </w:rPr>
            </w:pPr>
          </w:p>
        </w:tc>
        <w:tc>
          <w:tcPr>
            <w:tcW w:w="237" w:type="dxa"/>
            <w:tcBorders>
              <w:top w:val="nil"/>
              <w:left w:val="nil"/>
              <w:bottom w:val="nil"/>
              <w:right w:val="nil"/>
            </w:tcBorders>
            <w:shd w:val="clear" w:color="auto" w:fill="auto"/>
            <w:noWrap/>
            <w:vAlign w:val="center"/>
            <w:hideMark/>
          </w:tcPr>
          <w:p w14:paraId="05B24B57" w14:textId="77777777" w:rsidR="008A12C9" w:rsidRPr="006C756A" w:rsidRDefault="008A12C9" w:rsidP="008A12C9">
            <w:pPr>
              <w:spacing w:after="0" w:line="240" w:lineRule="auto"/>
              <w:rPr>
                <w:rFonts w:ascii="Times New Roman" w:eastAsia="Times New Roman" w:hAnsi="Times New Roman" w:cs="Times New Roman"/>
                <w:sz w:val="20"/>
                <w:szCs w:val="20"/>
                <w:lang w:eastAsia="pt-BR"/>
              </w:rPr>
            </w:pPr>
          </w:p>
        </w:tc>
        <w:tc>
          <w:tcPr>
            <w:tcW w:w="1930" w:type="dxa"/>
            <w:tcBorders>
              <w:top w:val="nil"/>
              <w:left w:val="nil"/>
              <w:bottom w:val="single" w:sz="4" w:space="0" w:color="auto"/>
              <w:right w:val="nil"/>
            </w:tcBorders>
            <w:shd w:val="clear" w:color="auto" w:fill="auto"/>
            <w:noWrap/>
            <w:vAlign w:val="center"/>
            <w:hideMark/>
          </w:tcPr>
          <w:p w14:paraId="2400FF61" w14:textId="77777777" w:rsidR="008A12C9" w:rsidRPr="006C756A" w:rsidRDefault="008A12C9" w:rsidP="008A12C9">
            <w:pPr>
              <w:spacing w:after="0" w:line="240" w:lineRule="auto"/>
              <w:jc w:val="center"/>
              <w:rPr>
                <w:rFonts w:ascii="Verdana" w:eastAsia="Times New Roman" w:hAnsi="Verdana" w:cs="Calibri"/>
                <w:b/>
                <w:bCs/>
                <w:sz w:val="18"/>
                <w:szCs w:val="18"/>
                <w:lang w:eastAsia="pt-BR"/>
              </w:rPr>
            </w:pPr>
            <w:r w:rsidRPr="006C756A">
              <w:rPr>
                <w:rFonts w:ascii="Verdana" w:eastAsia="Times New Roman" w:hAnsi="Verdana" w:cs="Calibri"/>
                <w:b/>
                <w:bCs/>
                <w:sz w:val="18"/>
                <w:szCs w:val="18"/>
                <w:lang w:eastAsia="pt-BR"/>
              </w:rPr>
              <w:t>30/06/2022</w:t>
            </w:r>
          </w:p>
        </w:tc>
        <w:tc>
          <w:tcPr>
            <w:tcW w:w="237" w:type="dxa"/>
            <w:tcBorders>
              <w:top w:val="nil"/>
              <w:left w:val="nil"/>
              <w:bottom w:val="nil"/>
              <w:right w:val="nil"/>
            </w:tcBorders>
            <w:shd w:val="clear" w:color="auto" w:fill="auto"/>
            <w:noWrap/>
            <w:vAlign w:val="center"/>
            <w:hideMark/>
          </w:tcPr>
          <w:p w14:paraId="5551FD9C" w14:textId="77777777" w:rsidR="008A12C9" w:rsidRPr="006C756A" w:rsidRDefault="008A12C9" w:rsidP="008A12C9">
            <w:pPr>
              <w:spacing w:after="0" w:line="240" w:lineRule="auto"/>
              <w:jc w:val="center"/>
              <w:rPr>
                <w:rFonts w:ascii="Verdana" w:eastAsia="Times New Roman" w:hAnsi="Verdana" w:cs="Calibri"/>
                <w:b/>
                <w:bCs/>
                <w:sz w:val="18"/>
                <w:szCs w:val="18"/>
                <w:lang w:eastAsia="pt-BR"/>
              </w:rPr>
            </w:pPr>
          </w:p>
        </w:tc>
        <w:tc>
          <w:tcPr>
            <w:tcW w:w="1930" w:type="dxa"/>
            <w:tcBorders>
              <w:top w:val="nil"/>
              <w:left w:val="nil"/>
              <w:bottom w:val="single" w:sz="4" w:space="0" w:color="auto"/>
              <w:right w:val="nil"/>
            </w:tcBorders>
            <w:shd w:val="clear" w:color="auto" w:fill="auto"/>
            <w:noWrap/>
            <w:vAlign w:val="center"/>
            <w:hideMark/>
          </w:tcPr>
          <w:p w14:paraId="457B2D8D" w14:textId="77777777" w:rsidR="008A12C9" w:rsidRPr="006C756A" w:rsidRDefault="008A12C9" w:rsidP="008A12C9">
            <w:pPr>
              <w:spacing w:after="0" w:line="240" w:lineRule="auto"/>
              <w:jc w:val="center"/>
              <w:rPr>
                <w:rFonts w:ascii="Verdana" w:eastAsia="Times New Roman" w:hAnsi="Verdana" w:cs="Calibri"/>
                <w:b/>
                <w:bCs/>
                <w:sz w:val="18"/>
                <w:szCs w:val="18"/>
                <w:lang w:eastAsia="pt-BR"/>
              </w:rPr>
            </w:pPr>
            <w:r w:rsidRPr="006C756A">
              <w:rPr>
                <w:rFonts w:ascii="Verdana" w:eastAsia="Times New Roman" w:hAnsi="Verdana" w:cs="Calibri"/>
                <w:b/>
                <w:bCs/>
                <w:sz w:val="18"/>
                <w:szCs w:val="18"/>
                <w:lang w:eastAsia="pt-BR"/>
              </w:rPr>
              <w:t>30/06/2022</w:t>
            </w:r>
          </w:p>
        </w:tc>
      </w:tr>
      <w:tr w:rsidR="008A12C9" w:rsidRPr="006C756A" w14:paraId="13B407DA" w14:textId="77777777" w:rsidTr="006C756A">
        <w:trPr>
          <w:trHeight w:val="20"/>
        </w:trPr>
        <w:tc>
          <w:tcPr>
            <w:tcW w:w="4976" w:type="dxa"/>
            <w:tcBorders>
              <w:top w:val="nil"/>
              <w:left w:val="nil"/>
              <w:bottom w:val="nil"/>
              <w:right w:val="nil"/>
            </w:tcBorders>
            <w:shd w:val="clear" w:color="auto" w:fill="auto"/>
            <w:noWrap/>
            <w:vAlign w:val="center"/>
            <w:hideMark/>
          </w:tcPr>
          <w:p w14:paraId="13539315" w14:textId="77777777" w:rsidR="008A12C9" w:rsidRPr="006C756A" w:rsidRDefault="008A12C9" w:rsidP="008A12C9">
            <w:pPr>
              <w:spacing w:after="0" w:line="240" w:lineRule="auto"/>
              <w:rPr>
                <w:rFonts w:ascii="Verdana" w:eastAsia="Times New Roman" w:hAnsi="Verdana" w:cs="Calibri"/>
                <w:sz w:val="18"/>
                <w:szCs w:val="18"/>
                <w:lang w:eastAsia="pt-BR"/>
              </w:rPr>
            </w:pPr>
          </w:p>
        </w:tc>
        <w:tc>
          <w:tcPr>
            <w:tcW w:w="237" w:type="dxa"/>
            <w:tcBorders>
              <w:top w:val="nil"/>
              <w:left w:val="nil"/>
              <w:bottom w:val="nil"/>
              <w:right w:val="nil"/>
            </w:tcBorders>
            <w:shd w:val="clear" w:color="auto" w:fill="auto"/>
            <w:noWrap/>
            <w:vAlign w:val="center"/>
            <w:hideMark/>
          </w:tcPr>
          <w:p w14:paraId="083E4055" w14:textId="77777777" w:rsidR="008A12C9" w:rsidRPr="006C756A" w:rsidRDefault="008A12C9" w:rsidP="008A12C9">
            <w:pPr>
              <w:spacing w:after="0" w:line="240" w:lineRule="auto"/>
              <w:rPr>
                <w:rFonts w:ascii="Verdana" w:eastAsia="Times New Roman" w:hAnsi="Verdana" w:cs="Calibri"/>
                <w:sz w:val="18"/>
                <w:szCs w:val="18"/>
                <w:lang w:eastAsia="pt-BR"/>
              </w:rPr>
            </w:pPr>
            <w:r w:rsidRPr="006C756A">
              <w:rPr>
                <w:rFonts w:ascii="Verdana" w:eastAsia="Times New Roman" w:hAnsi="Verdana" w:cs="Calibri"/>
                <w:sz w:val="18"/>
                <w:szCs w:val="18"/>
                <w:lang w:eastAsia="pt-BR"/>
              </w:rPr>
              <w:t> </w:t>
            </w:r>
          </w:p>
        </w:tc>
        <w:tc>
          <w:tcPr>
            <w:tcW w:w="1930" w:type="dxa"/>
            <w:tcBorders>
              <w:top w:val="nil"/>
              <w:left w:val="nil"/>
              <w:bottom w:val="nil"/>
              <w:right w:val="nil"/>
            </w:tcBorders>
            <w:shd w:val="clear" w:color="auto" w:fill="auto"/>
            <w:noWrap/>
            <w:vAlign w:val="center"/>
            <w:hideMark/>
          </w:tcPr>
          <w:p w14:paraId="5736BD17" w14:textId="77777777" w:rsidR="008A12C9" w:rsidRPr="006C756A" w:rsidRDefault="008A12C9" w:rsidP="008A12C9">
            <w:pPr>
              <w:spacing w:after="0" w:line="240" w:lineRule="auto"/>
              <w:jc w:val="right"/>
              <w:rPr>
                <w:rFonts w:ascii="Verdana" w:eastAsia="Times New Roman" w:hAnsi="Verdana" w:cs="Calibri"/>
                <w:sz w:val="18"/>
                <w:szCs w:val="18"/>
                <w:lang w:eastAsia="pt-BR"/>
              </w:rPr>
            </w:pPr>
            <w:r w:rsidRPr="006C756A">
              <w:rPr>
                <w:rFonts w:ascii="Verdana" w:eastAsia="Times New Roman" w:hAnsi="Verdana" w:cs="Calibri"/>
                <w:sz w:val="18"/>
                <w:szCs w:val="18"/>
                <w:lang w:eastAsia="pt-BR"/>
              </w:rPr>
              <w:t> </w:t>
            </w:r>
          </w:p>
        </w:tc>
        <w:tc>
          <w:tcPr>
            <w:tcW w:w="237" w:type="dxa"/>
            <w:tcBorders>
              <w:top w:val="nil"/>
              <w:left w:val="nil"/>
              <w:bottom w:val="nil"/>
              <w:right w:val="nil"/>
            </w:tcBorders>
            <w:shd w:val="clear" w:color="auto" w:fill="auto"/>
            <w:noWrap/>
            <w:vAlign w:val="center"/>
            <w:hideMark/>
          </w:tcPr>
          <w:p w14:paraId="6A010EBE" w14:textId="77777777" w:rsidR="008A12C9" w:rsidRPr="006C756A" w:rsidRDefault="008A12C9" w:rsidP="008A12C9">
            <w:pPr>
              <w:spacing w:after="0" w:line="240" w:lineRule="auto"/>
              <w:rPr>
                <w:rFonts w:ascii="Verdana" w:eastAsia="Times New Roman" w:hAnsi="Verdana" w:cs="Calibri"/>
                <w:sz w:val="18"/>
                <w:szCs w:val="18"/>
                <w:lang w:eastAsia="pt-BR"/>
              </w:rPr>
            </w:pPr>
            <w:r w:rsidRPr="006C756A">
              <w:rPr>
                <w:rFonts w:ascii="Verdana" w:eastAsia="Times New Roman" w:hAnsi="Verdana" w:cs="Calibri"/>
                <w:sz w:val="18"/>
                <w:szCs w:val="18"/>
                <w:lang w:eastAsia="pt-BR"/>
              </w:rPr>
              <w:t> </w:t>
            </w:r>
          </w:p>
        </w:tc>
        <w:tc>
          <w:tcPr>
            <w:tcW w:w="1930" w:type="dxa"/>
            <w:tcBorders>
              <w:top w:val="nil"/>
              <w:left w:val="nil"/>
              <w:bottom w:val="nil"/>
              <w:right w:val="nil"/>
            </w:tcBorders>
            <w:shd w:val="clear" w:color="auto" w:fill="auto"/>
            <w:noWrap/>
            <w:vAlign w:val="center"/>
            <w:hideMark/>
          </w:tcPr>
          <w:p w14:paraId="459F84BC" w14:textId="77777777" w:rsidR="008A12C9" w:rsidRPr="006C756A" w:rsidRDefault="008A12C9" w:rsidP="008A12C9">
            <w:pPr>
              <w:spacing w:after="0" w:line="240" w:lineRule="auto"/>
              <w:jc w:val="right"/>
              <w:rPr>
                <w:rFonts w:ascii="Verdana" w:eastAsia="Times New Roman" w:hAnsi="Verdana" w:cs="Calibri"/>
                <w:sz w:val="18"/>
                <w:szCs w:val="18"/>
                <w:lang w:eastAsia="pt-BR"/>
              </w:rPr>
            </w:pPr>
            <w:r w:rsidRPr="006C756A">
              <w:rPr>
                <w:rFonts w:ascii="Verdana" w:eastAsia="Times New Roman" w:hAnsi="Verdana" w:cs="Calibri"/>
                <w:sz w:val="18"/>
                <w:szCs w:val="18"/>
                <w:lang w:eastAsia="pt-BR"/>
              </w:rPr>
              <w:t> </w:t>
            </w:r>
          </w:p>
        </w:tc>
      </w:tr>
      <w:tr w:rsidR="006C756A" w:rsidRPr="006C756A" w14:paraId="27AD01BF" w14:textId="77777777" w:rsidTr="006C756A">
        <w:trPr>
          <w:trHeight w:val="20"/>
        </w:trPr>
        <w:tc>
          <w:tcPr>
            <w:tcW w:w="4976" w:type="dxa"/>
            <w:tcBorders>
              <w:top w:val="nil"/>
              <w:left w:val="nil"/>
              <w:bottom w:val="nil"/>
              <w:right w:val="nil"/>
            </w:tcBorders>
            <w:shd w:val="clear" w:color="auto" w:fill="auto"/>
            <w:noWrap/>
            <w:vAlign w:val="center"/>
            <w:hideMark/>
          </w:tcPr>
          <w:p w14:paraId="7C9DEAB7" w14:textId="77777777" w:rsidR="006C756A" w:rsidRPr="006C756A" w:rsidRDefault="006C756A" w:rsidP="006C756A">
            <w:pPr>
              <w:spacing w:after="0" w:line="240" w:lineRule="auto"/>
              <w:rPr>
                <w:rFonts w:ascii="Verdana" w:eastAsia="Times New Roman" w:hAnsi="Verdana" w:cs="Calibri"/>
                <w:sz w:val="18"/>
                <w:szCs w:val="18"/>
                <w:lang w:eastAsia="pt-BR"/>
              </w:rPr>
            </w:pPr>
            <w:r w:rsidRPr="006C756A">
              <w:rPr>
                <w:rFonts w:ascii="Verdana" w:eastAsia="Times New Roman" w:hAnsi="Verdana" w:cs="Calibri"/>
                <w:sz w:val="18"/>
                <w:szCs w:val="18"/>
                <w:lang w:eastAsia="pt-BR"/>
              </w:rPr>
              <w:t>Sup</w:t>
            </w:r>
            <w:r>
              <w:rPr>
                <w:rFonts w:ascii="Verdana" w:eastAsia="Times New Roman" w:hAnsi="Verdana" w:cs="Calibri"/>
                <w:sz w:val="18"/>
                <w:szCs w:val="18"/>
                <w:lang w:eastAsia="pt-BR"/>
              </w:rPr>
              <w:t>rimento/Fornecimento de energia</w:t>
            </w:r>
          </w:p>
        </w:tc>
        <w:tc>
          <w:tcPr>
            <w:tcW w:w="237" w:type="dxa"/>
            <w:tcBorders>
              <w:top w:val="nil"/>
              <w:left w:val="nil"/>
              <w:bottom w:val="nil"/>
              <w:right w:val="nil"/>
            </w:tcBorders>
            <w:shd w:val="clear" w:color="auto" w:fill="auto"/>
            <w:noWrap/>
            <w:vAlign w:val="center"/>
            <w:hideMark/>
          </w:tcPr>
          <w:p w14:paraId="51427B58" w14:textId="77777777" w:rsidR="006C756A" w:rsidRPr="006C756A" w:rsidRDefault="006C756A" w:rsidP="006C756A">
            <w:pPr>
              <w:spacing w:after="0" w:line="240" w:lineRule="auto"/>
              <w:rPr>
                <w:rFonts w:ascii="Verdana" w:eastAsia="Times New Roman" w:hAnsi="Verdana" w:cs="Calibri"/>
                <w:sz w:val="18"/>
                <w:szCs w:val="18"/>
                <w:lang w:eastAsia="pt-BR"/>
              </w:rPr>
            </w:pPr>
          </w:p>
        </w:tc>
        <w:tc>
          <w:tcPr>
            <w:tcW w:w="1930" w:type="dxa"/>
            <w:tcBorders>
              <w:top w:val="nil"/>
              <w:left w:val="nil"/>
              <w:bottom w:val="nil"/>
              <w:right w:val="nil"/>
            </w:tcBorders>
            <w:shd w:val="clear" w:color="auto" w:fill="auto"/>
            <w:noWrap/>
            <w:vAlign w:val="center"/>
            <w:hideMark/>
          </w:tcPr>
          <w:p w14:paraId="7E82CB63" w14:textId="77777777" w:rsidR="006C756A" w:rsidRPr="006C756A" w:rsidRDefault="006C756A" w:rsidP="006C756A">
            <w:pPr>
              <w:spacing w:after="0" w:line="240" w:lineRule="auto"/>
              <w:jc w:val="right"/>
              <w:rPr>
                <w:rFonts w:ascii="Verdana" w:eastAsia="Times New Roman" w:hAnsi="Verdana" w:cs="Calibri"/>
                <w:sz w:val="18"/>
                <w:szCs w:val="18"/>
                <w:lang w:eastAsia="pt-BR"/>
              </w:rPr>
            </w:pPr>
            <w:r w:rsidRPr="006C756A">
              <w:rPr>
                <w:rFonts w:ascii="Verdana" w:eastAsia="Times New Roman" w:hAnsi="Verdana" w:cs="Calibri"/>
                <w:sz w:val="18"/>
                <w:szCs w:val="18"/>
                <w:lang w:eastAsia="pt-BR"/>
              </w:rPr>
              <w:t xml:space="preserve">         1.395.847 </w:t>
            </w:r>
          </w:p>
        </w:tc>
        <w:tc>
          <w:tcPr>
            <w:tcW w:w="237" w:type="dxa"/>
            <w:tcBorders>
              <w:top w:val="nil"/>
              <w:left w:val="nil"/>
              <w:bottom w:val="nil"/>
              <w:right w:val="nil"/>
            </w:tcBorders>
            <w:shd w:val="clear" w:color="auto" w:fill="auto"/>
            <w:noWrap/>
            <w:vAlign w:val="center"/>
            <w:hideMark/>
          </w:tcPr>
          <w:p w14:paraId="7AC18ECC" w14:textId="77777777" w:rsidR="006C756A" w:rsidRPr="006C756A" w:rsidRDefault="006C756A" w:rsidP="006C756A">
            <w:pPr>
              <w:spacing w:after="0" w:line="240" w:lineRule="auto"/>
              <w:jc w:val="right"/>
              <w:rPr>
                <w:rFonts w:ascii="Verdana" w:eastAsia="Times New Roman" w:hAnsi="Verdana" w:cs="Calibri"/>
                <w:sz w:val="18"/>
                <w:szCs w:val="18"/>
                <w:lang w:eastAsia="pt-BR"/>
              </w:rPr>
            </w:pPr>
          </w:p>
        </w:tc>
        <w:tc>
          <w:tcPr>
            <w:tcW w:w="1930" w:type="dxa"/>
            <w:tcBorders>
              <w:top w:val="nil"/>
              <w:left w:val="nil"/>
              <w:bottom w:val="nil"/>
              <w:right w:val="nil"/>
            </w:tcBorders>
            <w:shd w:val="clear" w:color="auto" w:fill="auto"/>
            <w:noWrap/>
            <w:vAlign w:val="center"/>
            <w:hideMark/>
          </w:tcPr>
          <w:p w14:paraId="6E900F6F" w14:textId="77777777" w:rsidR="006C756A" w:rsidRPr="006C756A" w:rsidRDefault="006C756A" w:rsidP="006C756A">
            <w:pPr>
              <w:spacing w:after="0" w:line="240" w:lineRule="auto"/>
              <w:jc w:val="right"/>
              <w:rPr>
                <w:rFonts w:ascii="Verdana" w:eastAsia="Times New Roman" w:hAnsi="Verdana" w:cs="Calibri"/>
                <w:sz w:val="18"/>
                <w:szCs w:val="18"/>
                <w:lang w:eastAsia="pt-BR"/>
              </w:rPr>
            </w:pPr>
            <w:r w:rsidRPr="006C756A">
              <w:rPr>
                <w:rFonts w:ascii="Verdana" w:eastAsia="Times New Roman" w:hAnsi="Verdana" w:cs="Calibri"/>
                <w:sz w:val="18"/>
                <w:szCs w:val="18"/>
                <w:lang w:eastAsia="pt-BR"/>
              </w:rPr>
              <w:t xml:space="preserve">         1.826.505 </w:t>
            </w:r>
          </w:p>
        </w:tc>
      </w:tr>
      <w:tr w:rsidR="008A12C9" w:rsidRPr="00116729" w14:paraId="4098838D" w14:textId="77777777" w:rsidTr="006C756A">
        <w:trPr>
          <w:trHeight w:val="20"/>
        </w:trPr>
        <w:tc>
          <w:tcPr>
            <w:tcW w:w="4976" w:type="dxa"/>
            <w:tcBorders>
              <w:top w:val="nil"/>
              <w:left w:val="nil"/>
              <w:bottom w:val="nil"/>
              <w:right w:val="nil"/>
            </w:tcBorders>
            <w:shd w:val="clear" w:color="auto" w:fill="auto"/>
            <w:noWrap/>
            <w:vAlign w:val="center"/>
            <w:hideMark/>
          </w:tcPr>
          <w:p w14:paraId="7A34E6E1" w14:textId="77777777" w:rsidR="008A12C9" w:rsidRPr="006C756A" w:rsidRDefault="008A12C9" w:rsidP="008A12C9">
            <w:pPr>
              <w:spacing w:after="0" w:line="240" w:lineRule="auto"/>
              <w:rPr>
                <w:rFonts w:ascii="Verdana" w:eastAsia="Times New Roman" w:hAnsi="Verdana" w:cs="Calibri"/>
                <w:b/>
                <w:bCs/>
                <w:sz w:val="18"/>
                <w:szCs w:val="18"/>
                <w:lang w:eastAsia="pt-BR"/>
              </w:rPr>
            </w:pPr>
            <w:r w:rsidRPr="006C756A">
              <w:rPr>
                <w:rFonts w:ascii="Verdana" w:eastAsia="Times New Roman" w:hAnsi="Verdana" w:cs="Calibri"/>
                <w:b/>
                <w:bCs/>
                <w:sz w:val="18"/>
                <w:szCs w:val="18"/>
                <w:lang w:eastAsia="pt-BR"/>
              </w:rPr>
              <w:t> </w:t>
            </w:r>
          </w:p>
        </w:tc>
        <w:tc>
          <w:tcPr>
            <w:tcW w:w="237" w:type="dxa"/>
            <w:tcBorders>
              <w:top w:val="nil"/>
              <w:left w:val="nil"/>
              <w:bottom w:val="nil"/>
              <w:right w:val="nil"/>
            </w:tcBorders>
            <w:shd w:val="clear" w:color="auto" w:fill="auto"/>
            <w:noWrap/>
            <w:vAlign w:val="center"/>
            <w:hideMark/>
          </w:tcPr>
          <w:p w14:paraId="5A8A3262" w14:textId="77777777" w:rsidR="008A12C9" w:rsidRPr="006C756A" w:rsidRDefault="008A12C9" w:rsidP="008A12C9">
            <w:pPr>
              <w:spacing w:after="0" w:line="240" w:lineRule="auto"/>
              <w:rPr>
                <w:rFonts w:ascii="Verdana" w:eastAsia="Times New Roman" w:hAnsi="Verdana" w:cs="Calibri"/>
                <w:b/>
                <w:bCs/>
                <w:sz w:val="18"/>
                <w:szCs w:val="18"/>
                <w:lang w:eastAsia="pt-BR"/>
              </w:rPr>
            </w:pPr>
            <w:r w:rsidRPr="006C756A">
              <w:rPr>
                <w:rFonts w:ascii="Verdana" w:eastAsia="Times New Roman" w:hAnsi="Verdana" w:cs="Calibri"/>
                <w:b/>
                <w:bCs/>
                <w:sz w:val="18"/>
                <w:szCs w:val="18"/>
                <w:lang w:eastAsia="pt-BR"/>
              </w:rPr>
              <w:t> </w:t>
            </w:r>
          </w:p>
        </w:tc>
        <w:tc>
          <w:tcPr>
            <w:tcW w:w="1930" w:type="dxa"/>
            <w:tcBorders>
              <w:top w:val="single" w:sz="4" w:space="0" w:color="auto"/>
              <w:left w:val="nil"/>
              <w:bottom w:val="double" w:sz="6" w:space="0" w:color="auto"/>
              <w:right w:val="nil"/>
            </w:tcBorders>
            <w:shd w:val="clear" w:color="auto" w:fill="auto"/>
            <w:noWrap/>
            <w:vAlign w:val="center"/>
            <w:hideMark/>
          </w:tcPr>
          <w:p w14:paraId="02BBC221" w14:textId="231BD91E" w:rsidR="008A12C9" w:rsidRPr="006C756A" w:rsidRDefault="008A12C9" w:rsidP="008A12C9">
            <w:pPr>
              <w:spacing w:after="0" w:line="240" w:lineRule="auto"/>
              <w:jc w:val="right"/>
              <w:rPr>
                <w:rFonts w:ascii="Verdana" w:eastAsia="Times New Roman" w:hAnsi="Verdana" w:cs="Calibri"/>
                <w:b/>
                <w:bCs/>
                <w:sz w:val="18"/>
                <w:szCs w:val="18"/>
                <w:lang w:eastAsia="pt-BR"/>
              </w:rPr>
            </w:pPr>
            <w:r w:rsidRPr="006C756A">
              <w:rPr>
                <w:rFonts w:ascii="Verdana" w:eastAsia="Times New Roman" w:hAnsi="Verdana" w:cs="Calibri"/>
                <w:b/>
                <w:bCs/>
                <w:sz w:val="18"/>
                <w:szCs w:val="18"/>
                <w:lang w:eastAsia="pt-BR"/>
              </w:rPr>
              <w:t xml:space="preserve">       1.39</w:t>
            </w:r>
            <w:r w:rsidR="00367F52">
              <w:rPr>
                <w:rFonts w:ascii="Verdana" w:eastAsia="Times New Roman" w:hAnsi="Verdana" w:cs="Calibri"/>
                <w:b/>
                <w:bCs/>
                <w:sz w:val="18"/>
                <w:szCs w:val="18"/>
                <w:lang w:eastAsia="pt-BR"/>
              </w:rPr>
              <w:t>5.847</w:t>
            </w:r>
            <w:r w:rsidRPr="006C756A">
              <w:rPr>
                <w:rFonts w:ascii="Verdana" w:eastAsia="Times New Roman" w:hAnsi="Verdana" w:cs="Calibri"/>
                <w:b/>
                <w:bCs/>
                <w:sz w:val="18"/>
                <w:szCs w:val="18"/>
                <w:lang w:eastAsia="pt-BR"/>
              </w:rPr>
              <w:t xml:space="preserve"> </w:t>
            </w:r>
          </w:p>
        </w:tc>
        <w:tc>
          <w:tcPr>
            <w:tcW w:w="237" w:type="dxa"/>
            <w:tcBorders>
              <w:top w:val="nil"/>
              <w:left w:val="nil"/>
              <w:bottom w:val="nil"/>
              <w:right w:val="nil"/>
            </w:tcBorders>
            <w:shd w:val="clear" w:color="auto" w:fill="auto"/>
            <w:noWrap/>
            <w:vAlign w:val="center"/>
            <w:hideMark/>
          </w:tcPr>
          <w:p w14:paraId="78132E5F" w14:textId="77777777" w:rsidR="008A12C9" w:rsidRPr="006C756A" w:rsidRDefault="008A12C9" w:rsidP="008A12C9">
            <w:pPr>
              <w:spacing w:after="0" w:line="240" w:lineRule="auto"/>
              <w:rPr>
                <w:rFonts w:ascii="Verdana" w:eastAsia="Times New Roman" w:hAnsi="Verdana" w:cs="Calibri"/>
                <w:b/>
                <w:bCs/>
                <w:sz w:val="18"/>
                <w:szCs w:val="18"/>
                <w:lang w:eastAsia="pt-BR"/>
              </w:rPr>
            </w:pPr>
            <w:r w:rsidRPr="006C756A">
              <w:rPr>
                <w:rFonts w:ascii="Verdana" w:eastAsia="Times New Roman" w:hAnsi="Verdana" w:cs="Calibri"/>
                <w:b/>
                <w:bCs/>
                <w:sz w:val="18"/>
                <w:szCs w:val="18"/>
                <w:lang w:eastAsia="pt-BR"/>
              </w:rPr>
              <w:t> </w:t>
            </w:r>
          </w:p>
        </w:tc>
        <w:tc>
          <w:tcPr>
            <w:tcW w:w="1930" w:type="dxa"/>
            <w:tcBorders>
              <w:top w:val="single" w:sz="4" w:space="0" w:color="auto"/>
              <w:left w:val="nil"/>
              <w:bottom w:val="double" w:sz="6" w:space="0" w:color="auto"/>
              <w:right w:val="nil"/>
            </w:tcBorders>
            <w:shd w:val="clear" w:color="auto" w:fill="auto"/>
            <w:noWrap/>
            <w:vAlign w:val="center"/>
            <w:hideMark/>
          </w:tcPr>
          <w:p w14:paraId="12E6F02C" w14:textId="7E6509C5" w:rsidR="008A12C9" w:rsidRPr="00F7132F" w:rsidRDefault="008A12C9" w:rsidP="008A12C9">
            <w:pPr>
              <w:spacing w:after="0" w:line="240" w:lineRule="auto"/>
              <w:jc w:val="right"/>
              <w:rPr>
                <w:rFonts w:ascii="Verdana" w:eastAsia="Times New Roman" w:hAnsi="Verdana" w:cs="Calibri"/>
                <w:b/>
                <w:bCs/>
                <w:sz w:val="18"/>
                <w:szCs w:val="18"/>
                <w:lang w:eastAsia="pt-BR"/>
              </w:rPr>
            </w:pPr>
            <w:r w:rsidRPr="006C756A">
              <w:rPr>
                <w:rFonts w:ascii="Verdana" w:eastAsia="Times New Roman" w:hAnsi="Verdana" w:cs="Calibri"/>
                <w:b/>
                <w:bCs/>
                <w:sz w:val="18"/>
                <w:szCs w:val="18"/>
                <w:lang w:eastAsia="pt-BR"/>
              </w:rPr>
              <w:t xml:space="preserve">       1.</w:t>
            </w:r>
            <w:r w:rsidR="00367F52">
              <w:rPr>
                <w:rFonts w:ascii="Verdana" w:eastAsia="Times New Roman" w:hAnsi="Verdana" w:cs="Calibri"/>
                <w:b/>
                <w:bCs/>
                <w:sz w:val="18"/>
                <w:szCs w:val="18"/>
                <w:lang w:eastAsia="pt-BR"/>
              </w:rPr>
              <w:t>826.505</w:t>
            </w:r>
            <w:r w:rsidRPr="00F7132F">
              <w:rPr>
                <w:rFonts w:ascii="Verdana" w:eastAsia="Times New Roman" w:hAnsi="Verdana" w:cs="Calibri"/>
                <w:b/>
                <w:bCs/>
                <w:sz w:val="18"/>
                <w:szCs w:val="18"/>
                <w:lang w:eastAsia="pt-BR"/>
              </w:rPr>
              <w:t xml:space="preserve"> </w:t>
            </w:r>
          </w:p>
        </w:tc>
      </w:tr>
    </w:tbl>
    <w:p w14:paraId="35FBA193" w14:textId="77777777" w:rsidR="00BA0ABC" w:rsidRPr="00116729" w:rsidRDefault="00BA0ABC" w:rsidP="005C7733">
      <w:pPr>
        <w:widowControl w:val="0"/>
        <w:autoSpaceDE w:val="0"/>
        <w:autoSpaceDN w:val="0"/>
        <w:jc w:val="both"/>
        <w:rPr>
          <w:rFonts w:ascii="Verdana" w:hAnsi="Verdana" w:cstheme="minorHAnsi"/>
        </w:rPr>
      </w:pPr>
    </w:p>
    <w:p w14:paraId="117246B8" w14:textId="77777777" w:rsidR="00753BCE" w:rsidRPr="00116729" w:rsidRDefault="006C57EE" w:rsidP="00CF5F07">
      <w:pPr>
        <w:jc w:val="both"/>
        <w:rPr>
          <w:rFonts w:ascii="Verdana" w:hAnsi="Verdana" w:cstheme="minorHAnsi"/>
        </w:rPr>
      </w:pPr>
      <w:r w:rsidRPr="00116729">
        <w:rPr>
          <w:rFonts w:ascii="Verdana" w:hAnsi="Verdana"/>
        </w:rPr>
        <w:t xml:space="preserve">A </w:t>
      </w:r>
      <w:proofErr w:type="spellStart"/>
      <w:r w:rsidRPr="00116729">
        <w:rPr>
          <w:rFonts w:ascii="Verdana" w:hAnsi="Verdana"/>
        </w:rPr>
        <w:t>ENBP</w:t>
      </w:r>
      <w:r w:rsidR="00FD56CF" w:rsidRPr="00116729">
        <w:rPr>
          <w:rFonts w:ascii="Verdana" w:hAnsi="Verdana"/>
        </w:rPr>
        <w:t>ar</w:t>
      </w:r>
      <w:proofErr w:type="spellEnd"/>
      <w:r w:rsidRPr="00116729">
        <w:rPr>
          <w:rFonts w:ascii="Verdana" w:hAnsi="Verdana"/>
        </w:rPr>
        <w:t xml:space="preserve"> realiza o faturamento da energia de Itaipu contra </w:t>
      </w:r>
      <w:r w:rsidR="005C7733" w:rsidRPr="00116729">
        <w:rPr>
          <w:rFonts w:ascii="Verdana" w:hAnsi="Verdana"/>
        </w:rPr>
        <w:t>31</w:t>
      </w:r>
      <w:r w:rsidRPr="00116729">
        <w:rPr>
          <w:rFonts w:ascii="Verdana" w:hAnsi="Verdana"/>
        </w:rPr>
        <w:t xml:space="preserve"> distribuidoras do Brasil.</w:t>
      </w:r>
      <w:r w:rsidR="0080657B" w:rsidRPr="00116729">
        <w:rPr>
          <w:rFonts w:ascii="Verdana" w:hAnsi="Verdana"/>
        </w:rPr>
        <w:t xml:space="preserve"> </w:t>
      </w:r>
      <w:r w:rsidR="00753BCE" w:rsidRPr="00116729">
        <w:rPr>
          <w:rFonts w:ascii="Verdana" w:hAnsi="Verdana" w:cstheme="minorHAnsi"/>
        </w:rPr>
        <w:t>O faturamento da Companhia é realizado, mensalmente, com base na Resolução Normativa nº 1.009, editada em 22 de março de 2022, pela Aneel, para todas as concessionárias, permissionárias ou autorizadas de serviço público de distribuição no Sistema Interligado Nacional – SIN. Em 30 de junho de 2022, não há histórico de inadimplência que justifique a constituição de Provisão para Créditos de Liquidação Duvidosa - PCLD.</w:t>
      </w:r>
    </w:p>
    <w:p w14:paraId="680FAACD" w14:textId="77777777" w:rsidR="008A12C9" w:rsidRPr="00116729" w:rsidRDefault="00581D1F">
      <w:pPr>
        <w:widowControl w:val="0"/>
        <w:autoSpaceDE w:val="0"/>
        <w:autoSpaceDN w:val="0"/>
        <w:jc w:val="both"/>
        <w:rPr>
          <w:rFonts w:ascii="Verdana" w:hAnsi="Verdana" w:cstheme="minorHAnsi"/>
        </w:rPr>
      </w:pPr>
      <w:r>
        <w:rPr>
          <w:rFonts w:ascii="Verdana" w:hAnsi="Verdana" w:cstheme="minorHAnsi"/>
          <w:b/>
        </w:rPr>
        <w:t>7</w:t>
      </w:r>
      <w:r w:rsidR="002B1787" w:rsidRPr="00F7132F">
        <w:rPr>
          <w:rFonts w:ascii="Verdana" w:hAnsi="Verdana" w:cstheme="minorHAnsi"/>
          <w:b/>
        </w:rPr>
        <w:t xml:space="preserve"> – TRIBUTOS A COMPENSAR </w:t>
      </w:r>
    </w:p>
    <w:tbl>
      <w:tblPr>
        <w:tblW w:w="9356" w:type="dxa"/>
        <w:tblCellMar>
          <w:left w:w="70" w:type="dxa"/>
          <w:right w:w="70" w:type="dxa"/>
        </w:tblCellMar>
        <w:tblLook w:val="04A0" w:firstRow="1" w:lastRow="0" w:firstColumn="1" w:lastColumn="0" w:noHBand="0" w:noVBand="1"/>
      </w:tblPr>
      <w:tblGrid>
        <w:gridCol w:w="5004"/>
        <w:gridCol w:w="236"/>
        <w:gridCol w:w="1940"/>
        <w:gridCol w:w="236"/>
        <w:gridCol w:w="1940"/>
      </w:tblGrid>
      <w:tr w:rsidR="008A12C9" w:rsidRPr="00116729" w14:paraId="0F2CF0A4" w14:textId="77777777" w:rsidTr="00F7132F">
        <w:trPr>
          <w:trHeight w:val="20"/>
        </w:trPr>
        <w:tc>
          <w:tcPr>
            <w:tcW w:w="5004" w:type="dxa"/>
            <w:tcBorders>
              <w:top w:val="nil"/>
              <w:left w:val="nil"/>
              <w:bottom w:val="nil"/>
              <w:right w:val="nil"/>
            </w:tcBorders>
            <w:shd w:val="clear" w:color="auto" w:fill="auto"/>
            <w:noWrap/>
            <w:vAlign w:val="bottom"/>
            <w:hideMark/>
          </w:tcPr>
          <w:p w14:paraId="3C186FE3" w14:textId="77777777" w:rsidR="008A12C9" w:rsidRPr="00116729" w:rsidRDefault="008A12C9" w:rsidP="008A12C9">
            <w:pPr>
              <w:spacing w:after="0" w:line="240" w:lineRule="auto"/>
              <w:rPr>
                <w:rFonts w:ascii="Times New Roman" w:eastAsia="Times New Roman" w:hAnsi="Times New Roman" w:cs="Times New Roman"/>
                <w:sz w:val="24"/>
                <w:szCs w:val="24"/>
                <w:lang w:eastAsia="pt-BR"/>
              </w:rPr>
            </w:pPr>
          </w:p>
        </w:tc>
        <w:tc>
          <w:tcPr>
            <w:tcW w:w="236" w:type="dxa"/>
            <w:tcBorders>
              <w:top w:val="nil"/>
              <w:left w:val="nil"/>
              <w:bottom w:val="nil"/>
              <w:right w:val="nil"/>
            </w:tcBorders>
            <w:shd w:val="clear" w:color="auto" w:fill="auto"/>
            <w:noWrap/>
            <w:vAlign w:val="bottom"/>
            <w:hideMark/>
          </w:tcPr>
          <w:p w14:paraId="10892325" w14:textId="77777777" w:rsidR="008A12C9" w:rsidRPr="00116729" w:rsidRDefault="008A12C9" w:rsidP="008A12C9">
            <w:pPr>
              <w:spacing w:after="0" w:line="240" w:lineRule="auto"/>
              <w:rPr>
                <w:rFonts w:ascii="Times New Roman" w:eastAsia="Times New Roman" w:hAnsi="Times New Roman" w:cs="Times New Roman"/>
                <w:sz w:val="20"/>
                <w:szCs w:val="20"/>
                <w:lang w:eastAsia="pt-BR"/>
              </w:rPr>
            </w:pPr>
          </w:p>
        </w:tc>
        <w:tc>
          <w:tcPr>
            <w:tcW w:w="1940" w:type="dxa"/>
            <w:tcBorders>
              <w:top w:val="nil"/>
              <w:left w:val="nil"/>
              <w:bottom w:val="single" w:sz="4" w:space="0" w:color="auto"/>
              <w:right w:val="nil"/>
            </w:tcBorders>
            <w:shd w:val="clear" w:color="auto" w:fill="auto"/>
            <w:noWrap/>
            <w:vAlign w:val="bottom"/>
            <w:hideMark/>
          </w:tcPr>
          <w:p w14:paraId="78160773"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Controladora</w:t>
            </w:r>
          </w:p>
        </w:tc>
        <w:tc>
          <w:tcPr>
            <w:tcW w:w="236" w:type="dxa"/>
            <w:tcBorders>
              <w:top w:val="nil"/>
              <w:left w:val="nil"/>
              <w:bottom w:val="nil"/>
              <w:right w:val="nil"/>
            </w:tcBorders>
            <w:shd w:val="clear" w:color="auto" w:fill="auto"/>
            <w:noWrap/>
            <w:vAlign w:val="bottom"/>
            <w:hideMark/>
          </w:tcPr>
          <w:p w14:paraId="0028ABC9"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p>
        </w:tc>
        <w:tc>
          <w:tcPr>
            <w:tcW w:w="1940" w:type="dxa"/>
            <w:tcBorders>
              <w:top w:val="nil"/>
              <w:left w:val="nil"/>
              <w:bottom w:val="single" w:sz="4" w:space="0" w:color="auto"/>
              <w:right w:val="nil"/>
            </w:tcBorders>
            <w:shd w:val="clear" w:color="auto" w:fill="auto"/>
            <w:noWrap/>
            <w:vAlign w:val="bottom"/>
            <w:hideMark/>
          </w:tcPr>
          <w:p w14:paraId="3352EBCD"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Consolidado</w:t>
            </w:r>
          </w:p>
        </w:tc>
      </w:tr>
      <w:tr w:rsidR="008A12C9" w:rsidRPr="00116729" w14:paraId="42D4C572" w14:textId="77777777" w:rsidTr="00F7132F">
        <w:trPr>
          <w:trHeight w:val="20"/>
        </w:trPr>
        <w:tc>
          <w:tcPr>
            <w:tcW w:w="5004" w:type="dxa"/>
            <w:tcBorders>
              <w:top w:val="nil"/>
              <w:left w:val="nil"/>
              <w:bottom w:val="nil"/>
              <w:right w:val="nil"/>
            </w:tcBorders>
            <w:shd w:val="clear" w:color="auto" w:fill="auto"/>
            <w:noWrap/>
            <w:vAlign w:val="center"/>
            <w:hideMark/>
          </w:tcPr>
          <w:p w14:paraId="4A188B49"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p>
        </w:tc>
        <w:tc>
          <w:tcPr>
            <w:tcW w:w="236" w:type="dxa"/>
            <w:tcBorders>
              <w:top w:val="nil"/>
              <w:left w:val="nil"/>
              <w:bottom w:val="nil"/>
              <w:right w:val="nil"/>
            </w:tcBorders>
            <w:shd w:val="clear" w:color="auto" w:fill="auto"/>
            <w:noWrap/>
            <w:vAlign w:val="center"/>
            <w:hideMark/>
          </w:tcPr>
          <w:p w14:paraId="2AA442D7" w14:textId="77777777" w:rsidR="008A12C9" w:rsidRPr="00116729" w:rsidRDefault="008A12C9" w:rsidP="008A12C9">
            <w:pPr>
              <w:spacing w:after="0" w:line="240" w:lineRule="auto"/>
              <w:rPr>
                <w:rFonts w:ascii="Times New Roman" w:eastAsia="Times New Roman" w:hAnsi="Times New Roman" w:cs="Times New Roman"/>
                <w:sz w:val="20"/>
                <w:szCs w:val="20"/>
                <w:lang w:eastAsia="pt-BR"/>
              </w:rPr>
            </w:pPr>
          </w:p>
        </w:tc>
        <w:tc>
          <w:tcPr>
            <w:tcW w:w="1940" w:type="dxa"/>
            <w:tcBorders>
              <w:top w:val="nil"/>
              <w:left w:val="nil"/>
              <w:bottom w:val="single" w:sz="4" w:space="0" w:color="auto"/>
              <w:right w:val="nil"/>
            </w:tcBorders>
            <w:shd w:val="clear" w:color="auto" w:fill="auto"/>
            <w:noWrap/>
            <w:vAlign w:val="center"/>
            <w:hideMark/>
          </w:tcPr>
          <w:p w14:paraId="7AA50B58"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30/06/2022</w:t>
            </w:r>
          </w:p>
        </w:tc>
        <w:tc>
          <w:tcPr>
            <w:tcW w:w="236" w:type="dxa"/>
            <w:tcBorders>
              <w:top w:val="nil"/>
              <w:left w:val="nil"/>
              <w:bottom w:val="nil"/>
              <w:right w:val="nil"/>
            </w:tcBorders>
            <w:shd w:val="clear" w:color="auto" w:fill="auto"/>
            <w:noWrap/>
            <w:vAlign w:val="center"/>
            <w:hideMark/>
          </w:tcPr>
          <w:p w14:paraId="28B1159F"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p>
        </w:tc>
        <w:tc>
          <w:tcPr>
            <w:tcW w:w="1940" w:type="dxa"/>
            <w:tcBorders>
              <w:top w:val="nil"/>
              <w:left w:val="nil"/>
              <w:bottom w:val="single" w:sz="4" w:space="0" w:color="auto"/>
              <w:right w:val="nil"/>
            </w:tcBorders>
            <w:shd w:val="clear" w:color="auto" w:fill="auto"/>
            <w:noWrap/>
            <w:vAlign w:val="center"/>
            <w:hideMark/>
          </w:tcPr>
          <w:p w14:paraId="2C9748E8"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30/06/2022</w:t>
            </w:r>
          </w:p>
        </w:tc>
      </w:tr>
      <w:tr w:rsidR="008A12C9" w:rsidRPr="00116729" w14:paraId="503A453D" w14:textId="77777777" w:rsidTr="00F7132F">
        <w:trPr>
          <w:trHeight w:val="20"/>
        </w:trPr>
        <w:tc>
          <w:tcPr>
            <w:tcW w:w="5004" w:type="dxa"/>
            <w:tcBorders>
              <w:top w:val="nil"/>
              <w:left w:val="nil"/>
              <w:bottom w:val="nil"/>
              <w:right w:val="nil"/>
            </w:tcBorders>
            <w:shd w:val="clear" w:color="auto" w:fill="auto"/>
            <w:noWrap/>
            <w:vAlign w:val="center"/>
            <w:hideMark/>
          </w:tcPr>
          <w:p w14:paraId="77A78618" w14:textId="77777777" w:rsidR="008A12C9" w:rsidRPr="00F7132F" w:rsidRDefault="008A12C9" w:rsidP="008A12C9">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236" w:type="dxa"/>
            <w:tcBorders>
              <w:top w:val="nil"/>
              <w:left w:val="nil"/>
              <w:bottom w:val="nil"/>
              <w:right w:val="nil"/>
            </w:tcBorders>
            <w:shd w:val="clear" w:color="auto" w:fill="auto"/>
            <w:noWrap/>
            <w:vAlign w:val="center"/>
            <w:hideMark/>
          </w:tcPr>
          <w:p w14:paraId="70D04532" w14:textId="77777777" w:rsidR="008A12C9" w:rsidRPr="00F7132F" w:rsidRDefault="008A12C9" w:rsidP="008A12C9">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940" w:type="dxa"/>
            <w:tcBorders>
              <w:top w:val="nil"/>
              <w:left w:val="nil"/>
              <w:bottom w:val="nil"/>
              <w:right w:val="nil"/>
            </w:tcBorders>
            <w:shd w:val="clear" w:color="auto" w:fill="auto"/>
            <w:noWrap/>
            <w:vAlign w:val="center"/>
            <w:hideMark/>
          </w:tcPr>
          <w:p w14:paraId="00FB8063" w14:textId="77777777" w:rsidR="008A12C9" w:rsidRPr="00F7132F" w:rsidRDefault="008A12C9" w:rsidP="008A12C9">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36" w:type="dxa"/>
            <w:tcBorders>
              <w:top w:val="nil"/>
              <w:left w:val="nil"/>
              <w:bottom w:val="nil"/>
              <w:right w:val="nil"/>
            </w:tcBorders>
            <w:shd w:val="clear" w:color="auto" w:fill="auto"/>
            <w:noWrap/>
            <w:vAlign w:val="center"/>
            <w:hideMark/>
          </w:tcPr>
          <w:p w14:paraId="4B78F4C3" w14:textId="77777777" w:rsidR="008A12C9" w:rsidRPr="00F7132F" w:rsidRDefault="008A12C9" w:rsidP="008A12C9">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940" w:type="dxa"/>
            <w:tcBorders>
              <w:top w:val="nil"/>
              <w:left w:val="nil"/>
              <w:bottom w:val="nil"/>
              <w:right w:val="nil"/>
            </w:tcBorders>
            <w:shd w:val="clear" w:color="auto" w:fill="auto"/>
            <w:noWrap/>
            <w:vAlign w:val="center"/>
            <w:hideMark/>
          </w:tcPr>
          <w:p w14:paraId="7A52A96A" w14:textId="77777777" w:rsidR="008A12C9" w:rsidRPr="00F7132F" w:rsidRDefault="008A12C9" w:rsidP="008A12C9">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r>
      <w:tr w:rsidR="008A12C9" w:rsidRPr="00116729" w14:paraId="5875C0BD" w14:textId="77777777" w:rsidTr="00F7132F">
        <w:trPr>
          <w:trHeight w:val="20"/>
        </w:trPr>
        <w:tc>
          <w:tcPr>
            <w:tcW w:w="5004" w:type="dxa"/>
            <w:tcBorders>
              <w:top w:val="nil"/>
              <w:left w:val="nil"/>
              <w:bottom w:val="nil"/>
              <w:right w:val="nil"/>
            </w:tcBorders>
            <w:shd w:val="clear" w:color="auto" w:fill="auto"/>
            <w:noWrap/>
            <w:vAlign w:val="center"/>
            <w:hideMark/>
          </w:tcPr>
          <w:p w14:paraId="667F0734" w14:textId="77777777" w:rsidR="008A12C9" w:rsidRPr="00F7132F" w:rsidRDefault="008A12C9" w:rsidP="008A12C9">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IRRF sobre aplicações financeiras</w:t>
            </w:r>
          </w:p>
        </w:tc>
        <w:tc>
          <w:tcPr>
            <w:tcW w:w="236" w:type="dxa"/>
            <w:tcBorders>
              <w:top w:val="nil"/>
              <w:left w:val="nil"/>
              <w:bottom w:val="nil"/>
              <w:right w:val="nil"/>
            </w:tcBorders>
            <w:shd w:val="clear" w:color="auto" w:fill="auto"/>
            <w:noWrap/>
            <w:vAlign w:val="center"/>
            <w:hideMark/>
          </w:tcPr>
          <w:p w14:paraId="3244521F" w14:textId="77777777" w:rsidR="008A12C9" w:rsidRPr="00F7132F" w:rsidRDefault="008A12C9" w:rsidP="008A12C9">
            <w:pPr>
              <w:spacing w:after="0" w:line="240" w:lineRule="auto"/>
              <w:rPr>
                <w:rFonts w:ascii="Verdana" w:eastAsia="Times New Roman" w:hAnsi="Verdana" w:cs="Calibri"/>
                <w:sz w:val="18"/>
                <w:szCs w:val="18"/>
                <w:lang w:eastAsia="pt-BR"/>
              </w:rPr>
            </w:pPr>
          </w:p>
        </w:tc>
        <w:tc>
          <w:tcPr>
            <w:tcW w:w="1940" w:type="dxa"/>
            <w:tcBorders>
              <w:top w:val="nil"/>
              <w:left w:val="nil"/>
              <w:bottom w:val="nil"/>
              <w:right w:val="nil"/>
            </w:tcBorders>
            <w:shd w:val="clear" w:color="auto" w:fill="auto"/>
            <w:noWrap/>
            <w:vAlign w:val="center"/>
            <w:hideMark/>
          </w:tcPr>
          <w:p w14:paraId="020F4F40" w14:textId="77777777" w:rsidR="008A12C9" w:rsidRPr="00F7132F" w:rsidRDefault="008A12C9" w:rsidP="008A12C9">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35.363 </w:t>
            </w:r>
          </w:p>
        </w:tc>
        <w:tc>
          <w:tcPr>
            <w:tcW w:w="236" w:type="dxa"/>
            <w:tcBorders>
              <w:top w:val="nil"/>
              <w:left w:val="nil"/>
              <w:bottom w:val="nil"/>
              <w:right w:val="nil"/>
            </w:tcBorders>
            <w:shd w:val="clear" w:color="auto" w:fill="auto"/>
            <w:noWrap/>
            <w:vAlign w:val="center"/>
            <w:hideMark/>
          </w:tcPr>
          <w:p w14:paraId="205FF184" w14:textId="77777777" w:rsidR="008A12C9" w:rsidRPr="00F7132F" w:rsidRDefault="008A12C9" w:rsidP="008A12C9">
            <w:pPr>
              <w:spacing w:after="0" w:line="240" w:lineRule="auto"/>
              <w:jc w:val="right"/>
              <w:rPr>
                <w:rFonts w:ascii="Verdana" w:eastAsia="Times New Roman" w:hAnsi="Verdana" w:cs="Calibri"/>
                <w:sz w:val="18"/>
                <w:szCs w:val="18"/>
                <w:lang w:eastAsia="pt-BR"/>
              </w:rPr>
            </w:pPr>
          </w:p>
        </w:tc>
        <w:tc>
          <w:tcPr>
            <w:tcW w:w="1940" w:type="dxa"/>
            <w:tcBorders>
              <w:top w:val="nil"/>
              <w:left w:val="nil"/>
              <w:bottom w:val="nil"/>
              <w:right w:val="nil"/>
            </w:tcBorders>
            <w:shd w:val="clear" w:color="auto" w:fill="auto"/>
            <w:noWrap/>
            <w:vAlign w:val="center"/>
            <w:hideMark/>
          </w:tcPr>
          <w:p w14:paraId="1BC10F54" w14:textId="77777777" w:rsidR="008A12C9" w:rsidRPr="00F7132F" w:rsidRDefault="008A12C9" w:rsidP="008A12C9">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39.861 </w:t>
            </w:r>
          </w:p>
        </w:tc>
      </w:tr>
      <w:tr w:rsidR="008A12C9" w:rsidRPr="00116729" w14:paraId="1AE464C7" w14:textId="77777777" w:rsidTr="00F7132F">
        <w:trPr>
          <w:trHeight w:val="20"/>
        </w:trPr>
        <w:tc>
          <w:tcPr>
            <w:tcW w:w="5004" w:type="dxa"/>
            <w:tcBorders>
              <w:top w:val="nil"/>
              <w:left w:val="nil"/>
              <w:bottom w:val="nil"/>
              <w:right w:val="nil"/>
            </w:tcBorders>
            <w:shd w:val="clear" w:color="auto" w:fill="auto"/>
            <w:noWrap/>
            <w:vAlign w:val="center"/>
            <w:hideMark/>
          </w:tcPr>
          <w:p w14:paraId="386FE77B" w14:textId="77777777" w:rsidR="008A12C9" w:rsidRPr="00F7132F" w:rsidRDefault="008A12C9" w:rsidP="008A12C9">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PASEP e COFINS</w:t>
            </w:r>
          </w:p>
        </w:tc>
        <w:tc>
          <w:tcPr>
            <w:tcW w:w="236" w:type="dxa"/>
            <w:tcBorders>
              <w:top w:val="nil"/>
              <w:left w:val="nil"/>
              <w:bottom w:val="nil"/>
              <w:right w:val="nil"/>
            </w:tcBorders>
            <w:shd w:val="clear" w:color="auto" w:fill="auto"/>
            <w:noWrap/>
            <w:vAlign w:val="center"/>
            <w:hideMark/>
          </w:tcPr>
          <w:p w14:paraId="381024D6" w14:textId="77777777" w:rsidR="008A12C9" w:rsidRPr="00F7132F" w:rsidRDefault="008A12C9" w:rsidP="008A12C9">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940" w:type="dxa"/>
            <w:tcBorders>
              <w:top w:val="nil"/>
              <w:left w:val="nil"/>
              <w:bottom w:val="nil"/>
              <w:right w:val="nil"/>
            </w:tcBorders>
            <w:shd w:val="clear" w:color="auto" w:fill="auto"/>
            <w:noWrap/>
            <w:vAlign w:val="center"/>
            <w:hideMark/>
          </w:tcPr>
          <w:p w14:paraId="5E6206B3" w14:textId="77777777" w:rsidR="008A12C9" w:rsidRPr="00F7132F" w:rsidRDefault="008A12C9" w:rsidP="008A12C9">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105.015 </w:t>
            </w:r>
          </w:p>
        </w:tc>
        <w:tc>
          <w:tcPr>
            <w:tcW w:w="236" w:type="dxa"/>
            <w:tcBorders>
              <w:top w:val="nil"/>
              <w:left w:val="nil"/>
              <w:bottom w:val="nil"/>
              <w:right w:val="nil"/>
            </w:tcBorders>
            <w:shd w:val="clear" w:color="auto" w:fill="auto"/>
            <w:noWrap/>
            <w:vAlign w:val="center"/>
            <w:hideMark/>
          </w:tcPr>
          <w:p w14:paraId="71A7DC83" w14:textId="77777777" w:rsidR="008A12C9" w:rsidRPr="00F7132F" w:rsidRDefault="008A12C9" w:rsidP="008A12C9">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940" w:type="dxa"/>
            <w:tcBorders>
              <w:top w:val="nil"/>
              <w:left w:val="nil"/>
              <w:bottom w:val="nil"/>
              <w:right w:val="nil"/>
            </w:tcBorders>
            <w:shd w:val="clear" w:color="auto" w:fill="auto"/>
            <w:noWrap/>
            <w:vAlign w:val="center"/>
            <w:hideMark/>
          </w:tcPr>
          <w:p w14:paraId="4FC38579" w14:textId="77777777" w:rsidR="008A12C9" w:rsidRPr="00F7132F" w:rsidRDefault="008A12C9" w:rsidP="008A12C9">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125.600 </w:t>
            </w:r>
          </w:p>
        </w:tc>
      </w:tr>
      <w:tr w:rsidR="008A12C9" w:rsidRPr="00116729" w14:paraId="1A707999" w14:textId="77777777" w:rsidTr="00F7132F">
        <w:trPr>
          <w:trHeight w:val="20"/>
        </w:trPr>
        <w:tc>
          <w:tcPr>
            <w:tcW w:w="5004" w:type="dxa"/>
            <w:tcBorders>
              <w:top w:val="nil"/>
              <w:left w:val="nil"/>
              <w:bottom w:val="nil"/>
              <w:right w:val="nil"/>
            </w:tcBorders>
            <w:shd w:val="clear" w:color="auto" w:fill="auto"/>
            <w:noWrap/>
            <w:vAlign w:val="bottom"/>
            <w:hideMark/>
          </w:tcPr>
          <w:p w14:paraId="46FAD666" w14:textId="77777777" w:rsidR="008A12C9" w:rsidRPr="00F7132F" w:rsidRDefault="008A12C9" w:rsidP="008A12C9">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Outros</w:t>
            </w:r>
          </w:p>
        </w:tc>
        <w:tc>
          <w:tcPr>
            <w:tcW w:w="236" w:type="dxa"/>
            <w:tcBorders>
              <w:top w:val="nil"/>
              <w:left w:val="nil"/>
              <w:bottom w:val="nil"/>
              <w:right w:val="nil"/>
            </w:tcBorders>
            <w:shd w:val="clear" w:color="auto" w:fill="auto"/>
            <w:noWrap/>
            <w:vAlign w:val="center"/>
            <w:hideMark/>
          </w:tcPr>
          <w:p w14:paraId="1FFFD20F" w14:textId="77777777" w:rsidR="008A12C9" w:rsidRPr="00F7132F" w:rsidRDefault="008A12C9" w:rsidP="008A12C9">
            <w:pPr>
              <w:spacing w:after="0" w:line="240" w:lineRule="auto"/>
              <w:rPr>
                <w:rFonts w:ascii="Verdana" w:eastAsia="Times New Roman" w:hAnsi="Verdana" w:cs="Calibri"/>
                <w:sz w:val="18"/>
                <w:szCs w:val="18"/>
                <w:lang w:eastAsia="pt-BR"/>
              </w:rPr>
            </w:pPr>
          </w:p>
        </w:tc>
        <w:tc>
          <w:tcPr>
            <w:tcW w:w="1940" w:type="dxa"/>
            <w:tcBorders>
              <w:top w:val="nil"/>
              <w:left w:val="nil"/>
              <w:bottom w:val="nil"/>
              <w:right w:val="nil"/>
            </w:tcBorders>
            <w:shd w:val="clear" w:color="auto" w:fill="auto"/>
            <w:noWrap/>
            <w:vAlign w:val="center"/>
            <w:hideMark/>
          </w:tcPr>
          <w:p w14:paraId="342A5C79" w14:textId="77777777" w:rsidR="008A12C9" w:rsidRPr="00F7132F" w:rsidRDefault="008A12C9" w:rsidP="008A12C9">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236" w:type="dxa"/>
            <w:tcBorders>
              <w:top w:val="nil"/>
              <w:left w:val="nil"/>
              <w:bottom w:val="nil"/>
              <w:right w:val="nil"/>
            </w:tcBorders>
            <w:shd w:val="clear" w:color="auto" w:fill="auto"/>
            <w:noWrap/>
            <w:vAlign w:val="center"/>
            <w:hideMark/>
          </w:tcPr>
          <w:p w14:paraId="582A4B52" w14:textId="77777777" w:rsidR="008A12C9" w:rsidRPr="00F7132F" w:rsidRDefault="008A12C9" w:rsidP="008A12C9">
            <w:pPr>
              <w:spacing w:after="0" w:line="240" w:lineRule="auto"/>
              <w:jc w:val="right"/>
              <w:rPr>
                <w:rFonts w:ascii="Verdana" w:eastAsia="Times New Roman" w:hAnsi="Verdana" w:cs="Calibri"/>
                <w:sz w:val="18"/>
                <w:szCs w:val="18"/>
                <w:lang w:eastAsia="pt-BR"/>
              </w:rPr>
            </w:pPr>
          </w:p>
        </w:tc>
        <w:tc>
          <w:tcPr>
            <w:tcW w:w="1940" w:type="dxa"/>
            <w:tcBorders>
              <w:top w:val="nil"/>
              <w:left w:val="nil"/>
              <w:bottom w:val="nil"/>
              <w:right w:val="nil"/>
            </w:tcBorders>
            <w:shd w:val="clear" w:color="auto" w:fill="auto"/>
            <w:noWrap/>
            <w:vAlign w:val="center"/>
            <w:hideMark/>
          </w:tcPr>
          <w:p w14:paraId="69987FEC" w14:textId="77777777" w:rsidR="008A12C9" w:rsidRPr="00F7132F" w:rsidRDefault="008A12C9" w:rsidP="008A12C9">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25 </w:t>
            </w:r>
          </w:p>
        </w:tc>
      </w:tr>
      <w:tr w:rsidR="008A12C9" w:rsidRPr="00116729" w14:paraId="4851278A" w14:textId="77777777" w:rsidTr="00F7132F">
        <w:trPr>
          <w:trHeight w:val="20"/>
        </w:trPr>
        <w:tc>
          <w:tcPr>
            <w:tcW w:w="5004" w:type="dxa"/>
            <w:tcBorders>
              <w:top w:val="nil"/>
              <w:left w:val="nil"/>
              <w:bottom w:val="nil"/>
              <w:right w:val="nil"/>
            </w:tcBorders>
            <w:shd w:val="clear" w:color="auto" w:fill="auto"/>
            <w:noWrap/>
            <w:vAlign w:val="center"/>
            <w:hideMark/>
          </w:tcPr>
          <w:p w14:paraId="67F59588" w14:textId="77777777" w:rsidR="008A12C9" w:rsidRPr="00F7132F" w:rsidRDefault="008A12C9" w:rsidP="008A12C9">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236" w:type="dxa"/>
            <w:tcBorders>
              <w:top w:val="nil"/>
              <w:left w:val="nil"/>
              <w:bottom w:val="nil"/>
              <w:right w:val="nil"/>
            </w:tcBorders>
            <w:shd w:val="clear" w:color="auto" w:fill="auto"/>
            <w:noWrap/>
            <w:vAlign w:val="center"/>
            <w:hideMark/>
          </w:tcPr>
          <w:p w14:paraId="53767007" w14:textId="77777777" w:rsidR="008A12C9" w:rsidRPr="00F7132F" w:rsidRDefault="008A12C9" w:rsidP="008A12C9">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940" w:type="dxa"/>
            <w:tcBorders>
              <w:top w:val="single" w:sz="4" w:space="0" w:color="auto"/>
              <w:left w:val="nil"/>
              <w:bottom w:val="double" w:sz="6" w:space="0" w:color="auto"/>
              <w:right w:val="nil"/>
            </w:tcBorders>
            <w:shd w:val="clear" w:color="auto" w:fill="auto"/>
            <w:noWrap/>
            <w:vAlign w:val="center"/>
            <w:hideMark/>
          </w:tcPr>
          <w:p w14:paraId="01B48C6C" w14:textId="77777777" w:rsidR="008A12C9" w:rsidRPr="00F7132F" w:rsidRDefault="008A12C9" w:rsidP="008A12C9">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xml:space="preserve">          140.378 </w:t>
            </w:r>
          </w:p>
        </w:tc>
        <w:tc>
          <w:tcPr>
            <w:tcW w:w="236" w:type="dxa"/>
            <w:tcBorders>
              <w:top w:val="nil"/>
              <w:left w:val="nil"/>
              <w:bottom w:val="nil"/>
              <w:right w:val="nil"/>
            </w:tcBorders>
            <w:shd w:val="clear" w:color="auto" w:fill="auto"/>
            <w:noWrap/>
            <w:vAlign w:val="center"/>
            <w:hideMark/>
          </w:tcPr>
          <w:p w14:paraId="067BB07A" w14:textId="77777777" w:rsidR="008A12C9" w:rsidRPr="00F7132F" w:rsidRDefault="008A12C9" w:rsidP="008A12C9">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940" w:type="dxa"/>
            <w:tcBorders>
              <w:top w:val="single" w:sz="4" w:space="0" w:color="auto"/>
              <w:left w:val="nil"/>
              <w:bottom w:val="double" w:sz="6" w:space="0" w:color="auto"/>
              <w:right w:val="nil"/>
            </w:tcBorders>
            <w:shd w:val="clear" w:color="auto" w:fill="auto"/>
            <w:noWrap/>
            <w:vAlign w:val="center"/>
            <w:hideMark/>
          </w:tcPr>
          <w:p w14:paraId="522DF65D" w14:textId="77777777" w:rsidR="008A12C9" w:rsidRPr="00F7132F" w:rsidRDefault="008A12C9" w:rsidP="008A12C9">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xml:space="preserve">          165.486 </w:t>
            </w:r>
          </w:p>
        </w:tc>
      </w:tr>
    </w:tbl>
    <w:p w14:paraId="6C66BAE9" w14:textId="77777777" w:rsidR="00504C6C" w:rsidRPr="00116729" w:rsidRDefault="00504C6C" w:rsidP="005C7733">
      <w:pPr>
        <w:widowControl w:val="0"/>
        <w:autoSpaceDE w:val="0"/>
        <w:autoSpaceDN w:val="0"/>
        <w:jc w:val="both"/>
        <w:rPr>
          <w:rFonts w:ascii="Verdana" w:hAnsi="Verdana" w:cstheme="minorHAnsi"/>
        </w:rPr>
      </w:pPr>
    </w:p>
    <w:p w14:paraId="3C1D7E6C" w14:textId="77777777" w:rsidR="002B1787" w:rsidRPr="00F7132F" w:rsidRDefault="00581D1F" w:rsidP="00CF5F07">
      <w:pPr>
        <w:tabs>
          <w:tab w:val="left" w:pos="567"/>
          <w:tab w:val="left" w:pos="1134"/>
          <w:tab w:val="left" w:pos="1701"/>
          <w:tab w:val="left" w:pos="2268"/>
          <w:tab w:val="left" w:pos="2835"/>
        </w:tabs>
        <w:jc w:val="both"/>
        <w:outlineLvl w:val="0"/>
        <w:rPr>
          <w:rFonts w:ascii="Verdana" w:hAnsi="Verdana" w:cstheme="minorHAnsi"/>
          <w:b/>
        </w:rPr>
      </w:pPr>
      <w:r>
        <w:rPr>
          <w:rFonts w:ascii="Verdana" w:hAnsi="Verdana" w:cstheme="minorHAnsi"/>
          <w:b/>
        </w:rPr>
        <w:t>8</w:t>
      </w:r>
      <w:r w:rsidR="002B1787" w:rsidRPr="00F7132F">
        <w:rPr>
          <w:rFonts w:ascii="Verdana" w:hAnsi="Verdana" w:cstheme="minorHAnsi"/>
          <w:b/>
        </w:rPr>
        <w:t xml:space="preserve"> – IMPOSTO</w:t>
      </w:r>
      <w:r w:rsidR="00F24E4C" w:rsidRPr="00F7132F">
        <w:rPr>
          <w:rFonts w:ascii="Verdana" w:hAnsi="Verdana" w:cstheme="minorHAnsi"/>
          <w:b/>
        </w:rPr>
        <w:t xml:space="preserve"> DE RENDA E CONTRIBUIÇÃO SOCIAL</w:t>
      </w:r>
    </w:p>
    <w:tbl>
      <w:tblPr>
        <w:tblW w:w="9321" w:type="dxa"/>
        <w:tblCellMar>
          <w:left w:w="70" w:type="dxa"/>
          <w:right w:w="70" w:type="dxa"/>
        </w:tblCellMar>
        <w:tblLook w:val="04A0" w:firstRow="1" w:lastRow="0" w:firstColumn="1" w:lastColumn="0" w:noHBand="0" w:noVBand="1"/>
      </w:tblPr>
      <w:tblGrid>
        <w:gridCol w:w="4983"/>
        <w:gridCol w:w="237"/>
        <w:gridCol w:w="1932"/>
        <w:gridCol w:w="237"/>
        <w:gridCol w:w="1932"/>
      </w:tblGrid>
      <w:tr w:rsidR="008A12C9" w:rsidRPr="00116729" w14:paraId="61954CC1" w14:textId="77777777" w:rsidTr="00F7132F">
        <w:trPr>
          <w:trHeight w:val="20"/>
        </w:trPr>
        <w:tc>
          <w:tcPr>
            <w:tcW w:w="4983" w:type="dxa"/>
            <w:tcBorders>
              <w:top w:val="nil"/>
              <w:left w:val="nil"/>
              <w:bottom w:val="nil"/>
              <w:right w:val="nil"/>
            </w:tcBorders>
            <w:shd w:val="clear" w:color="auto" w:fill="auto"/>
            <w:noWrap/>
            <w:vAlign w:val="bottom"/>
            <w:hideMark/>
          </w:tcPr>
          <w:p w14:paraId="5287BFCA" w14:textId="77777777" w:rsidR="008A12C9" w:rsidRPr="00116729" w:rsidRDefault="008A12C9" w:rsidP="008A12C9">
            <w:pPr>
              <w:spacing w:after="0" w:line="240" w:lineRule="auto"/>
              <w:rPr>
                <w:rFonts w:ascii="Times New Roman" w:eastAsia="Times New Roman" w:hAnsi="Times New Roman" w:cs="Times New Roman"/>
                <w:sz w:val="24"/>
                <w:szCs w:val="24"/>
                <w:lang w:eastAsia="pt-BR"/>
              </w:rPr>
            </w:pPr>
          </w:p>
        </w:tc>
        <w:tc>
          <w:tcPr>
            <w:tcW w:w="237" w:type="dxa"/>
            <w:tcBorders>
              <w:top w:val="nil"/>
              <w:left w:val="nil"/>
              <w:bottom w:val="nil"/>
              <w:right w:val="nil"/>
            </w:tcBorders>
            <w:shd w:val="clear" w:color="auto" w:fill="auto"/>
            <w:noWrap/>
            <w:vAlign w:val="bottom"/>
            <w:hideMark/>
          </w:tcPr>
          <w:p w14:paraId="3CD577F5" w14:textId="77777777" w:rsidR="008A12C9" w:rsidRPr="00116729" w:rsidRDefault="008A12C9" w:rsidP="008A12C9">
            <w:pPr>
              <w:spacing w:after="0" w:line="240" w:lineRule="auto"/>
              <w:rPr>
                <w:rFonts w:ascii="Times New Roman" w:eastAsia="Times New Roman" w:hAnsi="Times New Roman" w:cs="Times New Roman"/>
                <w:sz w:val="20"/>
                <w:szCs w:val="20"/>
                <w:lang w:eastAsia="pt-BR"/>
              </w:rPr>
            </w:pPr>
          </w:p>
        </w:tc>
        <w:tc>
          <w:tcPr>
            <w:tcW w:w="1932" w:type="dxa"/>
            <w:tcBorders>
              <w:top w:val="nil"/>
              <w:left w:val="nil"/>
              <w:bottom w:val="single" w:sz="4" w:space="0" w:color="auto"/>
              <w:right w:val="nil"/>
            </w:tcBorders>
            <w:shd w:val="clear" w:color="auto" w:fill="auto"/>
            <w:noWrap/>
            <w:vAlign w:val="bottom"/>
            <w:hideMark/>
          </w:tcPr>
          <w:p w14:paraId="6467C818"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Controladora</w:t>
            </w:r>
          </w:p>
        </w:tc>
        <w:tc>
          <w:tcPr>
            <w:tcW w:w="237" w:type="dxa"/>
            <w:tcBorders>
              <w:top w:val="nil"/>
              <w:left w:val="nil"/>
              <w:bottom w:val="nil"/>
              <w:right w:val="nil"/>
            </w:tcBorders>
            <w:shd w:val="clear" w:color="auto" w:fill="auto"/>
            <w:noWrap/>
            <w:vAlign w:val="bottom"/>
            <w:hideMark/>
          </w:tcPr>
          <w:p w14:paraId="7C74359B"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p>
        </w:tc>
        <w:tc>
          <w:tcPr>
            <w:tcW w:w="1932" w:type="dxa"/>
            <w:tcBorders>
              <w:top w:val="nil"/>
              <w:left w:val="nil"/>
              <w:bottom w:val="single" w:sz="4" w:space="0" w:color="auto"/>
              <w:right w:val="nil"/>
            </w:tcBorders>
            <w:shd w:val="clear" w:color="auto" w:fill="auto"/>
            <w:noWrap/>
            <w:vAlign w:val="bottom"/>
            <w:hideMark/>
          </w:tcPr>
          <w:p w14:paraId="113962F0"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Consolidado</w:t>
            </w:r>
          </w:p>
        </w:tc>
      </w:tr>
      <w:tr w:rsidR="008A12C9" w:rsidRPr="00116729" w14:paraId="0C43EDAF" w14:textId="77777777" w:rsidTr="00F7132F">
        <w:trPr>
          <w:trHeight w:val="20"/>
        </w:trPr>
        <w:tc>
          <w:tcPr>
            <w:tcW w:w="4983" w:type="dxa"/>
            <w:tcBorders>
              <w:top w:val="nil"/>
              <w:left w:val="nil"/>
              <w:bottom w:val="nil"/>
              <w:right w:val="nil"/>
            </w:tcBorders>
            <w:shd w:val="clear" w:color="auto" w:fill="auto"/>
            <w:noWrap/>
            <w:vAlign w:val="center"/>
            <w:hideMark/>
          </w:tcPr>
          <w:p w14:paraId="37AE7177"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p>
        </w:tc>
        <w:tc>
          <w:tcPr>
            <w:tcW w:w="237" w:type="dxa"/>
            <w:tcBorders>
              <w:top w:val="nil"/>
              <w:left w:val="nil"/>
              <w:bottom w:val="nil"/>
              <w:right w:val="nil"/>
            </w:tcBorders>
            <w:shd w:val="clear" w:color="auto" w:fill="auto"/>
            <w:noWrap/>
            <w:vAlign w:val="center"/>
            <w:hideMark/>
          </w:tcPr>
          <w:p w14:paraId="3A43A48B" w14:textId="77777777" w:rsidR="008A12C9" w:rsidRPr="00116729" w:rsidRDefault="008A12C9" w:rsidP="008A12C9">
            <w:pPr>
              <w:spacing w:after="0" w:line="240" w:lineRule="auto"/>
              <w:rPr>
                <w:rFonts w:ascii="Times New Roman" w:eastAsia="Times New Roman" w:hAnsi="Times New Roman" w:cs="Times New Roman"/>
                <w:sz w:val="20"/>
                <w:szCs w:val="20"/>
                <w:lang w:eastAsia="pt-BR"/>
              </w:rPr>
            </w:pPr>
          </w:p>
        </w:tc>
        <w:tc>
          <w:tcPr>
            <w:tcW w:w="1932" w:type="dxa"/>
            <w:tcBorders>
              <w:top w:val="nil"/>
              <w:left w:val="nil"/>
              <w:bottom w:val="single" w:sz="4" w:space="0" w:color="auto"/>
              <w:right w:val="nil"/>
            </w:tcBorders>
            <w:shd w:val="clear" w:color="auto" w:fill="auto"/>
            <w:noWrap/>
            <w:vAlign w:val="center"/>
            <w:hideMark/>
          </w:tcPr>
          <w:p w14:paraId="500C38D2"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30/06/2022</w:t>
            </w:r>
          </w:p>
        </w:tc>
        <w:tc>
          <w:tcPr>
            <w:tcW w:w="237" w:type="dxa"/>
            <w:tcBorders>
              <w:top w:val="nil"/>
              <w:left w:val="nil"/>
              <w:bottom w:val="nil"/>
              <w:right w:val="nil"/>
            </w:tcBorders>
            <w:shd w:val="clear" w:color="auto" w:fill="auto"/>
            <w:noWrap/>
            <w:vAlign w:val="center"/>
            <w:hideMark/>
          </w:tcPr>
          <w:p w14:paraId="7FEC9F56"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p>
        </w:tc>
        <w:tc>
          <w:tcPr>
            <w:tcW w:w="1932" w:type="dxa"/>
            <w:tcBorders>
              <w:top w:val="nil"/>
              <w:left w:val="nil"/>
              <w:bottom w:val="single" w:sz="4" w:space="0" w:color="auto"/>
              <w:right w:val="nil"/>
            </w:tcBorders>
            <w:shd w:val="clear" w:color="auto" w:fill="auto"/>
            <w:noWrap/>
            <w:vAlign w:val="center"/>
            <w:hideMark/>
          </w:tcPr>
          <w:p w14:paraId="33A99849"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30/06/2022</w:t>
            </w:r>
          </w:p>
        </w:tc>
      </w:tr>
      <w:tr w:rsidR="008A12C9" w:rsidRPr="00116729" w14:paraId="77CED8BF" w14:textId="77777777" w:rsidTr="00F7132F">
        <w:trPr>
          <w:trHeight w:val="20"/>
        </w:trPr>
        <w:tc>
          <w:tcPr>
            <w:tcW w:w="4983" w:type="dxa"/>
            <w:tcBorders>
              <w:top w:val="nil"/>
              <w:left w:val="nil"/>
              <w:bottom w:val="nil"/>
              <w:right w:val="nil"/>
            </w:tcBorders>
            <w:shd w:val="clear" w:color="auto" w:fill="auto"/>
            <w:noWrap/>
            <w:vAlign w:val="center"/>
            <w:hideMark/>
          </w:tcPr>
          <w:p w14:paraId="2501F8CA" w14:textId="77777777" w:rsidR="008A12C9" w:rsidRPr="00F7132F" w:rsidRDefault="008A12C9" w:rsidP="008A12C9">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237" w:type="dxa"/>
            <w:tcBorders>
              <w:top w:val="nil"/>
              <w:left w:val="nil"/>
              <w:bottom w:val="nil"/>
              <w:right w:val="nil"/>
            </w:tcBorders>
            <w:shd w:val="clear" w:color="auto" w:fill="auto"/>
            <w:noWrap/>
            <w:vAlign w:val="center"/>
            <w:hideMark/>
          </w:tcPr>
          <w:p w14:paraId="57B22949" w14:textId="77777777" w:rsidR="008A12C9" w:rsidRPr="00F7132F" w:rsidRDefault="008A12C9" w:rsidP="008A12C9">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932" w:type="dxa"/>
            <w:tcBorders>
              <w:top w:val="nil"/>
              <w:left w:val="nil"/>
              <w:bottom w:val="nil"/>
              <w:right w:val="nil"/>
            </w:tcBorders>
            <w:shd w:val="clear" w:color="auto" w:fill="auto"/>
            <w:noWrap/>
            <w:vAlign w:val="center"/>
            <w:hideMark/>
          </w:tcPr>
          <w:p w14:paraId="68E6AF6E" w14:textId="77777777" w:rsidR="008A12C9" w:rsidRPr="00F7132F" w:rsidRDefault="008A12C9" w:rsidP="008A12C9">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37" w:type="dxa"/>
            <w:tcBorders>
              <w:top w:val="nil"/>
              <w:left w:val="nil"/>
              <w:bottom w:val="nil"/>
              <w:right w:val="nil"/>
            </w:tcBorders>
            <w:shd w:val="clear" w:color="auto" w:fill="auto"/>
            <w:noWrap/>
            <w:vAlign w:val="center"/>
            <w:hideMark/>
          </w:tcPr>
          <w:p w14:paraId="74E50DF6" w14:textId="77777777" w:rsidR="008A12C9" w:rsidRPr="00F7132F" w:rsidRDefault="008A12C9" w:rsidP="008A12C9">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932" w:type="dxa"/>
            <w:tcBorders>
              <w:top w:val="nil"/>
              <w:left w:val="nil"/>
              <w:bottom w:val="nil"/>
              <w:right w:val="nil"/>
            </w:tcBorders>
            <w:shd w:val="clear" w:color="auto" w:fill="auto"/>
            <w:noWrap/>
            <w:vAlign w:val="center"/>
            <w:hideMark/>
          </w:tcPr>
          <w:p w14:paraId="12559201" w14:textId="77777777" w:rsidR="008A12C9" w:rsidRPr="00F7132F" w:rsidRDefault="008A12C9" w:rsidP="008A12C9">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r>
      <w:tr w:rsidR="008A12C9" w:rsidRPr="00116729" w14:paraId="101B9020" w14:textId="77777777" w:rsidTr="00F7132F">
        <w:trPr>
          <w:trHeight w:val="20"/>
        </w:trPr>
        <w:tc>
          <w:tcPr>
            <w:tcW w:w="4983" w:type="dxa"/>
            <w:tcBorders>
              <w:top w:val="nil"/>
              <w:left w:val="nil"/>
              <w:bottom w:val="nil"/>
              <w:right w:val="nil"/>
            </w:tcBorders>
            <w:shd w:val="clear" w:color="auto" w:fill="auto"/>
            <w:noWrap/>
            <w:vAlign w:val="center"/>
            <w:hideMark/>
          </w:tcPr>
          <w:p w14:paraId="555E13EB" w14:textId="77777777" w:rsidR="008A12C9" w:rsidRPr="00F7132F" w:rsidRDefault="008A12C9" w:rsidP="008A12C9">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Antecipações IRPJ e CSLL (a)</w:t>
            </w:r>
          </w:p>
        </w:tc>
        <w:tc>
          <w:tcPr>
            <w:tcW w:w="237" w:type="dxa"/>
            <w:tcBorders>
              <w:top w:val="nil"/>
              <w:left w:val="nil"/>
              <w:bottom w:val="nil"/>
              <w:right w:val="nil"/>
            </w:tcBorders>
            <w:shd w:val="clear" w:color="auto" w:fill="auto"/>
            <w:noWrap/>
            <w:vAlign w:val="center"/>
            <w:hideMark/>
          </w:tcPr>
          <w:p w14:paraId="152EF404" w14:textId="77777777" w:rsidR="008A12C9" w:rsidRPr="00F7132F" w:rsidRDefault="008A12C9" w:rsidP="008A12C9">
            <w:pPr>
              <w:spacing w:after="0" w:line="240" w:lineRule="auto"/>
              <w:rPr>
                <w:rFonts w:ascii="Verdana" w:eastAsia="Times New Roman" w:hAnsi="Verdana" w:cs="Calibri"/>
                <w:sz w:val="18"/>
                <w:szCs w:val="18"/>
                <w:lang w:eastAsia="pt-BR"/>
              </w:rPr>
            </w:pPr>
          </w:p>
        </w:tc>
        <w:tc>
          <w:tcPr>
            <w:tcW w:w="1932" w:type="dxa"/>
            <w:tcBorders>
              <w:top w:val="nil"/>
              <w:left w:val="nil"/>
              <w:bottom w:val="nil"/>
              <w:right w:val="nil"/>
            </w:tcBorders>
            <w:shd w:val="clear" w:color="auto" w:fill="auto"/>
            <w:noWrap/>
            <w:vAlign w:val="center"/>
            <w:hideMark/>
          </w:tcPr>
          <w:p w14:paraId="45540888" w14:textId="77777777" w:rsidR="008A12C9" w:rsidRPr="00F7132F" w:rsidRDefault="008A12C9" w:rsidP="008A12C9">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237" w:type="dxa"/>
            <w:tcBorders>
              <w:top w:val="nil"/>
              <w:left w:val="nil"/>
              <w:bottom w:val="nil"/>
              <w:right w:val="nil"/>
            </w:tcBorders>
            <w:shd w:val="clear" w:color="auto" w:fill="auto"/>
            <w:noWrap/>
            <w:vAlign w:val="center"/>
            <w:hideMark/>
          </w:tcPr>
          <w:p w14:paraId="43D82365" w14:textId="77777777" w:rsidR="008A12C9" w:rsidRPr="00F7132F" w:rsidRDefault="008A12C9" w:rsidP="008A12C9">
            <w:pPr>
              <w:spacing w:after="0" w:line="240" w:lineRule="auto"/>
              <w:jc w:val="right"/>
              <w:rPr>
                <w:rFonts w:ascii="Verdana" w:eastAsia="Times New Roman" w:hAnsi="Verdana" w:cs="Calibri"/>
                <w:sz w:val="18"/>
                <w:szCs w:val="18"/>
                <w:lang w:eastAsia="pt-BR"/>
              </w:rPr>
            </w:pPr>
          </w:p>
        </w:tc>
        <w:tc>
          <w:tcPr>
            <w:tcW w:w="1932" w:type="dxa"/>
            <w:tcBorders>
              <w:top w:val="nil"/>
              <w:left w:val="nil"/>
              <w:bottom w:val="nil"/>
              <w:right w:val="nil"/>
            </w:tcBorders>
            <w:shd w:val="clear" w:color="auto" w:fill="auto"/>
            <w:noWrap/>
            <w:vAlign w:val="center"/>
            <w:hideMark/>
          </w:tcPr>
          <w:p w14:paraId="55D2B94D" w14:textId="77777777" w:rsidR="008A12C9" w:rsidRPr="00F7132F" w:rsidRDefault="008A12C9" w:rsidP="008A12C9">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124.679 </w:t>
            </w:r>
          </w:p>
        </w:tc>
      </w:tr>
      <w:tr w:rsidR="008A12C9" w:rsidRPr="00116729" w14:paraId="0959C284" w14:textId="77777777" w:rsidTr="00F7132F">
        <w:trPr>
          <w:trHeight w:val="20"/>
        </w:trPr>
        <w:tc>
          <w:tcPr>
            <w:tcW w:w="4983" w:type="dxa"/>
            <w:tcBorders>
              <w:top w:val="nil"/>
              <w:left w:val="nil"/>
              <w:bottom w:val="nil"/>
              <w:right w:val="nil"/>
            </w:tcBorders>
            <w:shd w:val="clear" w:color="auto" w:fill="auto"/>
            <w:noWrap/>
            <w:vAlign w:val="bottom"/>
            <w:hideMark/>
          </w:tcPr>
          <w:p w14:paraId="0C74C43D" w14:textId="77777777" w:rsidR="008A12C9" w:rsidRPr="00F7132F" w:rsidRDefault="008A12C9" w:rsidP="008A12C9">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Exercícios anteriores IRPJ e CSLL (b)</w:t>
            </w:r>
          </w:p>
        </w:tc>
        <w:tc>
          <w:tcPr>
            <w:tcW w:w="237" w:type="dxa"/>
            <w:tcBorders>
              <w:top w:val="nil"/>
              <w:left w:val="nil"/>
              <w:bottom w:val="nil"/>
              <w:right w:val="nil"/>
            </w:tcBorders>
            <w:shd w:val="clear" w:color="auto" w:fill="auto"/>
            <w:noWrap/>
            <w:vAlign w:val="center"/>
            <w:hideMark/>
          </w:tcPr>
          <w:p w14:paraId="76991CDE" w14:textId="77777777" w:rsidR="008A12C9" w:rsidRPr="00F7132F" w:rsidRDefault="008A12C9" w:rsidP="008A12C9">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932" w:type="dxa"/>
            <w:tcBorders>
              <w:top w:val="nil"/>
              <w:left w:val="nil"/>
              <w:bottom w:val="nil"/>
              <w:right w:val="nil"/>
            </w:tcBorders>
            <w:shd w:val="clear" w:color="auto" w:fill="auto"/>
            <w:noWrap/>
            <w:vAlign w:val="center"/>
            <w:hideMark/>
          </w:tcPr>
          <w:p w14:paraId="6AF56024" w14:textId="77777777" w:rsidR="008A12C9" w:rsidRPr="00F7132F" w:rsidRDefault="008A12C9" w:rsidP="008A12C9">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237" w:type="dxa"/>
            <w:tcBorders>
              <w:top w:val="nil"/>
              <w:left w:val="nil"/>
              <w:bottom w:val="nil"/>
              <w:right w:val="nil"/>
            </w:tcBorders>
            <w:shd w:val="clear" w:color="auto" w:fill="auto"/>
            <w:noWrap/>
            <w:vAlign w:val="center"/>
            <w:hideMark/>
          </w:tcPr>
          <w:p w14:paraId="627629B4" w14:textId="77777777" w:rsidR="008A12C9" w:rsidRPr="00F7132F" w:rsidRDefault="008A12C9" w:rsidP="008A12C9">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932" w:type="dxa"/>
            <w:tcBorders>
              <w:top w:val="nil"/>
              <w:left w:val="nil"/>
              <w:bottom w:val="nil"/>
              <w:right w:val="nil"/>
            </w:tcBorders>
            <w:shd w:val="clear" w:color="auto" w:fill="auto"/>
            <w:noWrap/>
            <w:vAlign w:val="center"/>
            <w:hideMark/>
          </w:tcPr>
          <w:p w14:paraId="6A2ADC7E" w14:textId="77777777" w:rsidR="008A12C9" w:rsidRPr="00F7132F" w:rsidRDefault="008A12C9" w:rsidP="008A12C9">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59.578 </w:t>
            </w:r>
          </w:p>
        </w:tc>
      </w:tr>
      <w:tr w:rsidR="008A12C9" w:rsidRPr="00116729" w14:paraId="386E6E07" w14:textId="77777777" w:rsidTr="00F7132F">
        <w:trPr>
          <w:trHeight w:val="20"/>
        </w:trPr>
        <w:tc>
          <w:tcPr>
            <w:tcW w:w="4983" w:type="dxa"/>
            <w:tcBorders>
              <w:top w:val="nil"/>
              <w:left w:val="nil"/>
              <w:bottom w:val="nil"/>
              <w:right w:val="nil"/>
            </w:tcBorders>
            <w:shd w:val="clear" w:color="auto" w:fill="auto"/>
            <w:noWrap/>
            <w:vAlign w:val="center"/>
            <w:hideMark/>
          </w:tcPr>
          <w:p w14:paraId="5387F547" w14:textId="77777777" w:rsidR="008A12C9" w:rsidRPr="00F7132F" w:rsidRDefault="008A12C9" w:rsidP="008A12C9">
            <w:pPr>
              <w:spacing w:after="0" w:line="240" w:lineRule="auto"/>
              <w:jc w:val="right"/>
              <w:rPr>
                <w:rFonts w:ascii="Verdana" w:eastAsia="Times New Roman" w:hAnsi="Verdana" w:cs="Calibri"/>
                <w:sz w:val="18"/>
                <w:szCs w:val="18"/>
                <w:lang w:eastAsia="pt-BR"/>
              </w:rPr>
            </w:pPr>
          </w:p>
        </w:tc>
        <w:tc>
          <w:tcPr>
            <w:tcW w:w="237" w:type="dxa"/>
            <w:tcBorders>
              <w:top w:val="nil"/>
              <w:left w:val="nil"/>
              <w:bottom w:val="nil"/>
              <w:right w:val="nil"/>
            </w:tcBorders>
            <w:shd w:val="clear" w:color="auto" w:fill="auto"/>
            <w:noWrap/>
            <w:vAlign w:val="center"/>
            <w:hideMark/>
          </w:tcPr>
          <w:p w14:paraId="21D98EE5" w14:textId="77777777" w:rsidR="008A12C9" w:rsidRPr="00116729" w:rsidRDefault="008A12C9" w:rsidP="008A12C9">
            <w:pPr>
              <w:spacing w:after="0" w:line="240" w:lineRule="auto"/>
              <w:rPr>
                <w:rFonts w:ascii="Times New Roman" w:eastAsia="Times New Roman" w:hAnsi="Times New Roman" w:cs="Times New Roman"/>
                <w:sz w:val="20"/>
                <w:szCs w:val="20"/>
                <w:lang w:eastAsia="pt-BR"/>
              </w:rPr>
            </w:pPr>
          </w:p>
        </w:tc>
        <w:tc>
          <w:tcPr>
            <w:tcW w:w="1932" w:type="dxa"/>
            <w:tcBorders>
              <w:top w:val="single" w:sz="4" w:space="0" w:color="auto"/>
              <w:left w:val="nil"/>
              <w:bottom w:val="double" w:sz="6" w:space="0" w:color="auto"/>
              <w:right w:val="nil"/>
            </w:tcBorders>
            <w:shd w:val="clear" w:color="auto" w:fill="auto"/>
            <w:noWrap/>
            <w:vAlign w:val="center"/>
            <w:hideMark/>
          </w:tcPr>
          <w:p w14:paraId="324BA276" w14:textId="77777777" w:rsidR="008A12C9" w:rsidRPr="00F7132F" w:rsidRDefault="008A12C9" w:rsidP="008A12C9">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xml:space="preserve">                     -   </w:t>
            </w:r>
          </w:p>
        </w:tc>
        <w:tc>
          <w:tcPr>
            <w:tcW w:w="237" w:type="dxa"/>
            <w:tcBorders>
              <w:top w:val="nil"/>
              <w:left w:val="nil"/>
              <w:bottom w:val="nil"/>
              <w:right w:val="nil"/>
            </w:tcBorders>
            <w:shd w:val="clear" w:color="auto" w:fill="auto"/>
            <w:noWrap/>
            <w:vAlign w:val="center"/>
            <w:hideMark/>
          </w:tcPr>
          <w:p w14:paraId="1AA45658" w14:textId="77777777" w:rsidR="008A12C9" w:rsidRPr="00F7132F" w:rsidRDefault="008A12C9" w:rsidP="008A12C9">
            <w:pPr>
              <w:spacing w:after="0" w:line="240" w:lineRule="auto"/>
              <w:jc w:val="right"/>
              <w:rPr>
                <w:rFonts w:ascii="Verdana" w:eastAsia="Times New Roman" w:hAnsi="Verdana" w:cs="Calibri"/>
                <w:b/>
                <w:bCs/>
                <w:sz w:val="18"/>
                <w:szCs w:val="18"/>
                <w:lang w:eastAsia="pt-BR"/>
              </w:rPr>
            </w:pPr>
          </w:p>
        </w:tc>
        <w:tc>
          <w:tcPr>
            <w:tcW w:w="1932" w:type="dxa"/>
            <w:tcBorders>
              <w:top w:val="single" w:sz="4" w:space="0" w:color="auto"/>
              <w:left w:val="nil"/>
              <w:bottom w:val="double" w:sz="6" w:space="0" w:color="auto"/>
              <w:right w:val="nil"/>
            </w:tcBorders>
            <w:shd w:val="clear" w:color="auto" w:fill="auto"/>
            <w:noWrap/>
            <w:vAlign w:val="center"/>
            <w:hideMark/>
          </w:tcPr>
          <w:p w14:paraId="2D9140C4" w14:textId="77777777" w:rsidR="008A12C9" w:rsidRPr="00F7132F" w:rsidRDefault="008A12C9" w:rsidP="008A12C9">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xml:space="preserve">          184.257 </w:t>
            </w:r>
          </w:p>
        </w:tc>
      </w:tr>
    </w:tbl>
    <w:p w14:paraId="7F7FDFAD" w14:textId="77777777" w:rsidR="00584991" w:rsidRPr="00116729" w:rsidRDefault="00584991" w:rsidP="00F24E4C">
      <w:pPr>
        <w:widowControl w:val="0"/>
        <w:autoSpaceDE w:val="0"/>
        <w:autoSpaceDN w:val="0"/>
        <w:jc w:val="both"/>
        <w:rPr>
          <w:rFonts w:ascii="Verdana" w:hAnsi="Verdana" w:cstheme="minorHAnsi"/>
        </w:rPr>
      </w:pPr>
    </w:p>
    <w:p w14:paraId="67B4E795" w14:textId="77777777" w:rsidR="00584991" w:rsidRPr="00116729" w:rsidRDefault="00584991" w:rsidP="00CF5F07">
      <w:pPr>
        <w:pStyle w:val="PargrafodaLista"/>
        <w:widowControl w:val="0"/>
        <w:numPr>
          <w:ilvl w:val="0"/>
          <w:numId w:val="9"/>
        </w:numPr>
        <w:autoSpaceDE w:val="0"/>
        <w:autoSpaceDN w:val="0"/>
        <w:ind w:left="284" w:hanging="284"/>
        <w:rPr>
          <w:rFonts w:ascii="Verdana" w:hAnsi="Verdana" w:cstheme="minorHAnsi"/>
          <w:szCs w:val="22"/>
        </w:rPr>
      </w:pPr>
      <w:r w:rsidRPr="00116729">
        <w:rPr>
          <w:rFonts w:ascii="Verdana" w:hAnsi="Verdana" w:cstheme="minorHAnsi"/>
          <w:szCs w:val="22"/>
        </w:rPr>
        <w:t>Saldo de antecipações de IRPJ/CSLL desembolsados até maio 2022.</w:t>
      </w:r>
    </w:p>
    <w:p w14:paraId="22252329" w14:textId="77777777" w:rsidR="00584991" w:rsidRPr="00C40278" w:rsidRDefault="00584991" w:rsidP="00CF5F07">
      <w:pPr>
        <w:widowControl w:val="0"/>
        <w:autoSpaceDE w:val="0"/>
        <w:autoSpaceDN w:val="0"/>
        <w:spacing w:after="0"/>
        <w:jc w:val="both"/>
        <w:rPr>
          <w:rFonts w:ascii="Verdana" w:hAnsi="Verdana" w:cstheme="minorHAnsi"/>
          <w:sz w:val="16"/>
          <w:szCs w:val="16"/>
        </w:rPr>
      </w:pPr>
    </w:p>
    <w:p w14:paraId="05C2A22E" w14:textId="77777777" w:rsidR="00C40278" w:rsidRDefault="00584991" w:rsidP="00A442D7">
      <w:pPr>
        <w:pStyle w:val="PargrafodaLista"/>
        <w:widowControl w:val="0"/>
        <w:numPr>
          <w:ilvl w:val="0"/>
          <w:numId w:val="9"/>
        </w:numPr>
        <w:autoSpaceDE w:val="0"/>
        <w:autoSpaceDN w:val="0"/>
        <w:ind w:left="284" w:hanging="284"/>
        <w:rPr>
          <w:rFonts w:ascii="Verdana" w:hAnsi="Verdana" w:cstheme="minorHAnsi"/>
          <w:szCs w:val="22"/>
        </w:rPr>
      </w:pPr>
      <w:r w:rsidRPr="00116729">
        <w:rPr>
          <w:rFonts w:ascii="Verdana" w:hAnsi="Verdana" w:cstheme="minorHAnsi"/>
          <w:szCs w:val="22"/>
        </w:rPr>
        <w:t xml:space="preserve">Antecipações de IRPJ/CSLL de exercícios anteriores que não </w:t>
      </w:r>
      <w:r w:rsidR="00F24E4C" w:rsidRPr="00116729">
        <w:rPr>
          <w:rFonts w:ascii="Verdana" w:hAnsi="Verdana" w:cstheme="minorHAnsi"/>
          <w:szCs w:val="22"/>
        </w:rPr>
        <w:t xml:space="preserve">foram </w:t>
      </w:r>
      <w:r w:rsidRPr="00116729">
        <w:rPr>
          <w:rFonts w:ascii="Verdana" w:hAnsi="Verdana" w:cstheme="minorHAnsi"/>
          <w:szCs w:val="22"/>
        </w:rPr>
        <w:t>compensadas no exercício anterior em função do registro de baixa de elementos combustíveis que reduziram a base tr</w:t>
      </w:r>
      <w:r w:rsidR="00F24E4C" w:rsidRPr="00116729">
        <w:rPr>
          <w:rFonts w:ascii="Verdana" w:hAnsi="Verdana" w:cstheme="minorHAnsi"/>
          <w:szCs w:val="22"/>
        </w:rPr>
        <w:t>ibutável no final do exercício.</w:t>
      </w:r>
    </w:p>
    <w:p w14:paraId="16D480BA" w14:textId="77777777" w:rsidR="00C40278" w:rsidRDefault="00C40278">
      <w:pPr>
        <w:rPr>
          <w:rFonts w:ascii="Verdana" w:eastAsia="Times New Roman" w:hAnsi="Verdana" w:cstheme="minorHAnsi"/>
          <w:lang w:eastAsia="pt-BR"/>
        </w:rPr>
      </w:pPr>
      <w:r>
        <w:rPr>
          <w:rFonts w:ascii="Verdana" w:hAnsi="Verdana" w:cstheme="minorHAnsi"/>
        </w:rPr>
        <w:br w:type="page"/>
      </w:r>
    </w:p>
    <w:p w14:paraId="715B1404" w14:textId="77777777" w:rsidR="00CF5F07" w:rsidRPr="00F7132F" w:rsidRDefault="00581D1F" w:rsidP="00CF5F07">
      <w:pPr>
        <w:tabs>
          <w:tab w:val="left" w:pos="567"/>
          <w:tab w:val="left" w:pos="1134"/>
          <w:tab w:val="left" w:pos="1701"/>
          <w:tab w:val="left" w:pos="2268"/>
          <w:tab w:val="left" w:pos="2835"/>
        </w:tabs>
        <w:jc w:val="both"/>
        <w:outlineLvl w:val="0"/>
        <w:rPr>
          <w:rFonts w:ascii="Verdana" w:hAnsi="Verdana" w:cstheme="minorHAnsi"/>
          <w:b/>
        </w:rPr>
      </w:pPr>
      <w:r>
        <w:rPr>
          <w:rFonts w:ascii="Verdana" w:hAnsi="Verdana" w:cstheme="minorHAnsi"/>
          <w:b/>
        </w:rPr>
        <w:lastRenderedPageBreak/>
        <w:t>9</w:t>
      </w:r>
      <w:r w:rsidR="002B1787" w:rsidRPr="00F7132F">
        <w:rPr>
          <w:rFonts w:ascii="Verdana" w:hAnsi="Verdana" w:cstheme="minorHAnsi"/>
          <w:b/>
        </w:rPr>
        <w:t xml:space="preserve"> – ESTOQUE DE COMBUSTÍVEL NUCLEAR</w:t>
      </w:r>
    </w:p>
    <w:p w14:paraId="4E1BE359" w14:textId="77777777" w:rsidR="00CF5F07" w:rsidRPr="00116729" w:rsidRDefault="00CF5F07" w:rsidP="00CF5F07">
      <w:pPr>
        <w:jc w:val="both"/>
        <w:rPr>
          <w:rFonts w:ascii="Verdana" w:hAnsi="Verdana" w:cstheme="minorHAnsi"/>
          <w:snapToGrid w:val="0"/>
        </w:rPr>
      </w:pPr>
      <w:r w:rsidRPr="00116729">
        <w:rPr>
          <w:rFonts w:ascii="Verdana" w:hAnsi="Verdana" w:cstheme="minorHAnsi"/>
          <w:snapToGrid w:val="0"/>
        </w:rPr>
        <w:t xml:space="preserve">O combustível nuclear utilizado nas Usinas nucleares Angra 1 e Angra 2 é constituído de elementos fabricados com componentes metálicos e pastilhas de urânio em seu interior. </w:t>
      </w:r>
    </w:p>
    <w:p w14:paraId="1EEDBDF4" w14:textId="77777777" w:rsidR="00CF5F07" w:rsidRPr="00116729" w:rsidRDefault="00CF5F07" w:rsidP="00CF5F07">
      <w:pPr>
        <w:jc w:val="both"/>
        <w:rPr>
          <w:rFonts w:ascii="Verdana" w:hAnsi="Verdana" w:cstheme="minorHAnsi"/>
          <w:snapToGrid w:val="0"/>
        </w:rPr>
      </w:pPr>
      <w:r w:rsidRPr="00116729">
        <w:rPr>
          <w:rFonts w:ascii="Verdana" w:hAnsi="Verdana" w:cstheme="minorHAnsi"/>
          <w:snapToGrid w:val="0"/>
        </w:rPr>
        <w:t xml:space="preserve">Na sua etapa inicial de formação, são adquiridos o minério de urânio e os serviços necessários à sua fabricação, classificados contabilmente no ativo não circulante, nas contas de estoque de concentrado de urânio e serviço em curso - combustível nuclear, respectivamente. Depois de concluído o processo de fabricação, tem-se o elemento de combustível nuclear pronto, cujo valor é classificado em dois grupos contábeis: no ativo circulante, é registrada a parcela relativa à previsão do consumo para os próximos 12 meses e, no não circulante, a parcela restante. </w:t>
      </w:r>
    </w:p>
    <w:p w14:paraId="219CED58" w14:textId="77777777" w:rsidR="00CF5F07" w:rsidRPr="00116729" w:rsidRDefault="00CF5F07" w:rsidP="00CF5F07">
      <w:pPr>
        <w:jc w:val="both"/>
        <w:rPr>
          <w:rFonts w:ascii="Verdana" w:hAnsi="Verdana" w:cstheme="minorHAnsi"/>
          <w:snapToGrid w:val="0"/>
        </w:rPr>
      </w:pPr>
      <w:r w:rsidRPr="00116729">
        <w:rPr>
          <w:rFonts w:ascii="Verdana" w:hAnsi="Verdana" w:cstheme="minorHAnsi"/>
          <w:snapToGrid w:val="0"/>
        </w:rPr>
        <w:t>A amortização do combustível nuclear ocorre pela perda do potencial de energia térmica dos elementos, que proporciona a geração de energia elétrica. A amortização não é linear, não havendo geração de energia, não há amortização.</w:t>
      </w:r>
    </w:p>
    <w:p w14:paraId="1C4A092F" w14:textId="77777777" w:rsidR="00A978AF" w:rsidRPr="00116729" w:rsidRDefault="00CF5F07" w:rsidP="00F7132F">
      <w:pPr>
        <w:jc w:val="both"/>
        <w:rPr>
          <w:rFonts w:ascii="Verdana" w:hAnsi="Verdana" w:cstheme="minorHAnsi"/>
        </w:rPr>
      </w:pPr>
      <w:r w:rsidRPr="00116729">
        <w:rPr>
          <w:rFonts w:ascii="Verdana" w:hAnsi="Verdana" w:cstheme="minorHAnsi"/>
          <w:snapToGrid w:val="0"/>
        </w:rPr>
        <w:t>Abaixo, está apresentada a movimentação do estoque de combustível nuclear destinado à operação da Usina Angra 1 e Usina Angra 2:</w:t>
      </w:r>
      <w:r w:rsidR="002B1787" w:rsidRPr="00116729">
        <w:rPr>
          <w:rFonts w:ascii="Verdana" w:hAnsi="Verdana" w:cstheme="minorHAnsi"/>
          <w:snapToGrid w:val="0"/>
        </w:rPr>
        <w:t xml:space="preserve"> </w:t>
      </w:r>
    </w:p>
    <w:tbl>
      <w:tblPr>
        <w:tblW w:w="5000" w:type="pct"/>
        <w:tblCellMar>
          <w:left w:w="70" w:type="dxa"/>
          <w:right w:w="70" w:type="dxa"/>
        </w:tblCellMar>
        <w:tblLook w:val="04A0" w:firstRow="1" w:lastRow="0" w:firstColumn="1" w:lastColumn="0" w:noHBand="0" w:noVBand="1"/>
      </w:tblPr>
      <w:tblGrid>
        <w:gridCol w:w="5003"/>
        <w:gridCol w:w="238"/>
        <w:gridCol w:w="1938"/>
        <w:gridCol w:w="238"/>
        <w:gridCol w:w="1938"/>
      </w:tblGrid>
      <w:tr w:rsidR="00A978AF" w:rsidRPr="00116729" w14:paraId="23B7BD6B" w14:textId="77777777" w:rsidTr="00A978AF">
        <w:trPr>
          <w:trHeight w:val="41"/>
        </w:trPr>
        <w:tc>
          <w:tcPr>
            <w:tcW w:w="2673" w:type="pct"/>
            <w:tcBorders>
              <w:top w:val="nil"/>
              <w:left w:val="nil"/>
              <w:bottom w:val="nil"/>
              <w:right w:val="nil"/>
            </w:tcBorders>
            <w:shd w:val="clear" w:color="auto" w:fill="auto"/>
            <w:noWrap/>
            <w:vAlign w:val="bottom"/>
            <w:hideMark/>
          </w:tcPr>
          <w:p w14:paraId="5F4F1D19" w14:textId="77777777" w:rsidR="00A978AF" w:rsidRPr="00116729" w:rsidRDefault="00A978AF" w:rsidP="00A978AF">
            <w:pPr>
              <w:spacing w:after="0" w:line="240" w:lineRule="auto"/>
              <w:rPr>
                <w:rFonts w:ascii="Times New Roman" w:eastAsia="Times New Roman" w:hAnsi="Times New Roman" w:cs="Times New Roman"/>
                <w:sz w:val="24"/>
                <w:szCs w:val="24"/>
                <w:lang w:eastAsia="pt-BR"/>
              </w:rPr>
            </w:pPr>
          </w:p>
        </w:tc>
        <w:tc>
          <w:tcPr>
            <w:tcW w:w="127" w:type="pct"/>
            <w:tcBorders>
              <w:top w:val="nil"/>
              <w:left w:val="nil"/>
              <w:bottom w:val="nil"/>
              <w:right w:val="nil"/>
            </w:tcBorders>
            <w:shd w:val="clear" w:color="auto" w:fill="auto"/>
            <w:noWrap/>
            <w:vAlign w:val="bottom"/>
            <w:hideMark/>
          </w:tcPr>
          <w:p w14:paraId="791C3DCB" w14:textId="77777777" w:rsidR="00A978AF" w:rsidRPr="00116729" w:rsidRDefault="00A978AF" w:rsidP="00A978AF">
            <w:pPr>
              <w:spacing w:after="0" w:line="240" w:lineRule="auto"/>
              <w:rPr>
                <w:rFonts w:ascii="Times New Roman" w:eastAsia="Times New Roman" w:hAnsi="Times New Roman" w:cs="Times New Roman"/>
                <w:sz w:val="20"/>
                <w:szCs w:val="20"/>
                <w:lang w:eastAsia="pt-BR"/>
              </w:rPr>
            </w:pPr>
          </w:p>
        </w:tc>
        <w:tc>
          <w:tcPr>
            <w:tcW w:w="1036" w:type="pct"/>
            <w:tcBorders>
              <w:top w:val="nil"/>
              <w:left w:val="nil"/>
              <w:bottom w:val="single" w:sz="4" w:space="0" w:color="auto"/>
              <w:right w:val="nil"/>
            </w:tcBorders>
            <w:shd w:val="clear" w:color="auto" w:fill="auto"/>
            <w:noWrap/>
            <w:vAlign w:val="bottom"/>
            <w:hideMark/>
          </w:tcPr>
          <w:p w14:paraId="4B7B7C4C"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Controladora</w:t>
            </w:r>
          </w:p>
        </w:tc>
        <w:tc>
          <w:tcPr>
            <w:tcW w:w="127" w:type="pct"/>
            <w:tcBorders>
              <w:top w:val="nil"/>
              <w:left w:val="nil"/>
              <w:bottom w:val="nil"/>
              <w:right w:val="nil"/>
            </w:tcBorders>
            <w:shd w:val="clear" w:color="auto" w:fill="auto"/>
            <w:noWrap/>
            <w:vAlign w:val="bottom"/>
            <w:hideMark/>
          </w:tcPr>
          <w:p w14:paraId="5B5C4AA5"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p>
        </w:tc>
        <w:tc>
          <w:tcPr>
            <w:tcW w:w="1036" w:type="pct"/>
            <w:tcBorders>
              <w:top w:val="nil"/>
              <w:left w:val="nil"/>
              <w:bottom w:val="single" w:sz="4" w:space="0" w:color="auto"/>
              <w:right w:val="nil"/>
            </w:tcBorders>
            <w:shd w:val="clear" w:color="auto" w:fill="auto"/>
            <w:noWrap/>
            <w:vAlign w:val="bottom"/>
            <w:hideMark/>
          </w:tcPr>
          <w:p w14:paraId="7EA89060"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Consolidado</w:t>
            </w:r>
          </w:p>
        </w:tc>
      </w:tr>
      <w:tr w:rsidR="00A978AF" w:rsidRPr="00116729" w14:paraId="7384074F" w14:textId="77777777" w:rsidTr="00A978AF">
        <w:trPr>
          <w:trHeight w:val="41"/>
        </w:trPr>
        <w:tc>
          <w:tcPr>
            <w:tcW w:w="2673" w:type="pct"/>
            <w:tcBorders>
              <w:top w:val="nil"/>
              <w:left w:val="nil"/>
              <w:bottom w:val="nil"/>
              <w:right w:val="nil"/>
            </w:tcBorders>
            <w:shd w:val="clear" w:color="auto" w:fill="auto"/>
            <w:noWrap/>
            <w:vAlign w:val="center"/>
            <w:hideMark/>
          </w:tcPr>
          <w:p w14:paraId="5AEA862A"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p>
        </w:tc>
        <w:tc>
          <w:tcPr>
            <w:tcW w:w="127" w:type="pct"/>
            <w:tcBorders>
              <w:top w:val="nil"/>
              <w:left w:val="nil"/>
              <w:bottom w:val="nil"/>
              <w:right w:val="nil"/>
            </w:tcBorders>
            <w:shd w:val="clear" w:color="auto" w:fill="auto"/>
            <w:noWrap/>
            <w:vAlign w:val="center"/>
            <w:hideMark/>
          </w:tcPr>
          <w:p w14:paraId="7229E05B" w14:textId="77777777" w:rsidR="00A978AF" w:rsidRPr="00116729" w:rsidRDefault="00A978AF" w:rsidP="00A978AF">
            <w:pPr>
              <w:spacing w:after="0" w:line="240" w:lineRule="auto"/>
              <w:rPr>
                <w:rFonts w:ascii="Times New Roman" w:eastAsia="Times New Roman" w:hAnsi="Times New Roman" w:cs="Times New Roman"/>
                <w:sz w:val="20"/>
                <w:szCs w:val="20"/>
                <w:lang w:eastAsia="pt-BR"/>
              </w:rPr>
            </w:pPr>
          </w:p>
        </w:tc>
        <w:tc>
          <w:tcPr>
            <w:tcW w:w="1036" w:type="pct"/>
            <w:tcBorders>
              <w:top w:val="nil"/>
              <w:left w:val="nil"/>
              <w:bottom w:val="single" w:sz="4" w:space="0" w:color="auto"/>
              <w:right w:val="nil"/>
            </w:tcBorders>
            <w:shd w:val="clear" w:color="auto" w:fill="auto"/>
            <w:noWrap/>
            <w:vAlign w:val="center"/>
            <w:hideMark/>
          </w:tcPr>
          <w:p w14:paraId="4B9100DD"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30/06/2022</w:t>
            </w:r>
          </w:p>
        </w:tc>
        <w:tc>
          <w:tcPr>
            <w:tcW w:w="127" w:type="pct"/>
            <w:tcBorders>
              <w:top w:val="nil"/>
              <w:left w:val="nil"/>
              <w:bottom w:val="nil"/>
              <w:right w:val="nil"/>
            </w:tcBorders>
            <w:shd w:val="clear" w:color="auto" w:fill="auto"/>
            <w:noWrap/>
            <w:vAlign w:val="center"/>
            <w:hideMark/>
          </w:tcPr>
          <w:p w14:paraId="14DAF73A"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p>
        </w:tc>
        <w:tc>
          <w:tcPr>
            <w:tcW w:w="1036" w:type="pct"/>
            <w:tcBorders>
              <w:top w:val="nil"/>
              <w:left w:val="nil"/>
              <w:bottom w:val="single" w:sz="4" w:space="0" w:color="auto"/>
              <w:right w:val="nil"/>
            </w:tcBorders>
            <w:shd w:val="clear" w:color="auto" w:fill="auto"/>
            <w:noWrap/>
            <w:vAlign w:val="center"/>
            <w:hideMark/>
          </w:tcPr>
          <w:p w14:paraId="2F4B36DA"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30/06/2022</w:t>
            </w:r>
          </w:p>
        </w:tc>
      </w:tr>
      <w:tr w:rsidR="00A978AF" w:rsidRPr="00116729" w14:paraId="4BE10AFA" w14:textId="77777777" w:rsidTr="00F7132F">
        <w:trPr>
          <w:trHeight w:val="41"/>
        </w:trPr>
        <w:tc>
          <w:tcPr>
            <w:tcW w:w="2673" w:type="pct"/>
            <w:tcBorders>
              <w:top w:val="nil"/>
              <w:left w:val="nil"/>
              <w:bottom w:val="nil"/>
              <w:right w:val="nil"/>
            </w:tcBorders>
            <w:shd w:val="clear" w:color="auto" w:fill="auto"/>
            <w:noWrap/>
            <w:vAlign w:val="center"/>
            <w:hideMark/>
          </w:tcPr>
          <w:p w14:paraId="2B1951CB" w14:textId="77777777" w:rsidR="00A978AF" w:rsidRPr="00F7132F" w:rsidRDefault="00A978AF" w:rsidP="00A978AF">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Ativo circulante</w:t>
            </w:r>
          </w:p>
        </w:tc>
        <w:tc>
          <w:tcPr>
            <w:tcW w:w="127" w:type="pct"/>
            <w:tcBorders>
              <w:top w:val="nil"/>
              <w:left w:val="nil"/>
              <w:bottom w:val="nil"/>
              <w:right w:val="nil"/>
            </w:tcBorders>
            <w:shd w:val="clear" w:color="auto" w:fill="auto"/>
            <w:noWrap/>
            <w:vAlign w:val="center"/>
            <w:hideMark/>
          </w:tcPr>
          <w:p w14:paraId="0563A866" w14:textId="77777777" w:rsidR="00A978AF" w:rsidRPr="00F7132F" w:rsidRDefault="00A978AF" w:rsidP="00A978AF">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036" w:type="pct"/>
            <w:tcBorders>
              <w:top w:val="nil"/>
              <w:left w:val="nil"/>
              <w:bottom w:val="nil"/>
              <w:right w:val="nil"/>
            </w:tcBorders>
            <w:shd w:val="clear" w:color="auto" w:fill="auto"/>
            <w:noWrap/>
            <w:vAlign w:val="center"/>
            <w:hideMark/>
          </w:tcPr>
          <w:p w14:paraId="5B4007C0"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27" w:type="pct"/>
            <w:tcBorders>
              <w:top w:val="nil"/>
              <w:left w:val="nil"/>
              <w:bottom w:val="nil"/>
              <w:right w:val="nil"/>
            </w:tcBorders>
            <w:shd w:val="clear" w:color="auto" w:fill="auto"/>
            <w:noWrap/>
            <w:vAlign w:val="center"/>
            <w:hideMark/>
          </w:tcPr>
          <w:p w14:paraId="42764184" w14:textId="77777777" w:rsidR="00A978AF" w:rsidRPr="00F7132F" w:rsidRDefault="00A978AF" w:rsidP="00A978AF">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036" w:type="pct"/>
            <w:tcBorders>
              <w:top w:val="nil"/>
              <w:left w:val="nil"/>
              <w:bottom w:val="nil"/>
              <w:right w:val="nil"/>
            </w:tcBorders>
            <w:shd w:val="clear" w:color="auto" w:fill="auto"/>
            <w:noWrap/>
            <w:vAlign w:val="center"/>
            <w:hideMark/>
          </w:tcPr>
          <w:p w14:paraId="4DBC4CF4"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r>
      <w:tr w:rsidR="00A978AF" w:rsidRPr="00116729" w14:paraId="24D78366" w14:textId="77777777" w:rsidTr="00A978AF">
        <w:trPr>
          <w:trHeight w:val="41"/>
        </w:trPr>
        <w:tc>
          <w:tcPr>
            <w:tcW w:w="2673" w:type="pct"/>
            <w:tcBorders>
              <w:top w:val="nil"/>
              <w:left w:val="nil"/>
              <w:bottom w:val="nil"/>
              <w:right w:val="nil"/>
            </w:tcBorders>
            <w:shd w:val="clear" w:color="auto" w:fill="auto"/>
            <w:noWrap/>
            <w:vAlign w:val="center"/>
            <w:hideMark/>
          </w:tcPr>
          <w:p w14:paraId="136EE699"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Elementos prontos</w:t>
            </w:r>
          </w:p>
        </w:tc>
        <w:tc>
          <w:tcPr>
            <w:tcW w:w="127" w:type="pct"/>
            <w:tcBorders>
              <w:top w:val="nil"/>
              <w:left w:val="nil"/>
              <w:bottom w:val="nil"/>
              <w:right w:val="nil"/>
            </w:tcBorders>
            <w:shd w:val="clear" w:color="auto" w:fill="auto"/>
            <w:noWrap/>
            <w:vAlign w:val="center"/>
            <w:hideMark/>
          </w:tcPr>
          <w:p w14:paraId="209143E4" w14:textId="77777777" w:rsidR="00A978AF" w:rsidRPr="00F7132F" w:rsidRDefault="00A978AF" w:rsidP="00A978AF">
            <w:pPr>
              <w:spacing w:after="0" w:line="240" w:lineRule="auto"/>
              <w:rPr>
                <w:rFonts w:ascii="Verdana" w:eastAsia="Times New Roman" w:hAnsi="Verdana" w:cs="Calibri"/>
                <w:sz w:val="18"/>
                <w:szCs w:val="18"/>
                <w:lang w:eastAsia="pt-BR"/>
              </w:rPr>
            </w:pPr>
          </w:p>
        </w:tc>
        <w:tc>
          <w:tcPr>
            <w:tcW w:w="1036" w:type="pct"/>
            <w:tcBorders>
              <w:top w:val="nil"/>
              <w:left w:val="nil"/>
              <w:bottom w:val="nil"/>
              <w:right w:val="nil"/>
            </w:tcBorders>
            <w:shd w:val="clear" w:color="auto" w:fill="auto"/>
            <w:noWrap/>
            <w:vAlign w:val="center"/>
            <w:hideMark/>
          </w:tcPr>
          <w:p w14:paraId="7FE6402A"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127" w:type="pct"/>
            <w:tcBorders>
              <w:top w:val="nil"/>
              <w:left w:val="nil"/>
              <w:bottom w:val="nil"/>
              <w:right w:val="nil"/>
            </w:tcBorders>
            <w:shd w:val="clear" w:color="auto" w:fill="auto"/>
            <w:noWrap/>
            <w:vAlign w:val="center"/>
            <w:hideMark/>
          </w:tcPr>
          <w:p w14:paraId="3F389042" w14:textId="77777777" w:rsidR="00A978AF" w:rsidRPr="00F7132F" w:rsidRDefault="00A978AF" w:rsidP="00A978AF">
            <w:pPr>
              <w:spacing w:after="0" w:line="240" w:lineRule="auto"/>
              <w:jc w:val="right"/>
              <w:rPr>
                <w:rFonts w:ascii="Verdana" w:eastAsia="Times New Roman" w:hAnsi="Verdana" w:cs="Calibri"/>
                <w:sz w:val="18"/>
                <w:szCs w:val="18"/>
                <w:lang w:eastAsia="pt-BR"/>
              </w:rPr>
            </w:pPr>
          </w:p>
        </w:tc>
        <w:tc>
          <w:tcPr>
            <w:tcW w:w="1036" w:type="pct"/>
            <w:tcBorders>
              <w:top w:val="nil"/>
              <w:left w:val="nil"/>
              <w:bottom w:val="nil"/>
              <w:right w:val="nil"/>
            </w:tcBorders>
            <w:shd w:val="clear" w:color="auto" w:fill="auto"/>
            <w:noWrap/>
            <w:vAlign w:val="center"/>
            <w:hideMark/>
          </w:tcPr>
          <w:p w14:paraId="7802F756"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515.244 </w:t>
            </w:r>
          </w:p>
        </w:tc>
      </w:tr>
      <w:tr w:rsidR="00A978AF" w:rsidRPr="00116729" w14:paraId="25FA4FD7" w14:textId="77777777" w:rsidTr="00F7132F">
        <w:trPr>
          <w:trHeight w:val="41"/>
        </w:trPr>
        <w:tc>
          <w:tcPr>
            <w:tcW w:w="2673" w:type="pct"/>
            <w:tcBorders>
              <w:top w:val="nil"/>
              <w:left w:val="nil"/>
              <w:bottom w:val="nil"/>
              <w:right w:val="nil"/>
            </w:tcBorders>
            <w:shd w:val="clear" w:color="auto" w:fill="auto"/>
            <w:noWrap/>
            <w:vAlign w:val="center"/>
            <w:hideMark/>
          </w:tcPr>
          <w:p w14:paraId="7AD89BEB"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27" w:type="pct"/>
            <w:tcBorders>
              <w:top w:val="nil"/>
              <w:left w:val="nil"/>
              <w:bottom w:val="nil"/>
              <w:right w:val="nil"/>
            </w:tcBorders>
            <w:shd w:val="clear" w:color="auto" w:fill="auto"/>
            <w:noWrap/>
            <w:vAlign w:val="center"/>
            <w:hideMark/>
          </w:tcPr>
          <w:p w14:paraId="62E28B98" w14:textId="77777777" w:rsidR="00A978AF" w:rsidRPr="00F7132F" w:rsidRDefault="00A978AF" w:rsidP="00A978AF">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036" w:type="pct"/>
            <w:tcBorders>
              <w:top w:val="single" w:sz="4" w:space="0" w:color="auto"/>
              <w:left w:val="nil"/>
              <w:bottom w:val="nil"/>
              <w:right w:val="nil"/>
            </w:tcBorders>
            <w:shd w:val="clear" w:color="auto" w:fill="auto"/>
            <w:noWrap/>
            <w:vAlign w:val="center"/>
            <w:hideMark/>
          </w:tcPr>
          <w:p w14:paraId="28121E90"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127" w:type="pct"/>
            <w:tcBorders>
              <w:top w:val="nil"/>
              <w:left w:val="nil"/>
              <w:bottom w:val="nil"/>
              <w:right w:val="nil"/>
            </w:tcBorders>
            <w:shd w:val="clear" w:color="auto" w:fill="auto"/>
            <w:noWrap/>
            <w:vAlign w:val="center"/>
            <w:hideMark/>
          </w:tcPr>
          <w:p w14:paraId="5A2B33B5" w14:textId="77777777" w:rsidR="00A978AF" w:rsidRPr="00F7132F" w:rsidRDefault="00A978AF" w:rsidP="00A978AF">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036" w:type="pct"/>
            <w:tcBorders>
              <w:top w:val="single" w:sz="4" w:space="0" w:color="auto"/>
              <w:left w:val="nil"/>
              <w:bottom w:val="nil"/>
              <w:right w:val="nil"/>
            </w:tcBorders>
            <w:shd w:val="clear" w:color="auto" w:fill="auto"/>
            <w:noWrap/>
            <w:vAlign w:val="center"/>
            <w:hideMark/>
          </w:tcPr>
          <w:p w14:paraId="466B85D6"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515.244 </w:t>
            </w:r>
          </w:p>
        </w:tc>
      </w:tr>
      <w:tr w:rsidR="00A978AF" w:rsidRPr="00116729" w14:paraId="77B9EA7D" w14:textId="77777777" w:rsidTr="00A978AF">
        <w:trPr>
          <w:trHeight w:val="41"/>
        </w:trPr>
        <w:tc>
          <w:tcPr>
            <w:tcW w:w="2673" w:type="pct"/>
            <w:tcBorders>
              <w:top w:val="nil"/>
              <w:left w:val="nil"/>
              <w:bottom w:val="nil"/>
              <w:right w:val="nil"/>
            </w:tcBorders>
            <w:shd w:val="clear" w:color="auto" w:fill="auto"/>
            <w:noWrap/>
            <w:vAlign w:val="center"/>
            <w:hideMark/>
          </w:tcPr>
          <w:p w14:paraId="0ED5B091" w14:textId="77777777" w:rsidR="00A978AF" w:rsidRPr="00F7132F" w:rsidRDefault="00A978AF" w:rsidP="00A978AF">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Ativo não circulante</w:t>
            </w:r>
          </w:p>
        </w:tc>
        <w:tc>
          <w:tcPr>
            <w:tcW w:w="127" w:type="pct"/>
            <w:tcBorders>
              <w:top w:val="nil"/>
              <w:left w:val="nil"/>
              <w:bottom w:val="nil"/>
              <w:right w:val="nil"/>
            </w:tcBorders>
            <w:shd w:val="clear" w:color="auto" w:fill="auto"/>
            <w:noWrap/>
            <w:vAlign w:val="center"/>
            <w:hideMark/>
          </w:tcPr>
          <w:p w14:paraId="36E36CC3" w14:textId="77777777" w:rsidR="00A978AF" w:rsidRPr="00F7132F" w:rsidRDefault="00A978AF" w:rsidP="00A978AF">
            <w:pPr>
              <w:spacing w:after="0" w:line="240" w:lineRule="auto"/>
              <w:rPr>
                <w:rFonts w:ascii="Verdana" w:eastAsia="Times New Roman" w:hAnsi="Verdana" w:cs="Calibri"/>
                <w:b/>
                <w:bCs/>
                <w:sz w:val="18"/>
                <w:szCs w:val="18"/>
                <w:lang w:eastAsia="pt-BR"/>
              </w:rPr>
            </w:pPr>
          </w:p>
        </w:tc>
        <w:tc>
          <w:tcPr>
            <w:tcW w:w="1036" w:type="pct"/>
            <w:tcBorders>
              <w:top w:val="nil"/>
              <w:left w:val="nil"/>
              <w:bottom w:val="nil"/>
              <w:right w:val="nil"/>
            </w:tcBorders>
            <w:shd w:val="clear" w:color="auto" w:fill="auto"/>
            <w:noWrap/>
            <w:vAlign w:val="center"/>
            <w:hideMark/>
          </w:tcPr>
          <w:p w14:paraId="4DD0569F" w14:textId="77777777" w:rsidR="00A978AF" w:rsidRPr="00116729" w:rsidRDefault="00A978AF" w:rsidP="00A978AF">
            <w:pPr>
              <w:spacing w:after="0" w:line="240" w:lineRule="auto"/>
              <w:rPr>
                <w:rFonts w:ascii="Times New Roman" w:eastAsia="Times New Roman" w:hAnsi="Times New Roman" w:cs="Times New Roman"/>
                <w:sz w:val="20"/>
                <w:szCs w:val="20"/>
                <w:lang w:eastAsia="pt-BR"/>
              </w:rPr>
            </w:pPr>
          </w:p>
        </w:tc>
        <w:tc>
          <w:tcPr>
            <w:tcW w:w="127" w:type="pct"/>
            <w:tcBorders>
              <w:top w:val="nil"/>
              <w:left w:val="nil"/>
              <w:bottom w:val="nil"/>
              <w:right w:val="nil"/>
            </w:tcBorders>
            <w:shd w:val="clear" w:color="auto" w:fill="auto"/>
            <w:noWrap/>
            <w:vAlign w:val="center"/>
            <w:hideMark/>
          </w:tcPr>
          <w:p w14:paraId="4C97ED2C" w14:textId="77777777" w:rsidR="00A978AF" w:rsidRPr="00116729" w:rsidRDefault="00A978AF" w:rsidP="00A978AF">
            <w:pPr>
              <w:spacing w:after="0" w:line="240" w:lineRule="auto"/>
              <w:jc w:val="right"/>
              <w:rPr>
                <w:rFonts w:ascii="Times New Roman" w:eastAsia="Times New Roman" w:hAnsi="Times New Roman" w:cs="Times New Roman"/>
                <w:sz w:val="20"/>
                <w:szCs w:val="20"/>
                <w:lang w:eastAsia="pt-BR"/>
              </w:rPr>
            </w:pPr>
          </w:p>
        </w:tc>
        <w:tc>
          <w:tcPr>
            <w:tcW w:w="1036" w:type="pct"/>
            <w:tcBorders>
              <w:top w:val="nil"/>
              <w:left w:val="nil"/>
              <w:bottom w:val="nil"/>
              <w:right w:val="nil"/>
            </w:tcBorders>
            <w:shd w:val="clear" w:color="auto" w:fill="auto"/>
            <w:noWrap/>
            <w:vAlign w:val="center"/>
            <w:hideMark/>
          </w:tcPr>
          <w:p w14:paraId="7B72A1E6" w14:textId="77777777" w:rsidR="00A978AF" w:rsidRPr="00116729" w:rsidRDefault="00A978AF" w:rsidP="00A978AF">
            <w:pPr>
              <w:spacing w:after="0" w:line="240" w:lineRule="auto"/>
              <w:rPr>
                <w:rFonts w:ascii="Times New Roman" w:eastAsia="Times New Roman" w:hAnsi="Times New Roman" w:cs="Times New Roman"/>
                <w:sz w:val="20"/>
                <w:szCs w:val="20"/>
                <w:lang w:eastAsia="pt-BR"/>
              </w:rPr>
            </w:pPr>
          </w:p>
        </w:tc>
      </w:tr>
      <w:tr w:rsidR="00A978AF" w:rsidRPr="00116729" w14:paraId="6DF61736" w14:textId="77777777" w:rsidTr="00F7132F">
        <w:trPr>
          <w:trHeight w:val="41"/>
        </w:trPr>
        <w:tc>
          <w:tcPr>
            <w:tcW w:w="2673" w:type="pct"/>
            <w:tcBorders>
              <w:top w:val="nil"/>
              <w:left w:val="nil"/>
              <w:bottom w:val="nil"/>
              <w:right w:val="nil"/>
            </w:tcBorders>
            <w:shd w:val="clear" w:color="auto" w:fill="auto"/>
            <w:noWrap/>
            <w:vAlign w:val="center"/>
            <w:hideMark/>
          </w:tcPr>
          <w:p w14:paraId="3265BA04"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Elementos prontos bruto</w:t>
            </w:r>
          </w:p>
        </w:tc>
        <w:tc>
          <w:tcPr>
            <w:tcW w:w="127" w:type="pct"/>
            <w:tcBorders>
              <w:top w:val="nil"/>
              <w:left w:val="nil"/>
              <w:bottom w:val="nil"/>
              <w:right w:val="nil"/>
            </w:tcBorders>
            <w:shd w:val="clear" w:color="auto" w:fill="auto"/>
            <w:noWrap/>
            <w:vAlign w:val="center"/>
            <w:hideMark/>
          </w:tcPr>
          <w:p w14:paraId="039E07FE" w14:textId="77777777" w:rsidR="00A978AF" w:rsidRPr="00F7132F" w:rsidRDefault="00A978AF" w:rsidP="00A978AF">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036" w:type="pct"/>
            <w:tcBorders>
              <w:top w:val="nil"/>
              <w:left w:val="nil"/>
              <w:bottom w:val="nil"/>
              <w:right w:val="nil"/>
            </w:tcBorders>
            <w:shd w:val="clear" w:color="auto" w:fill="auto"/>
            <w:noWrap/>
            <w:vAlign w:val="center"/>
            <w:hideMark/>
          </w:tcPr>
          <w:p w14:paraId="60A55B43"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127" w:type="pct"/>
            <w:tcBorders>
              <w:top w:val="nil"/>
              <w:left w:val="nil"/>
              <w:bottom w:val="nil"/>
              <w:right w:val="nil"/>
            </w:tcBorders>
            <w:shd w:val="clear" w:color="auto" w:fill="auto"/>
            <w:noWrap/>
            <w:vAlign w:val="center"/>
            <w:hideMark/>
          </w:tcPr>
          <w:p w14:paraId="42AAF7D3" w14:textId="77777777" w:rsidR="00A978AF" w:rsidRPr="00F7132F" w:rsidRDefault="00A978AF" w:rsidP="00A978AF">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036" w:type="pct"/>
            <w:tcBorders>
              <w:top w:val="nil"/>
              <w:left w:val="nil"/>
              <w:bottom w:val="nil"/>
              <w:right w:val="nil"/>
            </w:tcBorders>
            <w:shd w:val="clear" w:color="auto" w:fill="auto"/>
            <w:noWrap/>
            <w:vAlign w:val="center"/>
            <w:hideMark/>
          </w:tcPr>
          <w:p w14:paraId="33F2355E"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4.510.361 </w:t>
            </w:r>
          </w:p>
        </w:tc>
      </w:tr>
      <w:tr w:rsidR="00A978AF" w:rsidRPr="00116729" w14:paraId="297BDA8F" w14:textId="77777777" w:rsidTr="00A978AF">
        <w:trPr>
          <w:trHeight w:val="41"/>
        </w:trPr>
        <w:tc>
          <w:tcPr>
            <w:tcW w:w="2673" w:type="pct"/>
            <w:tcBorders>
              <w:top w:val="nil"/>
              <w:left w:val="nil"/>
              <w:bottom w:val="nil"/>
              <w:right w:val="nil"/>
            </w:tcBorders>
            <w:shd w:val="clear" w:color="auto" w:fill="auto"/>
            <w:noWrap/>
            <w:vAlign w:val="center"/>
            <w:hideMark/>
          </w:tcPr>
          <w:p w14:paraId="14E55813"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Consumo acumulado</w:t>
            </w:r>
          </w:p>
        </w:tc>
        <w:tc>
          <w:tcPr>
            <w:tcW w:w="127" w:type="pct"/>
            <w:tcBorders>
              <w:top w:val="nil"/>
              <w:left w:val="nil"/>
              <w:bottom w:val="nil"/>
              <w:right w:val="nil"/>
            </w:tcBorders>
            <w:shd w:val="clear" w:color="auto" w:fill="auto"/>
            <w:noWrap/>
            <w:vAlign w:val="center"/>
            <w:hideMark/>
          </w:tcPr>
          <w:p w14:paraId="3D708248" w14:textId="77777777" w:rsidR="00A978AF" w:rsidRPr="00F7132F" w:rsidRDefault="00A978AF" w:rsidP="00A978AF">
            <w:pPr>
              <w:spacing w:after="0" w:line="240" w:lineRule="auto"/>
              <w:rPr>
                <w:rFonts w:ascii="Verdana" w:eastAsia="Times New Roman" w:hAnsi="Verdana" w:cs="Calibri"/>
                <w:sz w:val="18"/>
                <w:szCs w:val="18"/>
                <w:lang w:eastAsia="pt-BR"/>
              </w:rPr>
            </w:pPr>
          </w:p>
        </w:tc>
        <w:tc>
          <w:tcPr>
            <w:tcW w:w="1036" w:type="pct"/>
            <w:tcBorders>
              <w:top w:val="nil"/>
              <w:left w:val="nil"/>
              <w:bottom w:val="nil"/>
              <w:right w:val="nil"/>
            </w:tcBorders>
            <w:shd w:val="clear" w:color="auto" w:fill="auto"/>
            <w:noWrap/>
            <w:vAlign w:val="center"/>
            <w:hideMark/>
          </w:tcPr>
          <w:p w14:paraId="2042D289"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127" w:type="pct"/>
            <w:tcBorders>
              <w:top w:val="nil"/>
              <w:left w:val="nil"/>
              <w:bottom w:val="nil"/>
              <w:right w:val="nil"/>
            </w:tcBorders>
            <w:shd w:val="clear" w:color="auto" w:fill="auto"/>
            <w:noWrap/>
            <w:vAlign w:val="center"/>
            <w:hideMark/>
          </w:tcPr>
          <w:p w14:paraId="3E938519" w14:textId="77777777" w:rsidR="00A978AF" w:rsidRPr="00F7132F" w:rsidRDefault="00A978AF" w:rsidP="00A978AF">
            <w:pPr>
              <w:spacing w:after="0" w:line="240" w:lineRule="auto"/>
              <w:jc w:val="right"/>
              <w:rPr>
                <w:rFonts w:ascii="Verdana" w:eastAsia="Times New Roman" w:hAnsi="Verdana" w:cs="Calibri"/>
                <w:sz w:val="18"/>
                <w:szCs w:val="18"/>
                <w:lang w:eastAsia="pt-BR"/>
              </w:rPr>
            </w:pPr>
          </w:p>
        </w:tc>
        <w:tc>
          <w:tcPr>
            <w:tcW w:w="1036" w:type="pct"/>
            <w:tcBorders>
              <w:top w:val="nil"/>
              <w:left w:val="nil"/>
              <w:bottom w:val="nil"/>
              <w:right w:val="nil"/>
            </w:tcBorders>
            <w:shd w:val="clear" w:color="auto" w:fill="auto"/>
            <w:noWrap/>
            <w:vAlign w:val="center"/>
            <w:hideMark/>
          </w:tcPr>
          <w:p w14:paraId="3C65D3D1"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(4.065.558)</w:t>
            </w:r>
          </w:p>
        </w:tc>
      </w:tr>
      <w:tr w:rsidR="00A978AF" w:rsidRPr="00116729" w14:paraId="046BED74" w14:textId="77777777" w:rsidTr="001F6711">
        <w:trPr>
          <w:trHeight w:val="41"/>
        </w:trPr>
        <w:tc>
          <w:tcPr>
            <w:tcW w:w="2673" w:type="pct"/>
            <w:tcBorders>
              <w:top w:val="nil"/>
              <w:left w:val="nil"/>
              <w:right w:val="nil"/>
            </w:tcBorders>
            <w:shd w:val="clear" w:color="auto" w:fill="auto"/>
            <w:noWrap/>
            <w:vAlign w:val="center"/>
            <w:hideMark/>
          </w:tcPr>
          <w:p w14:paraId="0F7C6D6E"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Elementos prontos</w:t>
            </w:r>
          </w:p>
        </w:tc>
        <w:tc>
          <w:tcPr>
            <w:tcW w:w="127" w:type="pct"/>
            <w:tcBorders>
              <w:top w:val="nil"/>
              <w:left w:val="nil"/>
              <w:right w:val="nil"/>
            </w:tcBorders>
            <w:shd w:val="clear" w:color="auto" w:fill="auto"/>
            <w:noWrap/>
            <w:vAlign w:val="center"/>
            <w:hideMark/>
          </w:tcPr>
          <w:p w14:paraId="337EC165" w14:textId="77777777" w:rsidR="00A978AF" w:rsidRPr="00F7132F" w:rsidRDefault="00A978AF" w:rsidP="00A978AF">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036" w:type="pct"/>
            <w:tcBorders>
              <w:top w:val="single" w:sz="4" w:space="0" w:color="auto"/>
              <w:left w:val="nil"/>
              <w:right w:val="nil"/>
            </w:tcBorders>
            <w:shd w:val="clear" w:color="auto" w:fill="auto"/>
            <w:noWrap/>
            <w:vAlign w:val="center"/>
            <w:hideMark/>
          </w:tcPr>
          <w:p w14:paraId="20CE0E85"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127" w:type="pct"/>
            <w:tcBorders>
              <w:top w:val="nil"/>
              <w:left w:val="nil"/>
              <w:right w:val="nil"/>
            </w:tcBorders>
            <w:shd w:val="clear" w:color="auto" w:fill="auto"/>
            <w:noWrap/>
            <w:vAlign w:val="center"/>
            <w:hideMark/>
          </w:tcPr>
          <w:p w14:paraId="1C0FBB17" w14:textId="77777777" w:rsidR="00A978AF" w:rsidRPr="00F7132F" w:rsidRDefault="00A978AF" w:rsidP="00A978AF">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036" w:type="pct"/>
            <w:tcBorders>
              <w:top w:val="single" w:sz="4" w:space="0" w:color="auto"/>
              <w:left w:val="nil"/>
              <w:right w:val="nil"/>
            </w:tcBorders>
            <w:shd w:val="clear" w:color="auto" w:fill="auto"/>
            <w:noWrap/>
            <w:vAlign w:val="center"/>
            <w:hideMark/>
          </w:tcPr>
          <w:p w14:paraId="228932BB"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444.803 </w:t>
            </w:r>
          </w:p>
        </w:tc>
      </w:tr>
      <w:tr w:rsidR="001F6711" w:rsidRPr="001F6711" w14:paraId="018B2233" w14:textId="77777777" w:rsidTr="001F6711">
        <w:trPr>
          <w:trHeight w:val="41"/>
        </w:trPr>
        <w:tc>
          <w:tcPr>
            <w:tcW w:w="2673" w:type="pct"/>
            <w:tcBorders>
              <w:left w:val="nil"/>
              <w:bottom w:val="nil"/>
              <w:right w:val="nil"/>
            </w:tcBorders>
            <w:shd w:val="clear" w:color="auto" w:fill="auto"/>
            <w:noWrap/>
            <w:vAlign w:val="center"/>
          </w:tcPr>
          <w:p w14:paraId="3B81337D" w14:textId="77777777" w:rsidR="001F6711" w:rsidRPr="001F6711" w:rsidRDefault="001F6711" w:rsidP="00A978AF">
            <w:pPr>
              <w:spacing w:after="0" w:line="240" w:lineRule="auto"/>
              <w:rPr>
                <w:rFonts w:ascii="Verdana" w:eastAsia="Times New Roman" w:hAnsi="Verdana" w:cs="Calibri"/>
                <w:sz w:val="8"/>
                <w:szCs w:val="8"/>
                <w:lang w:eastAsia="pt-BR"/>
              </w:rPr>
            </w:pPr>
          </w:p>
        </w:tc>
        <w:tc>
          <w:tcPr>
            <w:tcW w:w="127" w:type="pct"/>
            <w:tcBorders>
              <w:left w:val="nil"/>
              <w:bottom w:val="nil"/>
              <w:right w:val="nil"/>
            </w:tcBorders>
            <w:shd w:val="clear" w:color="auto" w:fill="auto"/>
            <w:noWrap/>
            <w:vAlign w:val="center"/>
          </w:tcPr>
          <w:p w14:paraId="66A10CA9" w14:textId="77777777" w:rsidR="001F6711" w:rsidRPr="001F6711" w:rsidRDefault="001F6711" w:rsidP="00A978AF">
            <w:pPr>
              <w:spacing w:after="0" w:line="240" w:lineRule="auto"/>
              <w:rPr>
                <w:rFonts w:ascii="Verdana" w:eastAsia="Times New Roman" w:hAnsi="Verdana" w:cs="Calibri"/>
                <w:b/>
                <w:bCs/>
                <w:sz w:val="8"/>
                <w:szCs w:val="8"/>
                <w:lang w:eastAsia="pt-BR"/>
              </w:rPr>
            </w:pPr>
          </w:p>
        </w:tc>
        <w:tc>
          <w:tcPr>
            <w:tcW w:w="1036" w:type="pct"/>
            <w:tcBorders>
              <w:left w:val="nil"/>
              <w:bottom w:val="nil"/>
              <w:right w:val="nil"/>
            </w:tcBorders>
            <w:shd w:val="clear" w:color="auto" w:fill="auto"/>
            <w:noWrap/>
            <w:vAlign w:val="center"/>
          </w:tcPr>
          <w:p w14:paraId="4B6FAFD2" w14:textId="77777777" w:rsidR="001F6711" w:rsidRPr="001F6711" w:rsidRDefault="001F6711" w:rsidP="00A978AF">
            <w:pPr>
              <w:spacing w:after="0" w:line="240" w:lineRule="auto"/>
              <w:jc w:val="right"/>
              <w:rPr>
                <w:rFonts w:ascii="Verdana" w:eastAsia="Times New Roman" w:hAnsi="Verdana" w:cs="Calibri"/>
                <w:sz w:val="8"/>
                <w:szCs w:val="8"/>
                <w:lang w:eastAsia="pt-BR"/>
              </w:rPr>
            </w:pPr>
          </w:p>
        </w:tc>
        <w:tc>
          <w:tcPr>
            <w:tcW w:w="127" w:type="pct"/>
            <w:tcBorders>
              <w:left w:val="nil"/>
              <w:bottom w:val="nil"/>
              <w:right w:val="nil"/>
            </w:tcBorders>
            <w:shd w:val="clear" w:color="auto" w:fill="auto"/>
            <w:noWrap/>
            <w:vAlign w:val="center"/>
          </w:tcPr>
          <w:p w14:paraId="16B8F1DE" w14:textId="77777777" w:rsidR="001F6711" w:rsidRPr="001F6711" w:rsidRDefault="001F6711" w:rsidP="00A978AF">
            <w:pPr>
              <w:spacing w:after="0" w:line="240" w:lineRule="auto"/>
              <w:rPr>
                <w:rFonts w:ascii="Verdana" w:eastAsia="Times New Roman" w:hAnsi="Verdana" w:cs="Calibri"/>
                <w:b/>
                <w:bCs/>
                <w:sz w:val="8"/>
                <w:szCs w:val="8"/>
                <w:lang w:eastAsia="pt-BR"/>
              </w:rPr>
            </w:pPr>
          </w:p>
        </w:tc>
        <w:tc>
          <w:tcPr>
            <w:tcW w:w="1036" w:type="pct"/>
            <w:tcBorders>
              <w:left w:val="nil"/>
              <w:bottom w:val="nil"/>
              <w:right w:val="nil"/>
            </w:tcBorders>
            <w:shd w:val="clear" w:color="auto" w:fill="auto"/>
            <w:noWrap/>
            <w:vAlign w:val="center"/>
          </w:tcPr>
          <w:p w14:paraId="50239EAD" w14:textId="77777777" w:rsidR="001F6711" w:rsidRPr="001F6711" w:rsidRDefault="001F6711" w:rsidP="00A978AF">
            <w:pPr>
              <w:spacing w:after="0" w:line="240" w:lineRule="auto"/>
              <w:jc w:val="right"/>
              <w:rPr>
                <w:rFonts w:ascii="Verdana" w:eastAsia="Times New Roman" w:hAnsi="Verdana" w:cs="Calibri"/>
                <w:sz w:val="8"/>
                <w:szCs w:val="8"/>
                <w:lang w:eastAsia="pt-BR"/>
              </w:rPr>
            </w:pPr>
          </w:p>
        </w:tc>
      </w:tr>
      <w:tr w:rsidR="00A978AF" w:rsidRPr="00116729" w14:paraId="076C3ED6" w14:textId="77777777" w:rsidTr="00A978AF">
        <w:trPr>
          <w:trHeight w:val="41"/>
        </w:trPr>
        <w:tc>
          <w:tcPr>
            <w:tcW w:w="2673" w:type="pct"/>
            <w:tcBorders>
              <w:top w:val="nil"/>
              <w:left w:val="nil"/>
              <w:bottom w:val="nil"/>
              <w:right w:val="nil"/>
            </w:tcBorders>
            <w:shd w:val="clear" w:color="auto" w:fill="auto"/>
            <w:noWrap/>
            <w:vAlign w:val="center"/>
            <w:hideMark/>
          </w:tcPr>
          <w:p w14:paraId="51ABBFB7"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Concentrado de urânio</w:t>
            </w:r>
          </w:p>
        </w:tc>
        <w:tc>
          <w:tcPr>
            <w:tcW w:w="127" w:type="pct"/>
            <w:tcBorders>
              <w:top w:val="nil"/>
              <w:left w:val="nil"/>
              <w:bottom w:val="nil"/>
              <w:right w:val="nil"/>
            </w:tcBorders>
            <w:shd w:val="clear" w:color="auto" w:fill="auto"/>
            <w:noWrap/>
            <w:vAlign w:val="center"/>
            <w:hideMark/>
          </w:tcPr>
          <w:p w14:paraId="44E6AA5F" w14:textId="77777777" w:rsidR="00A978AF" w:rsidRPr="00F7132F" w:rsidRDefault="00A978AF" w:rsidP="00A978AF">
            <w:pPr>
              <w:spacing w:after="0" w:line="240" w:lineRule="auto"/>
              <w:rPr>
                <w:rFonts w:ascii="Verdana" w:eastAsia="Times New Roman" w:hAnsi="Verdana" w:cs="Calibri"/>
                <w:sz w:val="18"/>
                <w:szCs w:val="18"/>
                <w:lang w:eastAsia="pt-BR"/>
              </w:rPr>
            </w:pPr>
          </w:p>
        </w:tc>
        <w:tc>
          <w:tcPr>
            <w:tcW w:w="1036" w:type="pct"/>
            <w:tcBorders>
              <w:top w:val="nil"/>
              <w:left w:val="nil"/>
              <w:bottom w:val="nil"/>
              <w:right w:val="nil"/>
            </w:tcBorders>
            <w:shd w:val="clear" w:color="auto" w:fill="auto"/>
            <w:noWrap/>
            <w:vAlign w:val="center"/>
            <w:hideMark/>
          </w:tcPr>
          <w:p w14:paraId="6022CA1D"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127" w:type="pct"/>
            <w:tcBorders>
              <w:top w:val="nil"/>
              <w:left w:val="nil"/>
              <w:bottom w:val="nil"/>
              <w:right w:val="nil"/>
            </w:tcBorders>
            <w:shd w:val="clear" w:color="auto" w:fill="auto"/>
            <w:noWrap/>
            <w:vAlign w:val="center"/>
            <w:hideMark/>
          </w:tcPr>
          <w:p w14:paraId="31B09EF1" w14:textId="77777777" w:rsidR="00A978AF" w:rsidRPr="00F7132F" w:rsidRDefault="00A978AF" w:rsidP="00A978AF">
            <w:pPr>
              <w:spacing w:after="0" w:line="240" w:lineRule="auto"/>
              <w:jc w:val="right"/>
              <w:rPr>
                <w:rFonts w:ascii="Verdana" w:eastAsia="Times New Roman" w:hAnsi="Verdana" w:cs="Calibri"/>
                <w:sz w:val="18"/>
                <w:szCs w:val="18"/>
                <w:lang w:eastAsia="pt-BR"/>
              </w:rPr>
            </w:pPr>
          </w:p>
        </w:tc>
        <w:tc>
          <w:tcPr>
            <w:tcW w:w="1036" w:type="pct"/>
            <w:tcBorders>
              <w:top w:val="nil"/>
              <w:left w:val="nil"/>
              <w:bottom w:val="nil"/>
              <w:right w:val="nil"/>
            </w:tcBorders>
            <w:shd w:val="clear" w:color="auto" w:fill="auto"/>
            <w:noWrap/>
            <w:vAlign w:val="center"/>
            <w:hideMark/>
          </w:tcPr>
          <w:p w14:paraId="5FCE464F"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267.977 </w:t>
            </w:r>
          </w:p>
        </w:tc>
      </w:tr>
      <w:tr w:rsidR="00A978AF" w:rsidRPr="00116729" w14:paraId="4BD3A64B" w14:textId="77777777" w:rsidTr="00F7132F">
        <w:trPr>
          <w:trHeight w:val="41"/>
        </w:trPr>
        <w:tc>
          <w:tcPr>
            <w:tcW w:w="2673" w:type="pct"/>
            <w:tcBorders>
              <w:top w:val="nil"/>
              <w:left w:val="nil"/>
              <w:bottom w:val="nil"/>
              <w:right w:val="nil"/>
            </w:tcBorders>
            <w:shd w:val="clear" w:color="auto" w:fill="auto"/>
            <w:noWrap/>
            <w:vAlign w:val="center"/>
            <w:hideMark/>
          </w:tcPr>
          <w:p w14:paraId="5EB34E10"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Serviços em curso</w:t>
            </w:r>
          </w:p>
        </w:tc>
        <w:tc>
          <w:tcPr>
            <w:tcW w:w="127" w:type="pct"/>
            <w:tcBorders>
              <w:top w:val="nil"/>
              <w:left w:val="nil"/>
              <w:bottom w:val="nil"/>
              <w:right w:val="nil"/>
            </w:tcBorders>
            <w:shd w:val="clear" w:color="auto" w:fill="auto"/>
            <w:noWrap/>
            <w:vAlign w:val="center"/>
            <w:hideMark/>
          </w:tcPr>
          <w:p w14:paraId="1FC6B01A" w14:textId="77777777" w:rsidR="00A978AF" w:rsidRPr="00F7132F" w:rsidRDefault="00A978AF" w:rsidP="00A978AF">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036" w:type="pct"/>
            <w:tcBorders>
              <w:top w:val="nil"/>
              <w:left w:val="nil"/>
              <w:bottom w:val="nil"/>
              <w:right w:val="nil"/>
            </w:tcBorders>
            <w:shd w:val="clear" w:color="auto" w:fill="auto"/>
            <w:noWrap/>
            <w:vAlign w:val="center"/>
            <w:hideMark/>
          </w:tcPr>
          <w:p w14:paraId="245EABB1"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127" w:type="pct"/>
            <w:tcBorders>
              <w:top w:val="nil"/>
              <w:left w:val="nil"/>
              <w:bottom w:val="nil"/>
              <w:right w:val="nil"/>
            </w:tcBorders>
            <w:shd w:val="clear" w:color="auto" w:fill="auto"/>
            <w:noWrap/>
            <w:vAlign w:val="center"/>
            <w:hideMark/>
          </w:tcPr>
          <w:p w14:paraId="5EED5B66" w14:textId="77777777" w:rsidR="00A978AF" w:rsidRPr="00F7132F" w:rsidRDefault="00A978AF" w:rsidP="00A978AF">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036" w:type="pct"/>
            <w:tcBorders>
              <w:top w:val="nil"/>
              <w:left w:val="nil"/>
              <w:bottom w:val="nil"/>
              <w:right w:val="nil"/>
            </w:tcBorders>
            <w:shd w:val="clear" w:color="auto" w:fill="auto"/>
            <w:noWrap/>
            <w:vAlign w:val="center"/>
            <w:hideMark/>
          </w:tcPr>
          <w:p w14:paraId="52D83770"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620.660 </w:t>
            </w:r>
          </w:p>
        </w:tc>
      </w:tr>
      <w:tr w:rsidR="00A978AF" w:rsidRPr="00116729" w14:paraId="2F19EC81" w14:textId="77777777" w:rsidTr="00A978AF">
        <w:trPr>
          <w:trHeight w:val="41"/>
        </w:trPr>
        <w:tc>
          <w:tcPr>
            <w:tcW w:w="2673" w:type="pct"/>
            <w:tcBorders>
              <w:top w:val="nil"/>
              <w:left w:val="nil"/>
              <w:bottom w:val="nil"/>
              <w:right w:val="nil"/>
            </w:tcBorders>
            <w:shd w:val="clear" w:color="auto" w:fill="auto"/>
            <w:noWrap/>
            <w:vAlign w:val="center"/>
            <w:hideMark/>
          </w:tcPr>
          <w:p w14:paraId="119F6696" w14:textId="77777777" w:rsidR="00A978AF" w:rsidRPr="00F7132F" w:rsidRDefault="00A978AF" w:rsidP="00A978AF">
            <w:pPr>
              <w:spacing w:after="0" w:line="240" w:lineRule="auto"/>
              <w:jc w:val="right"/>
              <w:rPr>
                <w:rFonts w:ascii="Verdana" w:eastAsia="Times New Roman" w:hAnsi="Verdana" w:cs="Calibri"/>
                <w:sz w:val="18"/>
                <w:szCs w:val="18"/>
                <w:lang w:eastAsia="pt-BR"/>
              </w:rPr>
            </w:pPr>
          </w:p>
        </w:tc>
        <w:tc>
          <w:tcPr>
            <w:tcW w:w="127" w:type="pct"/>
            <w:tcBorders>
              <w:top w:val="nil"/>
              <w:left w:val="nil"/>
              <w:bottom w:val="nil"/>
              <w:right w:val="nil"/>
            </w:tcBorders>
            <w:shd w:val="clear" w:color="auto" w:fill="auto"/>
            <w:noWrap/>
            <w:vAlign w:val="center"/>
            <w:hideMark/>
          </w:tcPr>
          <w:p w14:paraId="2B2F4C14" w14:textId="77777777" w:rsidR="00A978AF" w:rsidRPr="00116729" w:rsidRDefault="00A978AF" w:rsidP="00A978AF">
            <w:pPr>
              <w:spacing w:after="0" w:line="240" w:lineRule="auto"/>
              <w:rPr>
                <w:rFonts w:ascii="Times New Roman" w:eastAsia="Times New Roman" w:hAnsi="Times New Roman" w:cs="Times New Roman"/>
                <w:sz w:val="20"/>
                <w:szCs w:val="20"/>
                <w:lang w:eastAsia="pt-BR"/>
              </w:rPr>
            </w:pPr>
          </w:p>
        </w:tc>
        <w:tc>
          <w:tcPr>
            <w:tcW w:w="1036" w:type="pct"/>
            <w:tcBorders>
              <w:top w:val="single" w:sz="4" w:space="0" w:color="auto"/>
              <w:left w:val="nil"/>
              <w:bottom w:val="nil"/>
              <w:right w:val="nil"/>
            </w:tcBorders>
            <w:shd w:val="clear" w:color="auto" w:fill="auto"/>
            <w:noWrap/>
            <w:vAlign w:val="center"/>
            <w:hideMark/>
          </w:tcPr>
          <w:p w14:paraId="50866EF6"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127" w:type="pct"/>
            <w:tcBorders>
              <w:top w:val="nil"/>
              <w:left w:val="nil"/>
              <w:bottom w:val="nil"/>
              <w:right w:val="nil"/>
            </w:tcBorders>
            <w:shd w:val="clear" w:color="auto" w:fill="auto"/>
            <w:noWrap/>
            <w:vAlign w:val="center"/>
            <w:hideMark/>
          </w:tcPr>
          <w:p w14:paraId="505BA916" w14:textId="77777777" w:rsidR="00A978AF" w:rsidRPr="00F7132F" w:rsidRDefault="00A978AF" w:rsidP="00A978AF">
            <w:pPr>
              <w:spacing w:after="0" w:line="240" w:lineRule="auto"/>
              <w:jc w:val="right"/>
              <w:rPr>
                <w:rFonts w:ascii="Verdana" w:eastAsia="Times New Roman" w:hAnsi="Verdana" w:cs="Calibri"/>
                <w:sz w:val="18"/>
                <w:szCs w:val="18"/>
                <w:lang w:eastAsia="pt-BR"/>
              </w:rPr>
            </w:pPr>
          </w:p>
        </w:tc>
        <w:tc>
          <w:tcPr>
            <w:tcW w:w="1036" w:type="pct"/>
            <w:tcBorders>
              <w:top w:val="single" w:sz="4" w:space="0" w:color="auto"/>
              <w:left w:val="nil"/>
              <w:bottom w:val="nil"/>
              <w:right w:val="nil"/>
            </w:tcBorders>
            <w:shd w:val="clear" w:color="auto" w:fill="auto"/>
            <w:noWrap/>
            <w:vAlign w:val="center"/>
            <w:hideMark/>
          </w:tcPr>
          <w:p w14:paraId="67728309"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1.333.440 </w:t>
            </w:r>
          </w:p>
        </w:tc>
      </w:tr>
      <w:tr w:rsidR="00A978AF" w:rsidRPr="00116729" w14:paraId="384F0BE0" w14:textId="77777777" w:rsidTr="00F7132F">
        <w:trPr>
          <w:trHeight w:val="41"/>
        </w:trPr>
        <w:tc>
          <w:tcPr>
            <w:tcW w:w="2673" w:type="pct"/>
            <w:tcBorders>
              <w:top w:val="nil"/>
              <w:left w:val="nil"/>
              <w:bottom w:val="nil"/>
              <w:right w:val="nil"/>
            </w:tcBorders>
            <w:shd w:val="clear" w:color="auto" w:fill="auto"/>
            <w:noWrap/>
            <w:vAlign w:val="center"/>
            <w:hideMark/>
          </w:tcPr>
          <w:p w14:paraId="1092CA7D"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27" w:type="pct"/>
            <w:tcBorders>
              <w:top w:val="nil"/>
              <w:left w:val="nil"/>
              <w:bottom w:val="nil"/>
              <w:right w:val="nil"/>
            </w:tcBorders>
            <w:shd w:val="clear" w:color="auto" w:fill="auto"/>
            <w:noWrap/>
            <w:vAlign w:val="center"/>
            <w:hideMark/>
          </w:tcPr>
          <w:p w14:paraId="6A6EC4AC"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036" w:type="pct"/>
            <w:tcBorders>
              <w:top w:val="nil"/>
              <w:left w:val="nil"/>
              <w:bottom w:val="single" w:sz="4" w:space="0" w:color="auto"/>
              <w:right w:val="nil"/>
            </w:tcBorders>
            <w:shd w:val="clear" w:color="auto" w:fill="auto"/>
            <w:noWrap/>
            <w:vAlign w:val="center"/>
            <w:hideMark/>
          </w:tcPr>
          <w:p w14:paraId="367BDB38"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27" w:type="pct"/>
            <w:tcBorders>
              <w:top w:val="nil"/>
              <w:left w:val="nil"/>
              <w:bottom w:val="nil"/>
              <w:right w:val="nil"/>
            </w:tcBorders>
            <w:shd w:val="clear" w:color="auto" w:fill="auto"/>
            <w:noWrap/>
            <w:vAlign w:val="center"/>
            <w:hideMark/>
          </w:tcPr>
          <w:p w14:paraId="4895B9ED"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036" w:type="pct"/>
            <w:tcBorders>
              <w:top w:val="nil"/>
              <w:left w:val="nil"/>
              <w:bottom w:val="single" w:sz="4" w:space="0" w:color="auto"/>
              <w:right w:val="nil"/>
            </w:tcBorders>
            <w:shd w:val="clear" w:color="auto" w:fill="auto"/>
            <w:noWrap/>
            <w:vAlign w:val="center"/>
            <w:hideMark/>
          </w:tcPr>
          <w:p w14:paraId="330A96FC"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r>
      <w:tr w:rsidR="00A978AF" w:rsidRPr="00116729" w14:paraId="0A74C505" w14:textId="77777777" w:rsidTr="00A978AF">
        <w:trPr>
          <w:trHeight w:val="41"/>
        </w:trPr>
        <w:tc>
          <w:tcPr>
            <w:tcW w:w="2673" w:type="pct"/>
            <w:tcBorders>
              <w:top w:val="nil"/>
              <w:left w:val="nil"/>
              <w:bottom w:val="nil"/>
              <w:right w:val="nil"/>
            </w:tcBorders>
            <w:shd w:val="clear" w:color="auto" w:fill="auto"/>
            <w:noWrap/>
            <w:vAlign w:val="center"/>
            <w:hideMark/>
          </w:tcPr>
          <w:p w14:paraId="4B877168" w14:textId="77777777" w:rsidR="00A978AF" w:rsidRPr="00F7132F" w:rsidRDefault="00A978AF" w:rsidP="00A978AF">
            <w:pPr>
              <w:spacing w:after="0" w:line="240" w:lineRule="auto"/>
              <w:jc w:val="right"/>
              <w:rPr>
                <w:rFonts w:ascii="Verdana" w:eastAsia="Times New Roman" w:hAnsi="Verdana" w:cs="Calibri"/>
                <w:sz w:val="18"/>
                <w:szCs w:val="18"/>
                <w:lang w:eastAsia="pt-BR"/>
              </w:rPr>
            </w:pPr>
          </w:p>
        </w:tc>
        <w:tc>
          <w:tcPr>
            <w:tcW w:w="127" w:type="pct"/>
            <w:tcBorders>
              <w:top w:val="nil"/>
              <w:left w:val="nil"/>
              <w:bottom w:val="nil"/>
              <w:right w:val="nil"/>
            </w:tcBorders>
            <w:shd w:val="clear" w:color="auto" w:fill="auto"/>
            <w:noWrap/>
            <w:vAlign w:val="center"/>
            <w:hideMark/>
          </w:tcPr>
          <w:p w14:paraId="2616853D" w14:textId="77777777" w:rsidR="00A978AF" w:rsidRPr="00116729" w:rsidRDefault="00A978AF" w:rsidP="00A978AF">
            <w:pPr>
              <w:spacing w:after="0" w:line="240" w:lineRule="auto"/>
              <w:rPr>
                <w:rFonts w:ascii="Times New Roman" w:eastAsia="Times New Roman" w:hAnsi="Times New Roman" w:cs="Times New Roman"/>
                <w:sz w:val="20"/>
                <w:szCs w:val="20"/>
                <w:lang w:eastAsia="pt-BR"/>
              </w:rPr>
            </w:pPr>
          </w:p>
        </w:tc>
        <w:tc>
          <w:tcPr>
            <w:tcW w:w="1036" w:type="pct"/>
            <w:tcBorders>
              <w:top w:val="nil"/>
              <w:left w:val="nil"/>
              <w:bottom w:val="double" w:sz="6" w:space="0" w:color="auto"/>
              <w:right w:val="nil"/>
            </w:tcBorders>
            <w:shd w:val="clear" w:color="auto" w:fill="auto"/>
            <w:noWrap/>
            <w:vAlign w:val="center"/>
            <w:hideMark/>
          </w:tcPr>
          <w:p w14:paraId="49024290" w14:textId="77777777" w:rsidR="00A978AF" w:rsidRPr="00F7132F" w:rsidRDefault="00A978AF" w:rsidP="00A978AF">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xml:space="preserve">                     -   </w:t>
            </w:r>
          </w:p>
        </w:tc>
        <w:tc>
          <w:tcPr>
            <w:tcW w:w="127" w:type="pct"/>
            <w:tcBorders>
              <w:top w:val="nil"/>
              <w:left w:val="nil"/>
              <w:bottom w:val="nil"/>
              <w:right w:val="nil"/>
            </w:tcBorders>
            <w:shd w:val="clear" w:color="auto" w:fill="auto"/>
            <w:noWrap/>
            <w:vAlign w:val="center"/>
            <w:hideMark/>
          </w:tcPr>
          <w:p w14:paraId="76C05A23" w14:textId="77777777" w:rsidR="00A978AF" w:rsidRPr="00F7132F" w:rsidRDefault="00A978AF" w:rsidP="00A978AF">
            <w:pPr>
              <w:spacing w:after="0" w:line="240" w:lineRule="auto"/>
              <w:jc w:val="right"/>
              <w:rPr>
                <w:rFonts w:ascii="Verdana" w:eastAsia="Times New Roman" w:hAnsi="Verdana" w:cs="Calibri"/>
                <w:b/>
                <w:bCs/>
                <w:sz w:val="18"/>
                <w:szCs w:val="18"/>
                <w:lang w:eastAsia="pt-BR"/>
              </w:rPr>
            </w:pPr>
          </w:p>
        </w:tc>
        <w:tc>
          <w:tcPr>
            <w:tcW w:w="1036" w:type="pct"/>
            <w:tcBorders>
              <w:top w:val="nil"/>
              <w:left w:val="nil"/>
              <w:bottom w:val="double" w:sz="6" w:space="0" w:color="auto"/>
              <w:right w:val="nil"/>
            </w:tcBorders>
            <w:shd w:val="clear" w:color="auto" w:fill="auto"/>
            <w:noWrap/>
            <w:vAlign w:val="center"/>
            <w:hideMark/>
          </w:tcPr>
          <w:p w14:paraId="4C4EEA06" w14:textId="77777777" w:rsidR="00A978AF" w:rsidRPr="00F7132F" w:rsidRDefault="00A978AF" w:rsidP="00A978AF">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xml:space="preserve">       1.848.684 </w:t>
            </w:r>
          </w:p>
        </w:tc>
      </w:tr>
    </w:tbl>
    <w:p w14:paraId="3CB70651" w14:textId="77777777" w:rsidR="000B3334" w:rsidRPr="000B3334" w:rsidRDefault="000B3334" w:rsidP="000B3334">
      <w:pPr>
        <w:pStyle w:val="Corpodetexto"/>
        <w:spacing w:after="160"/>
        <w:rPr>
          <w:rFonts w:ascii="Verdana" w:hAnsi="Verdana" w:cstheme="minorHAnsi"/>
          <w:sz w:val="22"/>
          <w:szCs w:val="22"/>
          <w:lang w:val="pt-BR"/>
        </w:rPr>
      </w:pPr>
    </w:p>
    <w:p w14:paraId="547A1F6D" w14:textId="77777777" w:rsidR="00F24E4C" w:rsidRPr="00F7132F" w:rsidRDefault="00024856" w:rsidP="00CF5F07">
      <w:pPr>
        <w:tabs>
          <w:tab w:val="left" w:pos="567"/>
          <w:tab w:val="left" w:pos="1134"/>
          <w:tab w:val="left" w:pos="1701"/>
          <w:tab w:val="left" w:pos="2268"/>
          <w:tab w:val="left" w:pos="2835"/>
        </w:tabs>
        <w:jc w:val="both"/>
        <w:outlineLvl w:val="0"/>
        <w:rPr>
          <w:rFonts w:ascii="Verdana" w:hAnsi="Verdana" w:cstheme="minorHAnsi"/>
          <w:b/>
        </w:rPr>
      </w:pPr>
      <w:r w:rsidRPr="00F7132F">
        <w:rPr>
          <w:rFonts w:ascii="Verdana" w:hAnsi="Verdana" w:cstheme="minorHAnsi"/>
          <w:b/>
        </w:rPr>
        <w:t>1</w:t>
      </w:r>
      <w:r w:rsidR="00581D1F">
        <w:rPr>
          <w:rFonts w:ascii="Verdana" w:hAnsi="Verdana" w:cstheme="minorHAnsi"/>
          <w:b/>
        </w:rPr>
        <w:t>0</w:t>
      </w:r>
      <w:r w:rsidR="002B1787" w:rsidRPr="00F7132F">
        <w:rPr>
          <w:rFonts w:ascii="Verdana" w:hAnsi="Verdana" w:cstheme="minorHAnsi"/>
          <w:b/>
        </w:rPr>
        <w:t xml:space="preserve"> – TÍTULOS E VALORES MOBILIÁRIOS</w:t>
      </w:r>
      <w:r w:rsidR="00F24E4C" w:rsidRPr="00F7132F">
        <w:rPr>
          <w:rFonts w:ascii="Verdana" w:hAnsi="Verdana" w:cstheme="minorHAnsi"/>
          <w:b/>
        </w:rPr>
        <w:t xml:space="preserve"> </w:t>
      </w:r>
    </w:p>
    <w:p w14:paraId="6C1475CE" w14:textId="77777777" w:rsidR="002B1787" w:rsidRPr="000B3334" w:rsidRDefault="00F24E4C" w:rsidP="00F24E4C">
      <w:pPr>
        <w:jc w:val="both"/>
        <w:rPr>
          <w:rFonts w:ascii="Verdana" w:hAnsi="Verdana" w:cstheme="minorHAnsi"/>
          <w:b/>
          <w:bdr w:val="nil"/>
        </w:rPr>
      </w:pPr>
      <w:r w:rsidRPr="000B3334">
        <w:rPr>
          <w:rFonts w:ascii="Verdana" w:hAnsi="Verdana" w:cstheme="minorHAnsi"/>
          <w:b/>
          <w:bdr w:val="nil"/>
        </w:rPr>
        <w:t>Fundo para Descomissionamento</w:t>
      </w:r>
    </w:p>
    <w:p w14:paraId="67F85E8A" w14:textId="77777777" w:rsidR="0011745F" w:rsidRPr="00116729" w:rsidRDefault="0011745F" w:rsidP="0011745F">
      <w:pPr>
        <w:pStyle w:val="Corpodetexto"/>
        <w:spacing w:after="160"/>
        <w:rPr>
          <w:rFonts w:ascii="Verdana" w:hAnsi="Verdana" w:cstheme="minorHAnsi"/>
          <w:sz w:val="22"/>
          <w:szCs w:val="22"/>
          <w:lang w:val="pt-BR"/>
        </w:rPr>
      </w:pPr>
      <w:r w:rsidRPr="00116729">
        <w:rPr>
          <w:rFonts w:ascii="Verdana" w:hAnsi="Verdana" w:cstheme="minorHAnsi"/>
          <w:sz w:val="22"/>
          <w:szCs w:val="22"/>
          <w:lang w:val="pt-BR"/>
        </w:rPr>
        <w:t xml:space="preserve">O descomissionamento de usinas nucleares constitui-se de um conjunto de medidas tomadas para retirar de serviço, com segurança, uma instalação nuclear, reduzindo a radioatividade residual a níveis que permitam liberar o local para uso restrito ou irrestrito. Para permitir a inclusão dos custos a serem incorridos com o descomissionamento das Usinas Angra 1 e 2, foi constituído contabilmente uma obrigação para desmobilização de ativos, com base em estudos técnicos elaborados pela Companhia, conforme nota </w:t>
      </w:r>
      <w:r w:rsidR="008361CF" w:rsidRPr="00116729">
        <w:rPr>
          <w:rFonts w:ascii="Verdana" w:hAnsi="Verdana" w:cstheme="minorHAnsi"/>
          <w:sz w:val="22"/>
          <w:szCs w:val="22"/>
          <w:lang w:val="pt-BR"/>
        </w:rPr>
        <w:t>2</w:t>
      </w:r>
      <w:r w:rsidR="00E75271">
        <w:rPr>
          <w:rFonts w:ascii="Verdana" w:hAnsi="Verdana" w:cstheme="minorHAnsi"/>
          <w:sz w:val="22"/>
          <w:szCs w:val="22"/>
          <w:lang w:val="pt-BR"/>
        </w:rPr>
        <w:t>1</w:t>
      </w:r>
      <w:r w:rsidRPr="00116729">
        <w:rPr>
          <w:rFonts w:ascii="Verdana" w:hAnsi="Verdana" w:cstheme="minorHAnsi"/>
          <w:sz w:val="22"/>
          <w:szCs w:val="22"/>
          <w:lang w:val="pt-BR"/>
        </w:rPr>
        <w:t>.</w:t>
      </w:r>
    </w:p>
    <w:p w14:paraId="3E4FB3F7" w14:textId="77777777" w:rsidR="0011745F" w:rsidRPr="00F7132F" w:rsidRDefault="0011745F" w:rsidP="0011745F">
      <w:pPr>
        <w:pStyle w:val="Corpodetexto"/>
        <w:spacing w:after="160"/>
        <w:rPr>
          <w:rFonts w:ascii="Verdana" w:hAnsi="Verdana" w:cstheme="minorHAnsi"/>
          <w:sz w:val="22"/>
          <w:szCs w:val="22"/>
        </w:rPr>
      </w:pPr>
      <w:r w:rsidRPr="00116729">
        <w:rPr>
          <w:rFonts w:ascii="Verdana" w:hAnsi="Verdana" w:cstheme="minorHAnsi"/>
          <w:sz w:val="22"/>
          <w:szCs w:val="22"/>
        </w:rPr>
        <w:t>De acordo com a determinação do Conselho Nacional de Política Energética – CNP</w:t>
      </w:r>
      <w:r w:rsidRPr="00F7132F">
        <w:rPr>
          <w:rFonts w:ascii="Verdana" w:hAnsi="Verdana" w:cstheme="minorHAnsi"/>
          <w:sz w:val="22"/>
          <w:szCs w:val="22"/>
        </w:rPr>
        <w:t xml:space="preserve">E, por meio da Resolução CNPE nº 08 de 17 de setembro de 2002, </w:t>
      </w:r>
      <w:r w:rsidRPr="00116729">
        <w:rPr>
          <w:rFonts w:ascii="Verdana" w:hAnsi="Verdana" w:cstheme="minorHAnsi"/>
          <w:sz w:val="22"/>
          <w:szCs w:val="22"/>
        </w:rPr>
        <w:t xml:space="preserve">a responsabilidade pelas atividades de instituir e viabilizar o fundo, para fazer face ao efetivo descomissionamento das Usinas nucleares Angra 1 e 2, ao final da vida útil econômica </w:t>
      </w:r>
      <w:r w:rsidRPr="00116729">
        <w:rPr>
          <w:rFonts w:ascii="Verdana" w:hAnsi="Verdana" w:cstheme="minorHAnsi"/>
          <w:sz w:val="22"/>
          <w:szCs w:val="22"/>
        </w:rPr>
        <w:lastRenderedPageBreak/>
        <w:t xml:space="preserve">das referidas usinas, foram atribuídas à Eletrobras. </w:t>
      </w:r>
      <w:r w:rsidRPr="00F7132F">
        <w:rPr>
          <w:rFonts w:ascii="Verdana" w:hAnsi="Verdana" w:cstheme="minorHAnsi"/>
          <w:sz w:val="22"/>
          <w:szCs w:val="22"/>
        </w:rPr>
        <w:t>Desta forma, a titularidade deste fundo ficou a cargo da Eletrobras e seu uso é restrito para futuro custeio das atividades de descomissionamento.</w:t>
      </w:r>
    </w:p>
    <w:p w14:paraId="12B7F0C9" w14:textId="77777777" w:rsidR="0011745F" w:rsidRPr="00F7132F" w:rsidRDefault="0011745F" w:rsidP="0011745F">
      <w:pPr>
        <w:tabs>
          <w:tab w:val="center" w:pos="4419"/>
          <w:tab w:val="right" w:pos="8838"/>
        </w:tabs>
        <w:spacing w:line="264" w:lineRule="auto"/>
        <w:jc w:val="both"/>
        <w:rPr>
          <w:rFonts w:ascii="Verdana" w:hAnsi="Verdana" w:cstheme="minorHAnsi"/>
        </w:rPr>
      </w:pPr>
      <w:r w:rsidRPr="00F7132F">
        <w:rPr>
          <w:rFonts w:ascii="Verdana" w:hAnsi="Verdana" w:cstheme="minorHAnsi"/>
        </w:rPr>
        <w:t xml:space="preserve">Em 19 de outubro de 2021, foi publicada pelo Conselho do Programa de Parceiras de Investimentos (CPPI) a Resolução nº 203 por meio da qual, no âmbito das condições para a desestatização da Eletrobras, foi determinada, em seu inciso XVI do artigo 11, a transferência de titularidade das cotas do fundo de descomissionamento para a </w:t>
      </w:r>
      <w:r w:rsidR="00397D36" w:rsidRPr="00F7132F">
        <w:rPr>
          <w:rFonts w:ascii="Verdana" w:hAnsi="Verdana" w:cstheme="minorHAnsi"/>
        </w:rPr>
        <w:t>controlada Eletronuclear</w:t>
      </w:r>
      <w:r w:rsidRPr="00F7132F">
        <w:rPr>
          <w:rFonts w:ascii="Verdana" w:hAnsi="Verdana" w:cstheme="minorHAnsi"/>
        </w:rPr>
        <w:t>.</w:t>
      </w:r>
    </w:p>
    <w:p w14:paraId="359D11A2" w14:textId="77777777" w:rsidR="0011745F" w:rsidRPr="00F7132F" w:rsidRDefault="00F24E4C" w:rsidP="0011745F">
      <w:pPr>
        <w:tabs>
          <w:tab w:val="center" w:pos="4419"/>
          <w:tab w:val="right" w:pos="8838"/>
        </w:tabs>
        <w:spacing w:line="264" w:lineRule="auto"/>
        <w:jc w:val="both"/>
        <w:rPr>
          <w:rFonts w:ascii="Verdana" w:hAnsi="Verdana" w:cstheme="minorHAnsi"/>
        </w:rPr>
      </w:pPr>
      <w:r w:rsidRPr="00F7132F">
        <w:rPr>
          <w:rFonts w:ascii="Verdana" w:hAnsi="Verdana" w:cstheme="minorHAnsi"/>
        </w:rPr>
        <w:t>Além disso, ainda c</w:t>
      </w:r>
      <w:r w:rsidR="0011745F" w:rsidRPr="00F7132F">
        <w:rPr>
          <w:rFonts w:ascii="Verdana" w:hAnsi="Verdana" w:cstheme="minorHAnsi"/>
        </w:rPr>
        <w:t>om base na Resolução CPPI nº 203 e nas Normas CNEN 9.01 e 9.02  que tratam da desmobilização de usinas nucleares e da gestão dos recursos financeiras destinados ao descomissionamento respectivamente,  a Assessoria Especial de Gestão Estratégica - AEGE da Secretaria Executiva - SE do  Ministério de Minas e Energia -MME se manifestou no sentido de que já existe arcabouço legal e normativo suficiente para justificar a transferência de titularidade, sem a necessidade de promulgação de novos atos ou alteração de atos já existentes.</w:t>
      </w:r>
    </w:p>
    <w:p w14:paraId="65BA39AF" w14:textId="77777777" w:rsidR="0011745F" w:rsidRPr="00F7132F" w:rsidRDefault="0011745F" w:rsidP="0011745F">
      <w:pPr>
        <w:tabs>
          <w:tab w:val="center" w:pos="4419"/>
          <w:tab w:val="right" w:pos="8838"/>
        </w:tabs>
        <w:spacing w:line="264" w:lineRule="auto"/>
        <w:jc w:val="both"/>
        <w:rPr>
          <w:rFonts w:ascii="Verdana" w:hAnsi="Verdana" w:cstheme="minorHAnsi"/>
        </w:rPr>
      </w:pPr>
      <w:r w:rsidRPr="00F7132F">
        <w:rPr>
          <w:rFonts w:ascii="Verdana" w:hAnsi="Verdana" w:cstheme="minorHAnsi"/>
        </w:rPr>
        <w:t xml:space="preserve">Desta forma, em junho de 2022 foi operacionalizada a transferência de titularidade do fundo de descomissionamento da Eletrobras para a </w:t>
      </w:r>
      <w:r w:rsidR="00397D36" w:rsidRPr="00F7132F">
        <w:rPr>
          <w:rFonts w:ascii="Verdana" w:hAnsi="Verdana" w:cstheme="minorHAnsi"/>
        </w:rPr>
        <w:t>controlada Eletronuclear</w:t>
      </w:r>
      <w:r w:rsidRPr="00F7132F">
        <w:rPr>
          <w:rFonts w:ascii="Verdana" w:hAnsi="Verdana" w:cstheme="minorHAnsi"/>
        </w:rPr>
        <w:t xml:space="preserve">, assumindo esta última todas as atribuições necessárias para o acompanhamento deste fundo não havendo mais a participação da Eletrobras no processo como ocorrido até a efetiva transferência. A aplicação no fundo de descomissionamento da cota referente ao mês de junho de 2022 já foi realizado totalmente no âmbito operacional interno da </w:t>
      </w:r>
      <w:r w:rsidR="00397D36" w:rsidRPr="00F7132F">
        <w:rPr>
          <w:rFonts w:ascii="Verdana" w:hAnsi="Verdana" w:cstheme="minorHAnsi"/>
        </w:rPr>
        <w:t>controlada Eletronuclear</w:t>
      </w:r>
      <w:r w:rsidRPr="00F7132F">
        <w:rPr>
          <w:rFonts w:ascii="Verdana" w:hAnsi="Verdana" w:cstheme="minorHAnsi"/>
        </w:rPr>
        <w:t>.</w:t>
      </w:r>
    </w:p>
    <w:p w14:paraId="3443D381" w14:textId="77777777" w:rsidR="0011745F" w:rsidRPr="00116729" w:rsidRDefault="0011745F" w:rsidP="0011745F">
      <w:pPr>
        <w:pStyle w:val="Corpodetexto"/>
        <w:spacing w:after="160"/>
        <w:rPr>
          <w:rFonts w:ascii="Verdana" w:hAnsi="Verdana" w:cstheme="minorHAnsi"/>
          <w:sz w:val="22"/>
          <w:szCs w:val="22"/>
          <w:lang w:val="pt-BR"/>
        </w:rPr>
      </w:pPr>
      <w:r w:rsidRPr="00F7132F">
        <w:rPr>
          <w:rFonts w:ascii="Verdana" w:hAnsi="Verdana" w:cstheme="minorHAnsi"/>
          <w:sz w:val="22"/>
          <w:szCs w:val="22"/>
          <w:lang w:val="pt-BR"/>
        </w:rPr>
        <w:t>Anualmente, o montante a ser recolhido ao fundo financeiro para o descomissionamento das Usinas Angra 1 e Angra 2, é definido com base no cálculo realizado pela Aneel referente à rubrica “Fundo de Descomissionamento” na Parcela A incluída na receita fixa anual calculada e publicada por meio de Resolução Homologatória para as mencionadas usinas</w:t>
      </w:r>
      <w:r w:rsidRPr="00116729">
        <w:rPr>
          <w:rFonts w:ascii="Verdana" w:hAnsi="Verdana" w:cstheme="minorHAnsi"/>
          <w:sz w:val="22"/>
          <w:szCs w:val="22"/>
          <w:lang w:val="pt-BR"/>
        </w:rPr>
        <w:t xml:space="preserve">. </w:t>
      </w:r>
    </w:p>
    <w:p w14:paraId="2915C90B" w14:textId="77777777" w:rsidR="0011745F" w:rsidRDefault="0011745F" w:rsidP="0011745F">
      <w:pPr>
        <w:pStyle w:val="Corpodetexto"/>
        <w:spacing w:after="160"/>
        <w:rPr>
          <w:rFonts w:ascii="Verdana" w:hAnsi="Verdana" w:cstheme="minorHAnsi"/>
          <w:sz w:val="22"/>
          <w:szCs w:val="22"/>
        </w:rPr>
      </w:pPr>
      <w:r w:rsidRPr="00116729">
        <w:rPr>
          <w:rFonts w:ascii="Verdana" w:hAnsi="Verdana" w:cstheme="minorHAnsi"/>
          <w:sz w:val="22"/>
          <w:szCs w:val="22"/>
          <w:lang w:val="pt-BR"/>
        </w:rPr>
        <w:t xml:space="preserve">O mencionado fundo é mantido com o Banco do Brasil, através de um fundo de investimento extramercado de longo prazo, exclusivo para acumular os recursos destinados a custear as atividades de descomissionamento </w:t>
      </w:r>
      <w:r w:rsidRPr="00116729">
        <w:rPr>
          <w:rFonts w:ascii="Verdana" w:hAnsi="Verdana" w:cstheme="minorHAnsi"/>
          <w:sz w:val="22"/>
          <w:szCs w:val="22"/>
        </w:rPr>
        <w:t xml:space="preserve">das Usinas Angra 1 e 2, classificado como títulos e valores mobiliários no ativo não circulante realizável a longo prazo. </w:t>
      </w:r>
    </w:p>
    <w:p w14:paraId="43CE61EB" w14:textId="77777777" w:rsidR="0011745F" w:rsidRPr="00116729" w:rsidRDefault="0011745F" w:rsidP="00CA5E2F">
      <w:pPr>
        <w:pStyle w:val="Corpodetexto"/>
        <w:spacing w:after="160"/>
        <w:rPr>
          <w:rFonts w:ascii="Verdana" w:hAnsi="Verdana" w:cstheme="minorHAnsi"/>
          <w:sz w:val="22"/>
          <w:szCs w:val="22"/>
          <w:lang w:val="pt-BR"/>
        </w:rPr>
      </w:pPr>
      <w:r w:rsidRPr="00116729">
        <w:rPr>
          <w:rFonts w:ascii="Verdana" w:hAnsi="Verdana" w:cstheme="minorHAnsi"/>
          <w:sz w:val="22"/>
          <w:szCs w:val="22"/>
          <w:lang w:val="pt-BR"/>
        </w:rPr>
        <w:t>A seguir, demonstramos o detalhamento de carteira do mencionado fundo:</w:t>
      </w:r>
    </w:p>
    <w:tbl>
      <w:tblPr>
        <w:tblW w:w="9397" w:type="dxa"/>
        <w:tblCellMar>
          <w:left w:w="70" w:type="dxa"/>
          <w:right w:w="70" w:type="dxa"/>
        </w:tblCellMar>
        <w:tblLook w:val="04A0" w:firstRow="1" w:lastRow="0" w:firstColumn="1" w:lastColumn="0" w:noHBand="0" w:noVBand="1"/>
      </w:tblPr>
      <w:tblGrid>
        <w:gridCol w:w="5023"/>
        <w:gridCol w:w="239"/>
        <w:gridCol w:w="1948"/>
        <w:gridCol w:w="239"/>
        <w:gridCol w:w="1948"/>
      </w:tblGrid>
      <w:tr w:rsidR="00A978AF" w:rsidRPr="00116729" w14:paraId="1654192B" w14:textId="77777777" w:rsidTr="00F7132F">
        <w:trPr>
          <w:trHeight w:val="20"/>
        </w:trPr>
        <w:tc>
          <w:tcPr>
            <w:tcW w:w="5023" w:type="dxa"/>
            <w:tcBorders>
              <w:top w:val="nil"/>
              <w:left w:val="nil"/>
              <w:bottom w:val="nil"/>
              <w:right w:val="nil"/>
            </w:tcBorders>
            <w:shd w:val="clear" w:color="auto" w:fill="auto"/>
            <w:noWrap/>
            <w:vAlign w:val="bottom"/>
            <w:hideMark/>
          </w:tcPr>
          <w:p w14:paraId="5F8F53AE" w14:textId="77777777" w:rsidR="00A978AF" w:rsidRPr="00116729" w:rsidRDefault="00A978AF" w:rsidP="00A978AF">
            <w:pPr>
              <w:spacing w:after="0" w:line="240" w:lineRule="auto"/>
              <w:rPr>
                <w:rFonts w:ascii="Times New Roman" w:eastAsia="Times New Roman" w:hAnsi="Times New Roman" w:cs="Times New Roman"/>
                <w:sz w:val="24"/>
                <w:szCs w:val="24"/>
                <w:lang w:eastAsia="pt-BR"/>
              </w:rPr>
            </w:pPr>
          </w:p>
        </w:tc>
        <w:tc>
          <w:tcPr>
            <w:tcW w:w="239" w:type="dxa"/>
            <w:tcBorders>
              <w:top w:val="nil"/>
              <w:left w:val="nil"/>
              <w:bottom w:val="nil"/>
              <w:right w:val="nil"/>
            </w:tcBorders>
            <w:shd w:val="clear" w:color="auto" w:fill="auto"/>
            <w:noWrap/>
            <w:vAlign w:val="bottom"/>
            <w:hideMark/>
          </w:tcPr>
          <w:p w14:paraId="188A15DA" w14:textId="77777777" w:rsidR="00A978AF" w:rsidRPr="00116729" w:rsidRDefault="00A978AF" w:rsidP="00A978AF">
            <w:pPr>
              <w:spacing w:after="0" w:line="240" w:lineRule="auto"/>
              <w:rPr>
                <w:rFonts w:ascii="Times New Roman" w:eastAsia="Times New Roman" w:hAnsi="Times New Roman" w:cs="Times New Roman"/>
                <w:sz w:val="20"/>
                <w:szCs w:val="20"/>
                <w:lang w:eastAsia="pt-BR"/>
              </w:rPr>
            </w:pPr>
          </w:p>
        </w:tc>
        <w:tc>
          <w:tcPr>
            <w:tcW w:w="1948" w:type="dxa"/>
            <w:tcBorders>
              <w:top w:val="nil"/>
              <w:left w:val="nil"/>
              <w:bottom w:val="single" w:sz="4" w:space="0" w:color="auto"/>
              <w:right w:val="nil"/>
            </w:tcBorders>
            <w:shd w:val="clear" w:color="auto" w:fill="auto"/>
            <w:noWrap/>
            <w:vAlign w:val="bottom"/>
            <w:hideMark/>
          </w:tcPr>
          <w:p w14:paraId="0475054B"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Controladora</w:t>
            </w:r>
          </w:p>
        </w:tc>
        <w:tc>
          <w:tcPr>
            <w:tcW w:w="239" w:type="dxa"/>
            <w:tcBorders>
              <w:top w:val="nil"/>
              <w:left w:val="nil"/>
              <w:bottom w:val="nil"/>
              <w:right w:val="nil"/>
            </w:tcBorders>
            <w:shd w:val="clear" w:color="auto" w:fill="auto"/>
            <w:noWrap/>
            <w:vAlign w:val="bottom"/>
            <w:hideMark/>
          </w:tcPr>
          <w:p w14:paraId="1858D176"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p>
        </w:tc>
        <w:tc>
          <w:tcPr>
            <w:tcW w:w="1948" w:type="dxa"/>
            <w:tcBorders>
              <w:top w:val="nil"/>
              <w:left w:val="nil"/>
              <w:bottom w:val="single" w:sz="4" w:space="0" w:color="auto"/>
              <w:right w:val="nil"/>
            </w:tcBorders>
            <w:shd w:val="clear" w:color="auto" w:fill="auto"/>
            <w:noWrap/>
            <w:vAlign w:val="bottom"/>
            <w:hideMark/>
          </w:tcPr>
          <w:p w14:paraId="22684CB9"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Consolidado</w:t>
            </w:r>
          </w:p>
        </w:tc>
      </w:tr>
      <w:tr w:rsidR="00A978AF" w:rsidRPr="00116729" w14:paraId="5DD63351" w14:textId="77777777" w:rsidTr="00F7132F">
        <w:trPr>
          <w:trHeight w:val="20"/>
        </w:trPr>
        <w:tc>
          <w:tcPr>
            <w:tcW w:w="5023" w:type="dxa"/>
            <w:tcBorders>
              <w:top w:val="nil"/>
              <w:left w:val="nil"/>
              <w:bottom w:val="nil"/>
              <w:right w:val="nil"/>
            </w:tcBorders>
            <w:shd w:val="clear" w:color="auto" w:fill="auto"/>
            <w:noWrap/>
            <w:vAlign w:val="center"/>
            <w:hideMark/>
          </w:tcPr>
          <w:p w14:paraId="335656CC"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p>
        </w:tc>
        <w:tc>
          <w:tcPr>
            <w:tcW w:w="239" w:type="dxa"/>
            <w:tcBorders>
              <w:top w:val="nil"/>
              <w:left w:val="nil"/>
              <w:bottom w:val="nil"/>
              <w:right w:val="nil"/>
            </w:tcBorders>
            <w:shd w:val="clear" w:color="auto" w:fill="auto"/>
            <w:noWrap/>
            <w:vAlign w:val="center"/>
            <w:hideMark/>
          </w:tcPr>
          <w:p w14:paraId="124C913A" w14:textId="77777777" w:rsidR="00A978AF" w:rsidRPr="00116729" w:rsidRDefault="00A978AF" w:rsidP="00A978AF">
            <w:pPr>
              <w:spacing w:after="0" w:line="240" w:lineRule="auto"/>
              <w:rPr>
                <w:rFonts w:ascii="Times New Roman" w:eastAsia="Times New Roman" w:hAnsi="Times New Roman" w:cs="Times New Roman"/>
                <w:sz w:val="20"/>
                <w:szCs w:val="20"/>
                <w:lang w:eastAsia="pt-BR"/>
              </w:rPr>
            </w:pPr>
          </w:p>
        </w:tc>
        <w:tc>
          <w:tcPr>
            <w:tcW w:w="1948" w:type="dxa"/>
            <w:tcBorders>
              <w:top w:val="nil"/>
              <w:left w:val="nil"/>
              <w:bottom w:val="single" w:sz="4" w:space="0" w:color="auto"/>
              <w:right w:val="nil"/>
            </w:tcBorders>
            <w:shd w:val="clear" w:color="auto" w:fill="auto"/>
            <w:noWrap/>
            <w:vAlign w:val="center"/>
            <w:hideMark/>
          </w:tcPr>
          <w:p w14:paraId="1E6C0BA1"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30/06/2022</w:t>
            </w:r>
          </w:p>
        </w:tc>
        <w:tc>
          <w:tcPr>
            <w:tcW w:w="239" w:type="dxa"/>
            <w:tcBorders>
              <w:top w:val="nil"/>
              <w:left w:val="nil"/>
              <w:bottom w:val="nil"/>
              <w:right w:val="nil"/>
            </w:tcBorders>
            <w:shd w:val="clear" w:color="auto" w:fill="auto"/>
            <w:noWrap/>
            <w:vAlign w:val="center"/>
            <w:hideMark/>
          </w:tcPr>
          <w:p w14:paraId="3206E3C0"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p>
        </w:tc>
        <w:tc>
          <w:tcPr>
            <w:tcW w:w="1948" w:type="dxa"/>
            <w:tcBorders>
              <w:top w:val="nil"/>
              <w:left w:val="nil"/>
              <w:bottom w:val="single" w:sz="4" w:space="0" w:color="auto"/>
              <w:right w:val="nil"/>
            </w:tcBorders>
            <w:shd w:val="clear" w:color="auto" w:fill="auto"/>
            <w:noWrap/>
            <w:vAlign w:val="center"/>
            <w:hideMark/>
          </w:tcPr>
          <w:p w14:paraId="4D5C026F"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30/06/2022</w:t>
            </w:r>
          </w:p>
        </w:tc>
      </w:tr>
      <w:tr w:rsidR="00A978AF" w:rsidRPr="00DE1EA6" w14:paraId="3BCA3CAE" w14:textId="77777777" w:rsidTr="00F7132F">
        <w:trPr>
          <w:trHeight w:val="20"/>
        </w:trPr>
        <w:tc>
          <w:tcPr>
            <w:tcW w:w="5023" w:type="dxa"/>
            <w:tcBorders>
              <w:top w:val="nil"/>
              <w:left w:val="nil"/>
              <w:bottom w:val="nil"/>
              <w:right w:val="nil"/>
            </w:tcBorders>
            <w:shd w:val="clear" w:color="auto" w:fill="auto"/>
            <w:noWrap/>
            <w:vAlign w:val="center"/>
            <w:hideMark/>
          </w:tcPr>
          <w:p w14:paraId="7D7B7FD7" w14:textId="77777777" w:rsidR="00A978AF" w:rsidRPr="00DE1EA6" w:rsidRDefault="00A978AF" w:rsidP="00A978AF">
            <w:pPr>
              <w:spacing w:after="0" w:line="240" w:lineRule="auto"/>
              <w:rPr>
                <w:rFonts w:ascii="Verdana" w:eastAsia="Times New Roman" w:hAnsi="Verdana" w:cs="Calibri"/>
                <w:b/>
                <w:bCs/>
                <w:sz w:val="10"/>
                <w:szCs w:val="10"/>
                <w:lang w:eastAsia="pt-BR"/>
              </w:rPr>
            </w:pPr>
            <w:r w:rsidRPr="00DE1EA6">
              <w:rPr>
                <w:rFonts w:ascii="Verdana" w:eastAsia="Times New Roman" w:hAnsi="Verdana" w:cs="Calibri"/>
                <w:b/>
                <w:bCs/>
                <w:sz w:val="10"/>
                <w:szCs w:val="10"/>
                <w:lang w:eastAsia="pt-BR"/>
              </w:rPr>
              <w:t> </w:t>
            </w:r>
          </w:p>
        </w:tc>
        <w:tc>
          <w:tcPr>
            <w:tcW w:w="239" w:type="dxa"/>
            <w:tcBorders>
              <w:top w:val="nil"/>
              <w:left w:val="nil"/>
              <w:bottom w:val="nil"/>
              <w:right w:val="nil"/>
            </w:tcBorders>
            <w:shd w:val="clear" w:color="auto" w:fill="auto"/>
            <w:noWrap/>
            <w:vAlign w:val="center"/>
            <w:hideMark/>
          </w:tcPr>
          <w:p w14:paraId="05E45E02" w14:textId="77777777" w:rsidR="00A978AF" w:rsidRPr="00DE1EA6" w:rsidRDefault="00A978AF" w:rsidP="00A978AF">
            <w:pPr>
              <w:spacing w:after="0" w:line="240" w:lineRule="auto"/>
              <w:jc w:val="center"/>
              <w:rPr>
                <w:rFonts w:ascii="Verdana" w:eastAsia="Times New Roman" w:hAnsi="Verdana" w:cs="Calibri"/>
                <w:b/>
                <w:bCs/>
                <w:sz w:val="10"/>
                <w:szCs w:val="10"/>
                <w:lang w:eastAsia="pt-BR"/>
              </w:rPr>
            </w:pPr>
            <w:r w:rsidRPr="00DE1EA6">
              <w:rPr>
                <w:rFonts w:ascii="Verdana" w:eastAsia="Times New Roman" w:hAnsi="Verdana" w:cs="Calibri"/>
                <w:b/>
                <w:bCs/>
                <w:sz w:val="10"/>
                <w:szCs w:val="10"/>
                <w:lang w:eastAsia="pt-BR"/>
              </w:rPr>
              <w:t> </w:t>
            </w:r>
          </w:p>
        </w:tc>
        <w:tc>
          <w:tcPr>
            <w:tcW w:w="1948" w:type="dxa"/>
            <w:tcBorders>
              <w:top w:val="nil"/>
              <w:left w:val="nil"/>
              <w:bottom w:val="nil"/>
              <w:right w:val="nil"/>
            </w:tcBorders>
            <w:shd w:val="clear" w:color="auto" w:fill="auto"/>
            <w:noWrap/>
            <w:vAlign w:val="center"/>
            <w:hideMark/>
          </w:tcPr>
          <w:p w14:paraId="24F732CB" w14:textId="77777777" w:rsidR="00A978AF" w:rsidRPr="00DE1EA6" w:rsidRDefault="00A978AF" w:rsidP="00A978AF">
            <w:pPr>
              <w:spacing w:after="0" w:line="240" w:lineRule="auto"/>
              <w:jc w:val="center"/>
              <w:rPr>
                <w:rFonts w:ascii="Verdana" w:eastAsia="Times New Roman" w:hAnsi="Verdana" w:cs="Calibri"/>
                <w:b/>
                <w:bCs/>
                <w:sz w:val="10"/>
                <w:szCs w:val="10"/>
                <w:lang w:eastAsia="pt-BR"/>
              </w:rPr>
            </w:pPr>
            <w:r w:rsidRPr="00DE1EA6">
              <w:rPr>
                <w:rFonts w:ascii="Verdana" w:eastAsia="Times New Roman" w:hAnsi="Verdana" w:cs="Calibri"/>
                <w:b/>
                <w:bCs/>
                <w:sz w:val="10"/>
                <w:szCs w:val="10"/>
                <w:lang w:eastAsia="pt-BR"/>
              </w:rPr>
              <w:t> </w:t>
            </w:r>
          </w:p>
        </w:tc>
        <w:tc>
          <w:tcPr>
            <w:tcW w:w="239" w:type="dxa"/>
            <w:tcBorders>
              <w:top w:val="nil"/>
              <w:left w:val="nil"/>
              <w:bottom w:val="nil"/>
              <w:right w:val="nil"/>
            </w:tcBorders>
            <w:shd w:val="clear" w:color="auto" w:fill="auto"/>
            <w:noWrap/>
            <w:vAlign w:val="center"/>
            <w:hideMark/>
          </w:tcPr>
          <w:p w14:paraId="3A6454D6" w14:textId="77777777" w:rsidR="00A978AF" w:rsidRPr="00DE1EA6" w:rsidRDefault="00A978AF" w:rsidP="00A978AF">
            <w:pPr>
              <w:spacing w:after="0" w:line="240" w:lineRule="auto"/>
              <w:jc w:val="center"/>
              <w:rPr>
                <w:rFonts w:ascii="Verdana" w:eastAsia="Times New Roman" w:hAnsi="Verdana" w:cs="Calibri"/>
                <w:b/>
                <w:bCs/>
                <w:sz w:val="10"/>
                <w:szCs w:val="10"/>
                <w:lang w:eastAsia="pt-BR"/>
              </w:rPr>
            </w:pPr>
            <w:r w:rsidRPr="00DE1EA6">
              <w:rPr>
                <w:rFonts w:ascii="Verdana" w:eastAsia="Times New Roman" w:hAnsi="Verdana" w:cs="Calibri"/>
                <w:b/>
                <w:bCs/>
                <w:sz w:val="10"/>
                <w:szCs w:val="10"/>
                <w:lang w:eastAsia="pt-BR"/>
              </w:rPr>
              <w:t> </w:t>
            </w:r>
          </w:p>
        </w:tc>
        <w:tc>
          <w:tcPr>
            <w:tcW w:w="1948" w:type="dxa"/>
            <w:tcBorders>
              <w:top w:val="nil"/>
              <w:left w:val="nil"/>
              <w:bottom w:val="nil"/>
              <w:right w:val="nil"/>
            </w:tcBorders>
            <w:shd w:val="clear" w:color="auto" w:fill="auto"/>
            <w:noWrap/>
            <w:vAlign w:val="center"/>
            <w:hideMark/>
          </w:tcPr>
          <w:p w14:paraId="36176D56" w14:textId="77777777" w:rsidR="00A978AF" w:rsidRPr="00DE1EA6" w:rsidRDefault="00A978AF" w:rsidP="00A978AF">
            <w:pPr>
              <w:spacing w:after="0" w:line="240" w:lineRule="auto"/>
              <w:jc w:val="center"/>
              <w:rPr>
                <w:rFonts w:ascii="Verdana" w:eastAsia="Times New Roman" w:hAnsi="Verdana" w:cs="Calibri"/>
                <w:b/>
                <w:bCs/>
                <w:sz w:val="10"/>
                <w:szCs w:val="10"/>
                <w:lang w:eastAsia="pt-BR"/>
              </w:rPr>
            </w:pPr>
            <w:r w:rsidRPr="00DE1EA6">
              <w:rPr>
                <w:rFonts w:ascii="Verdana" w:eastAsia="Times New Roman" w:hAnsi="Verdana" w:cs="Calibri"/>
                <w:b/>
                <w:bCs/>
                <w:sz w:val="10"/>
                <w:szCs w:val="10"/>
                <w:lang w:eastAsia="pt-BR"/>
              </w:rPr>
              <w:t> </w:t>
            </w:r>
          </w:p>
        </w:tc>
      </w:tr>
      <w:tr w:rsidR="00A978AF" w:rsidRPr="00116729" w14:paraId="60F50BEF" w14:textId="77777777" w:rsidTr="00F7132F">
        <w:trPr>
          <w:trHeight w:val="20"/>
        </w:trPr>
        <w:tc>
          <w:tcPr>
            <w:tcW w:w="5023" w:type="dxa"/>
            <w:tcBorders>
              <w:top w:val="nil"/>
              <w:left w:val="nil"/>
              <w:bottom w:val="nil"/>
              <w:right w:val="nil"/>
            </w:tcBorders>
            <w:shd w:val="clear" w:color="auto" w:fill="auto"/>
            <w:noWrap/>
            <w:vAlign w:val="center"/>
            <w:hideMark/>
          </w:tcPr>
          <w:p w14:paraId="5886C124"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Títulos públicos</w:t>
            </w:r>
          </w:p>
        </w:tc>
        <w:tc>
          <w:tcPr>
            <w:tcW w:w="239" w:type="dxa"/>
            <w:tcBorders>
              <w:top w:val="nil"/>
              <w:left w:val="nil"/>
              <w:bottom w:val="nil"/>
              <w:right w:val="nil"/>
            </w:tcBorders>
            <w:shd w:val="clear" w:color="auto" w:fill="auto"/>
            <w:noWrap/>
            <w:vAlign w:val="center"/>
            <w:hideMark/>
          </w:tcPr>
          <w:p w14:paraId="44AC6B6D" w14:textId="77777777" w:rsidR="00A978AF" w:rsidRPr="00F7132F" w:rsidRDefault="00A978AF" w:rsidP="00A978AF">
            <w:pPr>
              <w:spacing w:after="0" w:line="240" w:lineRule="auto"/>
              <w:rPr>
                <w:rFonts w:ascii="Verdana" w:eastAsia="Times New Roman" w:hAnsi="Verdana" w:cs="Calibri"/>
                <w:sz w:val="18"/>
                <w:szCs w:val="18"/>
                <w:lang w:eastAsia="pt-BR"/>
              </w:rPr>
            </w:pPr>
          </w:p>
        </w:tc>
        <w:tc>
          <w:tcPr>
            <w:tcW w:w="1948" w:type="dxa"/>
            <w:tcBorders>
              <w:top w:val="nil"/>
              <w:left w:val="nil"/>
              <w:bottom w:val="nil"/>
              <w:right w:val="nil"/>
            </w:tcBorders>
            <w:shd w:val="clear" w:color="auto" w:fill="auto"/>
            <w:noWrap/>
            <w:vAlign w:val="center"/>
            <w:hideMark/>
          </w:tcPr>
          <w:p w14:paraId="25A21D46"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239" w:type="dxa"/>
            <w:tcBorders>
              <w:top w:val="nil"/>
              <w:left w:val="nil"/>
              <w:bottom w:val="nil"/>
              <w:right w:val="nil"/>
            </w:tcBorders>
            <w:shd w:val="clear" w:color="auto" w:fill="auto"/>
            <w:noWrap/>
            <w:vAlign w:val="center"/>
            <w:hideMark/>
          </w:tcPr>
          <w:p w14:paraId="5749D6C0" w14:textId="77777777" w:rsidR="00A978AF" w:rsidRPr="00F7132F" w:rsidRDefault="00A978AF" w:rsidP="00A978AF">
            <w:pPr>
              <w:spacing w:after="0" w:line="240" w:lineRule="auto"/>
              <w:jc w:val="right"/>
              <w:rPr>
                <w:rFonts w:ascii="Verdana" w:eastAsia="Times New Roman" w:hAnsi="Verdana" w:cs="Calibri"/>
                <w:sz w:val="18"/>
                <w:szCs w:val="18"/>
                <w:lang w:eastAsia="pt-BR"/>
              </w:rPr>
            </w:pPr>
          </w:p>
        </w:tc>
        <w:tc>
          <w:tcPr>
            <w:tcW w:w="1948" w:type="dxa"/>
            <w:tcBorders>
              <w:top w:val="nil"/>
              <w:left w:val="nil"/>
              <w:bottom w:val="nil"/>
              <w:right w:val="nil"/>
            </w:tcBorders>
            <w:shd w:val="clear" w:color="auto" w:fill="auto"/>
            <w:noWrap/>
            <w:vAlign w:val="center"/>
            <w:hideMark/>
          </w:tcPr>
          <w:p w14:paraId="46C0792A"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1.771.099 </w:t>
            </w:r>
          </w:p>
        </w:tc>
      </w:tr>
      <w:tr w:rsidR="00A978AF" w:rsidRPr="00116729" w14:paraId="53EB5141" w14:textId="77777777" w:rsidTr="00F7132F">
        <w:trPr>
          <w:trHeight w:val="20"/>
        </w:trPr>
        <w:tc>
          <w:tcPr>
            <w:tcW w:w="5023" w:type="dxa"/>
            <w:tcBorders>
              <w:top w:val="nil"/>
              <w:left w:val="nil"/>
              <w:bottom w:val="nil"/>
              <w:right w:val="nil"/>
            </w:tcBorders>
            <w:shd w:val="clear" w:color="auto" w:fill="auto"/>
            <w:noWrap/>
            <w:vAlign w:val="center"/>
            <w:hideMark/>
          </w:tcPr>
          <w:p w14:paraId="33D7BB33"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Op. Compromissadas</w:t>
            </w:r>
          </w:p>
        </w:tc>
        <w:tc>
          <w:tcPr>
            <w:tcW w:w="239" w:type="dxa"/>
            <w:tcBorders>
              <w:top w:val="nil"/>
              <w:left w:val="nil"/>
              <w:bottom w:val="nil"/>
              <w:right w:val="nil"/>
            </w:tcBorders>
            <w:shd w:val="clear" w:color="auto" w:fill="auto"/>
            <w:noWrap/>
            <w:vAlign w:val="center"/>
            <w:hideMark/>
          </w:tcPr>
          <w:p w14:paraId="7635522A"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948" w:type="dxa"/>
            <w:tcBorders>
              <w:top w:val="nil"/>
              <w:left w:val="nil"/>
              <w:bottom w:val="nil"/>
              <w:right w:val="nil"/>
            </w:tcBorders>
            <w:shd w:val="clear" w:color="auto" w:fill="auto"/>
            <w:noWrap/>
            <w:vAlign w:val="center"/>
            <w:hideMark/>
          </w:tcPr>
          <w:p w14:paraId="769E0FC3"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239" w:type="dxa"/>
            <w:tcBorders>
              <w:top w:val="nil"/>
              <w:left w:val="nil"/>
              <w:bottom w:val="nil"/>
              <w:right w:val="nil"/>
            </w:tcBorders>
            <w:shd w:val="clear" w:color="auto" w:fill="auto"/>
            <w:noWrap/>
            <w:vAlign w:val="center"/>
            <w:hideMark/>
          </w:tcPr>
          <w:p w14:paraId="28CFAB72"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948" w:type="dxa"/>
            <w:tcBorders>
              <w:top w:val="nil"/>
              <w:left w:val="nil"/>
              <w:bottom w:val="nil"/>
              <w:right w:val="nil"/>
            </w:tcBorders>
            <w:shd w:val="clear" w:color="auto" w:fill="auto"/>
            <w:noWrap/>
            <w:vAlign w:val="center"/>
            <w:hideMark/>
          </w:tcPr>
          <w:p w14:paraId="41F0F4C7"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478.276 </w:t>
            </w:r>
          </w:p>
        </w:tc>
      </w:tr>
      <w:tr w:rsidR="00A978AF" w:rsidRPr="00116729" w14:paraId="7ECABDF4" w14:textId="77777777" w:rsidTr="00F7132F">
        <w:trPr>
          <w:trHeight w:val="20"/>
        </w:trPr>
        <w:tc>
          <w:tcPr>
            <w:tcW w:w="5023" w:type="dxa"/>
            <w:tcBorders>
              <w:top w:val="nil"/>
              <w:left w:val="nil"/>
              <w:bottom w:val="nil"/>
              <w:right w:val="nil"/>
            </w:tcBorders>
            <w:shd w:val="clear" w:color="auto" w:fill="auto"/>
            <w:noWrap/>
            <w:vAlign w:val="center"/>
            <w:hideMark/>
          </w:tcPr>
          <w:p w14:paraId="05991816"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Dólar comercial futuro</w:t>
            </w:r>
          </w:p>
        </w:tc>
        <w:tc>
          <w:tcPr>
            <w:tcW w:w="239" w:type="dxa"/>
            <w:tcBorders>
              <w:top w:val="nil"/>
              <w:left w:val="nil"/>
              <w:bottom w:val="nil"/>
              <w:right w:val="nil"/>
            </w:tcBorders>
            <w:shd w:val="clear" w:color="auto" w:fill="auto"/>
            <w:noWrap/>
            <w:vAlign w:val="center"/>
            <w:hideMark/>
          </w:tcPr>
          <w:p w14:paraId="5D3DC5ED" w14:textId="77777777" w:rsidR="00A978AF" w:rsidRPr="00F7132F" w:rsidRDefault="00A978AF" w:rsidP="00A978AF">
            <w:pPr>
              <w:spacing w:after="0" w:line="240" w:lineRule="auto"/>
              <w:rPr>
                <w:rFonts w:ascii="Verdana" w:eastAsia="Times New Roman" w:hAnsi="Verdana" w:cs="Calibri"/>
                <w:sz w:val="18"/>
                <w:szCs w:val="18"/>
                <w:lang w:eastAsia="pt-BR"/>
              </w:rPr>
            </w:pPr>
          </w:p>
        </w:tc>
        <w:tc>
          <w:tcPr>
            <w:tcW w:w="1948" w:type="dxa"/>
            <w:tcBorders>
              <w:top w:val="nil"/>
              <w:left w:val="nil"/>
              <w:bottom w:val="nil"/>
              <w:right w:val="nil"/>
            </w:tcBorders>
            <w:shd w:val="clear" w:color="auto" w:fill="auto"/>
            <w:noWrap/>
            <w:vAlign w:val="center"/>
            <w:hideMark/>
          </w:tcPr>
          <w:p w14:paraId="25DF0F4F"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239" w:type="dxa"/>
            <w:tcBorders>
              <w:top w:val="nil"/>
              <w:left w:val="nil"/>
              <w:bottom w:val="nil"/>
              <w:right w:val="nil"/>
            </w:tcBorders>
            <w:shd w:val="clear" w:color="auto" w:fill="auto"/>
            <w:noWrap/>
            <w:vAlign w:val="center"/>
            <w:hideMark/>
          </w:tcPr>
          <w:p w14:paraId="795B06FD" w14:textId="77777777" w:rsidR="00A978AF" w:rsidRPr="00F7132F" w:rsidRDefault="00A978AF" w:rsidP="00A978AF">
            <w:pPr>
              <w:spacing w:after="0" w:line="240" w:lineRule="auto"/>
              <w:jc w:val="right"/>
              <w:rPr>
                <w:rFonts w:ascii="Verdana" w:eastAsia="Times New Roman" w:hAnsi="Verdana" w:cs="Calibri"/>
                <w:sz w:val="18"/>
                <w:szCs w:val="18"/>
                <w:lang w:eastAsia="pt-BR"/>
              </w:rPr>
            </w:pPr>
          </w:p>
        </w:tc>
        <w:tc>
          <w:tcPr>
            <w:tcW w:w="1948" w:type="dxa"/>
            <w:tcBorders>
              <w:top w:val="nil"/>
              <w:left w:val="nil"/>
              <w:bottom w:val="nil"/>
              <w:right w:val="nil"/>
            </w:tcBorders>
            <w:shd w:val="clear" w:color="auto" w:fill="auto"/>
            <w:noWrap/>
            <w:vAlign w:val="center"/>
            <w:hideMark/>
          </w:tcPr>
          <w:p w14:paraId="34280814"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1.972 </w:t>
            </w:r>
          </w:p>
        </w:tc>
      </w:tr>
      <w:tr w:rsidR="00A978AF" w:rsidRPr="00116729" w14:paraId="70254D64" w14:textId="77777777" w:rsidTr="00F7132F">
        <w:trPr>
          <w:trHeight w:val="20"/>
        </w:trPr>
        <w:tc>
          <w:tcPr>
            <w:tcW w:w="5023" w:type="dxa"/>
            <w:tcBorders>
              <w:top w:val="nil"/>
              <w:left w:val="nil"/>
              <w:bottom w:val="nil"/>
              <w:right w:val="nil"/>
            </w:tcBorders>
            <w:shd w:val="clear" w:color="auto" w:fill="auto"/>
            <w:noWrap/>
            <w:vAlign w:val="center"/>
            <w:hideMark/>
          </w:tcPr>
          <w:p w14:paraId="42E63FEA"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Outros</w:t>
            </w:r>
          </w:p>
        </w:tc>
        <w:tc>
          <w:tcPr>
            <w:tcW w:w="239" w:type="dxa"/>
            <w:tcBorders>
              <w:top w:val="nil"/>
              <w:left w:val="nil"/>
              <w:bottom w:val="nil"/>
              <w:right w:val="nil"/>
            </w:tcBorders>
            <w:shd w:val="clear" w:color="auto" w:fill="auto"/>
            <w:noWrap/>
            <w:vAlign w:val="center"/>
            <w:hideMark/>
          </w:tcPr>
          <w:p w14:paraId="162EBAAB"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948" w:type="dxa"/>
            <w:tcBorders>
              <w:top w:val="nil"/>
              <w:left w:val="nil"/>
              <w:bottom w:val="nil"/>
              <w:right w:val="nil"/>
            </w:tcBorders>
            <w:shd w:val="clear" w:color="auto" w:fill="auto"/>
            <w:noWrap/>
            <w:vAlign w:val="center"/>
            <w:hideMark/>
          </w:tcPr>
          <w:p w14:paraId="19BBF09D"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239" w:type="dxa"/>
            <w:tcBorders>
              <w:top w:val="nil"/>
              <w:left w:val="nil"/>
              <w:bottom w:val="nil"/>
              <w:right w:val="nil"/>
            </w:tcBorders>
            <w:shd w:val="clear" w:color="auto" w:fill="auto"/>
            <w:noWrap/>
            <w:vAlign w:val="center"/>
            <w:hideMark/>
          </w:tcPr>
          <w:p w14:paraId="5A0A7D3E"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948" w:type="dxa"/>
            <w:tcBorders>
              <w:top w:val="nil"/>
              <w:left w:val="nil"/>
              <w:bottom w:val="nil"/>
              <w:right w:val="nil"/>
            </w:tcBorders>
            <w:shd w:val="clear" w:color="auto" w:fill="auto"/>
            <w:noWrap/>
            <w:vAlign w:val="center"/>
            <w:hideMark/>
          </w:tcPr>
          <w:p w14:paraId="5F7394EE"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86 </w:t>
            </w:r>
          </w:p>
        </w:tc>
      </w:tr>
      <w:tr w:rsidR="00A978AF" w:rsidRPr="00116729" w14:paraId="14FB6102" w14:textId="77777777" w:rsidTr="00F7132F">
        <w:trPr>
          <w:trHeight w:val="20"/>
        </w:trPr>
        <w:tc>
          <w:tcPr>
            <w:tcW w:w="5023" w:type="dxa"/>
            <w:tcBorders>
              <w:top w:val="nil"/>
              <w:left w:val="nil"/>
              <w:bottom w:val="nil"/>
              <w:right w:val="nil"/>
            </w:tcBorders>
            <w:shd w:val="clear" w:color="auto" w:fill="auto"/>
            <w:noWrap/>
            <w:vAlign w:val="center"/>
            <w:hideMark/>
          </w:tcPr>
          <w:p w14:paraId="6216FAD9" w14:textId="77777777" w:rsidR="00A978AF" w:rsidRPr="00F7132F" w:rsidRDefault="00A978AF" w:rsidP="00A978AF">
            <w:pPr>
              <w:spacing w:after="0" w:line="240" w:lineRule="auto"/>
              <w:jc w:val="right"/>
              <w:rPr>
                <w:rFonts w:ascii="Verdana" w:eastAsia="Times New Roman" w:hAnsi="Verdana" w:cs="Calibri"/>
                <w:sz w:val="18"/>
                <w:szCs w:val="18"/>
                <w:lang w:eastAsia="pt-BR"/>
              </w:rPr>
            </w:pPr>
          </w:p>
        </w:tc>
        <w:tc>
          <w:tcPr>
            <w:tcW w:w="239" w:type="dxa"/>
            <w:tcBorders>
              <w:top w:val="nil"/>
              <w:left w:val="nil"/>
              <w:bottom w:val="nil"/>
              <w:right w:val="nil"/>
            </w:tcBorders>
            <w:shd w:val="clear" w:color="auto" w:fill="auto"/>
            <w:noWrap/>
            <w:vAlign w:val="center"/>
            <w:hideMark/>
          </w:tcPr>
          <w:p w14:paraId="26A24B0C" w14:textId="77777777" w:rsidR="00A978AF" w:rsidRPr="00116729" w:rsidRDefault="00A978AF" w:rsidP="00A978AF">
            <w:pPr>
              <w:spacing w:after="0" w:line="240" w:lineRule="auto"/>
              <w:rPr>
                <w:rFonts w:ascii="Times New Roman" w:eastAsia="Times New Roman" w:hAnsi="Times New Roman" w:cs="Times New Roman"/>
                <w:sz w:val="20"/>
                <w:szCs w:val="20"/>
                <w:lang w:eastAsia="pt-BR"/>
              </w:rPr>
            </w:pPr>
          </w:p>
        </w:tc>
        <w:tc>
          <w:tcPr>
            <w:tcW w:w="1948" w:type="dxa"/>
            <w:tcBorders>
              <w:top w:val="single" w:sz="4" w:space="0" w:color="auto"/>
              <w:left w:val="nil"/>
              <w:bottom w:val="double" w:sz="6" w:space="0" w:color="auto"/>
              <w:right w:val="nil"/>
            </w:tcBorders>
            <w:shd w:val="clear" w:color="auto" w:fill="auto"/>
            <w:noWrap/>
            <w:vAlign w:val="center"/>
            <w:hideMark/>
          </w:tcPr>
          <w:p w14:paraId="3B25DAA2" w14:textId="77777777" w:rsidR="00A978AF" w:rsidRPr="00F7132F" w:rsidRDefault="00A978AF" w:rsidP="00A978AF">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xml:space="preserve">                     -   </w:t>
            </w:r>
          </w:p>
        </w:tc>
        <w:tc>
          <w:tcPr>
            <w:tcW w:w="239" w:type="dxa"/>
            <w:tcBorders>
              <w:top w:val="nil"/>
              <w:left w:val="nil"/>
              <w:bottom w:val="nil"/>
              <w:right w:val="nil"/>
            </w:tcBorders>
            <w:shd w:val="clear" w:color="auto" w:fill="auto"/>
            <w:noWrap/>
            <w:vAlign w:val="center"/>
            <w:hideMark/>
          </w:tcPr>
          <w:p w14:paraId="3641596F" w14:textId="77777777" w:rsidR="00A978AF" w:rsidRPr="00F7132F" w:rsidRDefault="00A978AF" w:rsidP="00A978AF">
            <w:pPr>
              <w:spacing w:after="0" w:line="240" w:lineRule="auto"/>
              <w:jc w:val="right"/>
              <w:rPr>
                <w:rFonts w:ascii="Verdana" w:eastAsia="Times New Roman" w:hAnsi="Verdana" w:cs="Calibri"/>
                <w:b/>
                <w:bCs/>
                <w:sz w:val="18"/>
                <w:szCs w:val="18"/>
                <w:lang w:eastAsia="pt-BR"/>
              </w:rPr>
            </w:pPr>
          </w:p>
        </w:tc>
        <w:tc>
          <w:tcPr>
            <w:tcW w:w="1948" w:type="dxa"/>
            <w:tcBorders>
              <w:top w:val="single" w:sz="4" w:space="0" w:color="auto"/>
              <w:left w:val="nil"/>
              <w:bottom w:val="double" w:sz="6" w:space="0" w:color="auto"/>
              <w:right w:val="nil"/>
            </w:tcBorders>
            <w:shd w:val="clear" w:color="auto" w:fill="auto"/>
            <w:noWrap/>
            <w:vAlign w:val="center"/>
            <w:hideMark/>
          </w:tcPr>
          <w:p w14:paraId="0410D656" w14:textId="77777777" w:rsidR="00A978AF" w:rsidRPr="00F7132F" w:rsidRDefault="00A978AF" w:rsidP="00A978AF">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xml:space="preserve">       2.251.433 </w:t>
            </w:r>
          </w:p>
        </w:tc>
      </w:tr>
    </w:tbl>
    <w:p w14:paraId="0AC5534F" w14:textId="77777777" w:rsidR="00CF5F07" w:rsidRPr="00116729" w:rsidRDefault="00CF5F07" w:rsidP="00CA5E2F">
      <w:pPr>
        <w:widowControl w:val="0"/>
        <w:autoSpaceDE w:val="0"/>
        <w:autoSpaceDN w:val="0"/>
        <w:jc w:val="both"/>
        <w:rPr>
          <w:rFonts w:ascii="Verdana" w:hAnsi="Verdana" w:cstheme="minorHAnsi"/>
        </w:rPr>
      </w:pPr>
    </w:p>
    <w:p w14:paraId="4F19BF69" w14:textId="77777777" w:rsidR="0011745F" w:rsidRPr="00116729" w:rsidRDefault="0011745F" w:rsidP="0011745F">
      <w:pPr>
        <w:pStyle w:val="Corpodetexto"/>
        <w:spacing w:after="160"/>
        <w:rPr>
          <w:rFonts w:ascii="Verdana" w:hAnsi="Verdana" w:cstheme="minorHAnsi"/>
          <w:sz w:val="22"/>
          <w:szCs w:val="22"/>
          <w:lang w:val="pt-BR"/>
        </w:rPr>
      </w:pPr>
      <w:r w:rsidRPr="00116729">
        <w:rPr>
          <w:rFonts w:ascii="Verdana" w:hAnsi="Verdana" w:cstheme="minorHAnsi"/>
          <w:sz w:val="22"/>
          <w:szCs w:val="22"/>
          <w:lang w:val="pt-BR"/>
        </w:rPr>
        <w:t>No 2º trimestre de 2022, o fundo para descomissionamento apresentou ganho financeiro de R$</w:t>
      </w:r>
      <w:r w:rsidR="000B3334">
        <w:rPr>
          <w:rFonts w:ascii="Verdana" w:hAnsi="Verdana" w:cstheme="minorHAnsi"/>
          <w:sz w:val="22"/>
          <w:szCs w:val="22"/>
          <w:lang w:val="pt-BR"/>
        </w:rPr>
        <w:t xml:space="preserve"> </w:t>
      </w:r>
      <w:r w:rsidRPr="00116729">
        <w:rPr>
          <w:rFonts w:ascii="Verdana" w:hAnsi="Verdana" w:cstheme="minorHAnsi"/>
          <w:sz w:val="22"/>
          <w:szCs w:val="22"/>
          <w:lang w:val="pt-BR"/>
        </w:rPr>
        <w:t>57.245 e foram retidos R$</w:t>
      </w:r>
      <w:r w:rsidR="000B3334">
        <w:rPr>
          <w:rFonts w:ascii="Verdana" w:hAnsi="Verdana" w:cstheme="minorHAnsi"/>
          <w:sz w:val="22"/>
          <w:szCs w:val="22"/>
          <w:lang w:val="pt-BR"/>
        </w:rPr>
        <w:t xml:space="preserve"> </w:t>
      </w:r>
      <w:r w:rsidRPr="00116729">
        <w:rPr>
          <w:rFonts w:ascii="Verdana" w:hAnsi="Verdana" w:cstheme="minorHAnsi"/>
          <w:sz w:val="22"/>
          <w:szCs w:val="22"/>
          <w:lang w:val="pt-BR"/>
        </w:rPr>
        <w:t xml:space="preserve">3.648 a título de IRRF.  </w:t>
      </w:r>
    </w:p>
    <w:p w14:paraId="29D10473" w14:textId="77777777" w:rsidR="0011745F" w:rsidRPr="00116729" w:rsidRDefault="0011745F" w:rsidP="0011745F">
      <w:pPr>
        <w:pStyle w:val="Corpodetexto"/>
        <w:spacing w:after="160"/>
        <w:rPr>
          <w:rFonts w:ascii="Verdana" w:hAnsi="Verdana" w:cstheme="minorHAnsi"/>
          <w:sz w:val="22"/>
          <w:szCs w:val="22"/>
          <w:lang w:val="pt-BR"/>
        </w:rPr>
      </w:pPr>
      <w:r w:rsidRPr="00116729">
        <w:rPr>
          <w:rFonts w:ascii="Verdana" w:hAnsi="Verdana" w:cstheme="minorHAnsi"/>
          <w:sz w:val="22"/>
          <w:szCs w:val="22"/>
          <w:lang w:val="pt-BR"/>
        </w:rPr>
        <w:lastRenderedPageBreak/>
        <w:t>Em 2022, foram aplicados R$ 192.398 no fundo de descomissionamento (R$</w:t>
      </w:r>
      <w:r w:rsidR="000B3334">
        <w:rPr>
          <w:rFonts w:ascii="Verdana" w:hAnsi="Verdana" w:cstheme="minorHAnsi"/>
          <w:sz w:val="22"/>
          <w:szCs w:val="22"/>
          <w:lang w:val="pt-BR"/>
        </w:rPr>
        <w:t xml:space="preserve"> </w:t>
      </w:r>
      <w:r w:rsidRPr="00116729">
        <w:rPr>
          <w:rFonts w:ascii="Verdana" w:hAnsi="Verdana" w:cstheme="minorHAnsi"/>
          <w:sz w:val="22"/>
          <w:szCs w:val="22"/>
          <w:lang w:val="pt-BR"/>
        </w:rPr>
        <w:t>186.576 referentes aos recolhimentos mensais e R$</w:t>
      </w:r>
      <w:r w:rsidR="000B3334">
        <w:rPr>
          <w:rFonts w:ascii="Verdana" w:hAnsi="Verdana" w:cstheme="minorHAnsi"/>
          <w:sz w:val="22"/>
          <w:szCs w:val="22"/>
          <w:lang w:val="pt-BR"/>
        </w:rPr>
        <w:t xml:space="preserve"> </w:t>
      </w:r>
      <w:r w:rsidRPr="00116729">
        <w:rPr>
          <w:rFonts w:ascii="Verdana" w:hAnsi="Verdana" w:cstheme="minorHAnsi"/>
          <w:sz w:val="22"/>
          <w:szCs w:val="22"/>
          <w:lang w:val="pt-BR"/>
        </w:rPr>
        <w:t>5.822 referentes aos recolhimentos adicionais).</w:t>
      </w:r>
    </w:p>
    <w:p w14:paraId="52A4796E" w14:textId="77777777" w:rsidR="0011745F" w:rsidRPr="00116729" w:rsidRDefault="0011745F" w:rsidP="00E11DF3">
      <w:pPr>
        <w:pStyle w:val="Corpodetexto"/>
        <w:spacing w:after="160"/>
        <w:rPr>
          <w:rFonts w:ascii="Verdana" w:hAnsi="Verdana" w:cstheme="minorHAnsi"/>
          <w:sz w:val="22"/>
          <w:szCs w:val="22"/>
        </w:rPr>
      </w:pPr>
      <w:r w:rsidRPr="00116729">
        <w:rPr>
          <w:rFonts w:ascii="Verdana" w:hAnsi="Verdana" w:cstheme="minorHAnsi"/>
          <w:sz w:val="22"/>
          <w:szCs w:val="22"/>
        </w:rPr>
        <w:t>Abaixo, apresentamos o quadro da composição do fundo para descomissionamento:</w:t>
      </w:r>
    </w:p>
    <w:tbl>
      <w:tblPr>
        <w:tblW w:w="9403" w:type="dxa"/>
        <w:tblCellMar>
          <w:left w:w="70" w:type="dxa"/>
          <w:right w:w="70" w:type="dxa"/>
        </w:tblCellMar>
        <w:tblLook w:val="04A0" w:firstRow="1" w:lastRow="0" w:firstColumn="1" w:lastColumn="0" w:noHBand="0" w:noVBand="1"/>
      </w:tblPr>
      <w:tblGrid>
        <w:gridCol w:w="7211"/>
        <w:gridCol w:w="303"/>
        <w:gridCol w:w="1889"/>
      </w:tblGrid>
      <w:tr w:rsidR="00A978AF" w:rsidRPr="00116729" w14:paraId="071182FE" w14:textId="77777777" w:rsidTr="00F7132F">
        <w:trPr>
          <w:trHeight w:val="20"/>
        </w:trPr>
        <w:tc>
          <w:tcPr>
            <w:tcW w:w="7211" w:type="dxa"/>
            <w:tcBorders>
              <w:top w:val="nil"/>
              <w:left w:val="nil"/>
              <w:bottom w:val="nil"/>
              <w:right w:val="nil"/>
            </w:tcBorders>
            <w:shd w:val="clear" w:color="auto" w:fill="auto"/>
            <w:noWrap/>
            <w:vAlign w:val="center"/>
            <w:hideMark/>
          </w:tcPr>
          <w:p w14:paraId="0AD36002" w14:textId="77777777" w:rsidR="00A978AF" w:rsidRPr="00116729" w:rsidRDefault="00A978AF" w:rsidP="00A978AF">
            <w:pPr>
              <w:spacing w:after="0" w:line="240" w:lineRule="auto"/>
              <w:rPr>
                <w:rFonts w:ascii="Times New Roman" w:eastAsia="Times New Roman" w:hAnsi="Times New Roman" w:cs="Times New Roman"/>
                <w:sz w:val="24"/>
                <w:szCs w:val="24"/>
                <w:lang w:eastAsia="pt-BR"/>
              </w:rPr>
            </w:pPr>
          </w:p>
        </w:tc>
        <w:tc>
          <w:tcPr>
            <w:tcW w:w="302" w:type="dxa"/>
            <w:tcBorders>
              <w:top w:val="nil"/>
              <w:left w:val="nil"/>
              <w:bottom w:val="nil"/>
              <w:right w:val="nil"/>
            </w:tcBorders>
            <w:shd w:val="clear" w:color="auto" w:fill="auto"/>
            <w:noWrap/>
            <w:vAlign w:val="center"/>
            <w:hideMark/>
          </w:tcPr>
          <w:p w14:paraId="6A16E78B" w14:textId="77777777" w:rsidR="00A978AF" w:rsidRPr="00116729" w:rsidRDefault="00A978AF" w:rsidP="00A978AF">
            <w:pPr>
              <w:spacing w:after="0" w:line="240" w:lineRule="auto"/>
              <w:rPr>
                <w:rFonts w:ascii="Times New Roman" w:eastAsia="Times New Roman" w:hAnsi="Times New Roman" w:cs="Times New Roman"/>
                <w:sz w:val="20"/>
                <w:szCs w:val="20"/>
                <w:lang w:eastAsia="pt-BR"/>
              </w:rPr>
            </w:pPr>
          </w:p>
        </w:tc>
        <w:tc>
          <w:tcPr>
            <w:tcW w:w="1889" w:type="dxa"/>
            <w:tcBorders>
              <w:top w:val="nil"/>
              <w:left w:val="nil"/>
              <w:bottom w:val="single" w:sz="4" w:space="0" w:color="auto"/>
              <w:right w:val="nil"/>
            </w:tcBorders>
            <w:shd w:val="clear" w:color="auto" w:fill="auto"/>
            <w:noWrap/>
            <w:vAlign w:val="center"/>
            <w:hideMark/>
          </w:tcPr>
          <w:p w14:paraId="0BBDAFE4"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30/06/2022</w:t>
            </w:r>
          </w:p>
        </w:tc>
      </w:tr>
      <w:tr w:rsidR="00A978AF" w:rsidRPr="00116729" w14:paraId="272EBC76" w14:textId="77777777" w:rsidTr="00F7132F">
        <w:trPr>
          <w:trHeight w:val="20"/>
        </w:trPr>
        <w:tc>
          <w:tcPr>
            <w:tcW w:w="7211" w:type="dxa"/>
            <w:tcBorders>
              <w:top w:val="nil"/>
              <w:left w:val="nil"/>
              <w:bottom w:val="nil"/>
              <w:right w:val="nil"/>
            </w:tcBorders>
            <w:shd w:val="clear" w:color="auto" w:fill="auto"/>
            <w:noWrap/>
            <w:vAlign w:val="center"/>
            <w:hideMark/>
          </w:tcPr>
          <w:p w14:paraId="45DAF07D" w14:textId="77777777" w:rsidR="00A978AF" w:rsidRPr="00F7132F" w:rsidRDefault="00A978AF" w:rsidP="00A978AF">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302" w:type="dxa"/>
            <w:tcBorders>
              <w:top w:val="nil"/>
              <w:left w:val="nil"/>
              <w:bottom w:val="nil"/>
              <w:right w:val="nil"/>
            </w:tcBorders>
            <w:shd w:val="clear" w:color="auto" w:fill="auto"/>
            <w:noWrap/>
            <w:vAlign w:val="center"/>
            <w:hideMark/>
          </w:tcPr>
          <w:p w14:paraId="7B48B74F" w14:textId="77777777" w:rsidR="00A978AF" w:rsidRPr="00F7132F" w:rsidRDefault="00A978AF" w:rsidP="00A978AF">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889" w:type="dxa"/>
            <w:tcBorders>
              <w:top w:val="nil"/>
              <w:left w:val="nil"/>
              <w:bottom w:val="nil"/>
              <w:right w:val="nil"/>
            </w:tcBorders>
            <w:shd w:val="clear" w:color="auto" w:fill="auto"/>
            <w:noWrap/>
            <w:vAlign w:val="center"/>
            <w:hideMark/>
          </w:tcPr>
          <w:p w14:paraId="2FAD51FA"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r>
      <w:tr w:rsidR="00A978AF" w:rsidRPr="00116729" w14:paraId="635EAEC4" w14:textId="77777777" w:rsidTr="00F7132F">
        <w:trPr>
          <w:trHeight w:val="20"/>
        </w:trPr>
        <w:tc>
          <w:tcPr>
            <w:tcW w:w="7211" w:type="dxa"/>
            <w:tcBorders>
              <w:top w:val="nil"/>
              <w:left w:val="nil"/>
              <w:bottom w:val="nil"/>
              <w:right w:val="nil"/>
            </w:tcBorders>
            <w:shd w:val="clear" w:color="auto" w:fill="auto"/>
            <w:noWrap/>
            <w:vAlign w:val="center"/>
            <w:hideMark/>
          </w:tcPr>
          <w:p w14:paraId="4700D023"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Parcelamento quotas 2005/2006/2007</w:t>
            </w:r>
          </w:p>
        </w:tc>
        <w:tc>
          <w:tcPr>
            <w:tcW w:w="302" w:type="dxa"/>
            <w:tcBorders>
              <w:top w:val="nil"/>
              <w:left w:val="nil"/>
              <w:bottom w:val="nil"/>
              <w:right w:val="nil"/>
            </w:tcBorders>
            <w:shd w:val="clear" w:color="auto" w:fill="auto"/>
            <w:noWrap/>
            <w:vAlign w:val="center"/>
            <w:hideMark/>
          </w:tcPr>
          <w:p w14:paraId="053D9D52" w14:textId="77777777" w:rsidR="00A978AF" w:rsidRPr="00F7132F" w:rsidRDefault="00A978AF" w:rsidP="00A978AF">
            <w:pPr>
              <w:spacing w:after="0" w:line="240" w:lineRule="auto"/>
              <w:rPr>
                <w:rFonts w:ascii="Verdana" w:eastAsia="Times New Roman" w:hAnsi="Verdana" w:cs="Calibri"/>
                <w:sz w:val="18"/>
                <w:szCs w:val="18"/>
                <w:lang w:eastAsia="pt-BR"/>
              </w:rPr>
            </w:pPr>
          </w:p>
        </w:tc>
        <w:tc>
          <w:tcPr>
            <w:tcW w:w="1889" w:type="dxa"/>
            <w:tcBorders>
              <w:top w:val="nil"/>
              <w:left w:val="nil"/>
              <w:bottom w:val="nil"/>
              <w:right w:val="nil"/>
            </w:tcBorders>
            <w:shd w:val="clear" w:color="auto" w:fill="auto"/>
            <w:noWrap/>
            <w:vAlign w:val="center"/>
            <w:hideMark/>
          </w:tcPr>
          <w:p w14:paraId="27C8F4A9"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102.365 </w:t>
            </w:r>
          </w:p>
        </w:tc>
      </w:tr>
      <w:tr w:rsidR="00A978AF" w:rsidRPr="00116729" w14:paraId="636946F1" w14:textId="77777777" w:rsidTr="00F7132F">
        <w:trPr>
          <w:trHeight w:val="20"/>
        </w:trPr>
        <w:tc>
          <w:tcPr>
            <w:tcW w:w="7211" w:type="dxa"/>
            <w:tcBorders>
              <w:top w:val="nil"/>
              <w:left w:val="nil"/>
              <w:bottom w:val="nil"/>
              <w:right w:val="nil"/>
            </w:tcBorders>
            <w:shd w:val="clear" w:color="auto" w:fill="auto"/>
            <w:noWrap/>
            <w:vAlign w:val="center"/>
            <w:hideMark/>
          </w:tcPr>
          <w:p w14:paraId="426377F5"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Quotas 2008 a 2022</w:t>
            </w:r>
          </w:p>
        </w:tc>
        <w:tc>
          <w:tcPr>
            <w:tcW w:w="302" w:type="dxa"/>
            <w:tcBorders>
              <w:top w:val="nil"/>
              <w:left w:val="nil"/>
              <w:bottom w:val="nil"/>
              <w:right w:val="nil"/>
            </w:tcBorders>
            <w:shd w:val="clear" w:color="auto" w:fill="auto"/>
            <w:noWrap/>
            <w:vAlign w:val="center"/>
            <w:hideMark/>
          </w:tcPr>
          <w:p w14:paraId="7CFDDB46"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89" w:type="dxa"/>
            <w:tcBorders>
              <w:top w:val="nil"/>
              <w:left w:val="nil"/>
              <w:bottom w:val="single" w:sz="4" w:space="0" w:color="auto"/>
              <w:right w:val="nil"/>
            </w:tcBorders>
            <w:shd w:val="clear" w:color="auto" w:fill="auto"/>
            <w:noWrap/>
            <w:vAlign w:val="center"/>
            <w:hideMark/>
          </w:tcPr>
          <w:p w14:paraId="31D21480"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1.112.719 </w:t>
            </w:r>
          </w:p>
        </w:tc>
      </w:tr>
      <w:tr w:rsidR="00A978AF" w:rsidRPr="00116729" w14:paraId="28261029" w14:textId="77777777" w:rsidTr="00F7132F">
        <w:trPr>
          <w:trHeight w:val="20"/>
        </w:trPr>
        <w:tc>
          <w:tcPr>
            <w:tcW w:w="7211" w:type="dxa"/>
            <w:tcBorders>
              <w:top w:val="nil"/>
              <w:left w:val="nil"/>
              <w:bottom w:val="nil"/>
              <w:right w:val="nil"/>
            </w:tcBorders>
            <w:shd w:val="clear" w:color="auto" w:fill="auto"/>
            <w:noWrap/>
            <w:vAlign w:val="center"/>
            <w:hideMark/>
          </w:tcPr>
          <w:p w14:paraId="58D38096" w14:textId="77777777" w:rsidR="00A978AF" w:rsidRPr="00F7132F" w:rsidRDefault="00A978AF" w:rsidP="00A978AF">
            <w:pPr>
              <w:spacing w:after="0" w:line="240" w:lineRule="auto"/>
              <w:jc w:val="right"/>
              <w:rPr>
                <w:rFonts w:ascii="Verdana" w:eastAsia="Times New Roman" w:hAnsi="Verdana" w:cs="Calibri"/>
                <w:sz w:val="18"/>
                <w:szCs w:val="18"/>
                <w:lang w:eastAsia="pt-BR"/>
              </w:rPr>
            </w:pPr>
          </w:p>
        </w:tc>
        <w:tc>
          <w:tcPr>
            <w:tcW w:w="302" w:type="dxa"/>
            <w:tcBorders>
              <w:top w:val="nil"/>
              <w:left w:val="nil"/>
              <w:bottom w:val="nil"/>
              <w:right w:val="nil"/>
            </w:tcBorders>
            <w:shd w:val="clear" w:color="auto" w:fill="auto"/>
            <w:noWrap/>
            <w:vAlign w:val="center"/>
            <w:hideMark/>
          </w:tcPr>
          <w:p w14:paraId="44F8F00E" w14:textId="77777777" w:rsidR="00A978AF" w:rsidRPr="00116729" w:rsidRDefault="00A978AF" w:rsidP="00A978AF">
            <w:pPr>
              <w:spacing w:after="0" w:line="240" w:lineRule="auto"/>
              <w:rPr>
                <w:rFonts w:ascii="Times New Roman" w:eastAsia="Times New Roman" w:hAnsi="Times New Roman" w:cs="Times New Roman"/>
                <w:sz w:val="20"/>
                <w:szCs w:val="20"/>
                <w:lang w:eastAsia="pt-BR"/>
              </w:rPr>
            </w:pPr>
          </w:p>
        </w:tc>
        <w:tc>
          <w:tcPr>
            <w:tcW w:w="1889" w:type="dxa"/>
            <w:tcBorders>
              <w:top w:val="nil"/>
              <w:left w:val="nil"/>
              <w:bottom w:val="nil"/>
              <w:right w:val="nil"/>
            </w:tcBorders>
            <w:shd w:val="clear" w:color="auto" w:fill="auto"/>
            <w:noWrap/>
            <w:vAlign w:val="center"/>
            <w:hideMark/>
          </w:tcPr>
          <w:p w14:paraId="1D1E22B4"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1.215.084 </w:t>
            </w:r>
          </w:p>
        </w:tc>
      </w:tr>
      <w:tr w:rsidR="00A978AF" w:rsidRPr="00116729" w14:paraId="04CB8DB3" w14:textId="77777777" w:rsidTr="00F7132F">
        <w:trPr>
          <w:trHeight w:val="20"/>
        </w:trPr>
        <w:tc>
          <w:tcPr>
            <w:tcW w:w="7211" w:type="dxa"/>
            <w:tcBorders>
              <w:top w:val="nil"/>
              <w:left w:val="nil"/>
              <w:bottom w:val="nil"/>
              <w:right w:val="nil"/>
            </w:tcBorders>
            <w:shd w:val="clear" w:color="auto" w:fill="auto"/>
            <w:noWrap/>
            <w:vAlign w:val="center"/>
            <w:hideMark/>
          </w:tcPr>
          <w:p w14:paraId="5746B448"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302" w:type="dxa"/>
            <w:tcBorders>
              <w:top w:val="nil"/>
              <w:left w:val="nil"/>
              <w:bottom w:val="nil"/>
              <w:right w:val="nil"/>
            </w:tcBorders>
            <w:shd w:val="clear" w:color="auto" w:fill="auto"/>
            <w:noWrap/>
            <w:vAlign w:val="center"/>
            <w:hideMark/>
          </w:tcPr>
          <w:p w14:paraId="4E7F219F"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89" w:type="dxa"/>
            <w:tcBorders>
              <w:top w:val="nil"/>
              <w:left w:val="nil"/>
              <w:bottom w:val="nil"/>
              <w:right w:val="nil"/>
            </w:tcBorders>
            <w:shd w:val="clear" w:color="auto" w:fill="auto"/>
            <w:noWrap/>
            <w:vAlign w:val="center"/>
            <w:hideMark/>
          </w:tcPr>
          <w:p w14:paraId="7E39A713"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r>
      <w:tr w:rsidR="00A978AF" w:rsidRPr="00116729" w14:paraId="593A052C" w14:textId="77777777" w:rsidTr="00F7132F">
        <w:trPr>
          <w:trHeight w:val="20"/>
        </w:trPr>
        <w:tc>
          <w:tcPr>
            <w:tcW w:w="7211" w:type="dxa"/>
            <w:tcBorders>
              <w:top w:val="nil"/>
              <w:left w:val="nil"/>
              <w:bottom w:val="nil"/>
              <w:right w:val="nil"/>
            </w:tcBorders>
            <w:shd w:val="clear" w:color="auto" w:fill="auto"/>
            <w:noWrap/>
            <w:vAlign w:val="center"/>
            <w:hideMark/>
          </w:tcPr>
          <w:p w14:paraId="1007C101"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Planos de recolhimentos adicionais</w:t>
            </w:r>
          </w:p>
        </w:tc>
        <w:tc>
          <w:tcPr>
            <w:tcW w:w="302" w:type="dxa"/>
            <w:tcBorders>
              <w:top w:val="nil"/>
              <w:left w:val="nil"/>
              <w:bottom w:val="nil"/>
              <w:right w:val="nil"/>
            </w:tcBorders>
            <w:shd w:val="clear" w:color="auto" w:fill="auto"/>
            <w:noWrap/>
            <w:vAlign w:val="center"/>
            <w:hideMark/>
          </w:tcPr>
          <w:p w14:paraId="148406F4" w14:textId="77777777" w:rsidR="00A978AF" w:rsidRPr="00F7132F" w:rsidRDefault="00A978AF" w:rsidP="00A978AF">
            <w:pPr>
              <w:spacing w:after="0" w:line="240" w:lineRule="auto"/>
              <w:rPr>
                <w:rFonts w:ascii="Verdana" w:eastAsia="Times New Roman" w:hAnsi="Verdana" w:cs="Calibri"/>
                <w:sz w:val="18"/>
                <w:szCs w:val="18"/>
                <w:lang w:eastAsia="pt-BR"/>
              </w:rPr>
            </w:pPr>
          </w:p>
        </w:tc>
        <w:tc>
          <w:tcPr>
            <w:tcW w:w="1889" w:type="dxa"/>
            <w:tcBorders>
              <w:top w:val="nil"/>
              <w:left w:val="nil"/>
              <w:bottom w:val="nil"/>
              <w:right w:val="nil"/>
            </w:tcBorders>
            <w:shd w:val="clear" w:color="auto" w:fill="auto"/>
            <w:noWrap/>
            <w:vAlign w:val="center"/>
            <w:hideMark/>
          </w:tcPr>
          <w:p w14:paraId="280B6BF9"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72.844 </w:t>
            </w:r>
          </w:p>
        </w:tc>
      </w:tr>
      <w:tr w:rsidR="00A978AF" w:rsidRPr="00116729" w14:paraId="55653486" w14:textId="77777777" w:rsidTr="00F7132F">
        <w:trPr>
          <w:trHeight w:val="20"/>
        </w:trPr>
        <w:tc>
          <w:tcPr>
            <w:tcW w:w="7211" w:type="dxa"/>
            <w:tcBorders>
              <w:top w:val="nil"/>
              <w:left w:val="nil"/>
              <w:bottom w:val="nil"/>
              <w:right w:val="nil"/>
            </w:tcBorders>
            <w:shd w:val="clear" w:color="auto" w:fill="auto"/>
            <w:noWrap/>
            <w:vAlign w:val="center"/>
            <w:hideMark/>
          </w:tcPr>
          <w:p w14:paraId="21E56165"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Ganhos líquidos auferidos acumulados</w:t>
            </w:r>
          </w:p>
        </w:tc>
        <w:tc>
          <w:tcPr>
            <w:tcW w:w="302" w:type="dxa"/>
            <w:tcBorders>
              <w:top w:val="nil"/>
              <w:left w:val="nil"/>
              <w:bottom w:val="nil"/>
              <w:right w:val="nil"/>
            </w:tcBorders>
            <w:shd w:val="clear" w:color="auto" w:fill="auto"/>
            <w:noWrap/>
            <w:vAlign w:val="center"/>
            <w:hideMark/>
          </w:tcPr>
          <w:p w14:paraId="77D6358E"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89" w:type="dxa"/>
            <w:tcBorders>
              <w:top w:val="nil"/>
              <w:left w:val="nil"/>
              <w:bottom w:val="single" w:sz="4" w:space="0" w:color="auto"/>
              <w:right w:val="nil"/>
            </w:tcBorders>
            <w:shd w:val="clear" w:color="auto" w:fill="auto"/>
            <w:noWrap/>
            <w:vAlign w:val="center"/>
            <w:hideMark/>
          </w:tcPr>
          <w:p w14:paraId="6FD18EEE"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963.505 </w:t>
            </w:r>
          </w:p>
        </w:tc>
      </w:tr>
      <w:tr w:rsidR="00A978AF" w:rsidRPr="00116729" w14:paraId="40C685FD" w14:textId="77777777" w:rsidTr="00F7132F">
        <w:trPr>
          <w:trHeight w:val="20"/>
        </w:trPr>
        <w:tc>
          <w:tcPr>
            <w:tcW w:w="7211" w:type="dxa"/>
            <w:tcBorders>
              <w:top w:val="nil"/>
              <w:left w:val="nil"/>
              <w:bottom w:val="nil"/>
              <w:right w:val="nil"/>
            </w:tcBorders>
            <w:shd w:val="clear" w:color="auto" w:fill="auto"/>
            <w:noWrap/>
            <w:vAlign w:val="center"/>
            <w:hideMark/>
          </w:tcPr>
          <w:p w14:paraId="269CE075" w14:textId="77777777" w:rsidR="00A978AF" w:rsidRPr="00F7132F" w:rsidRDefault="00A978AF" w:rsidP="00A978AF">
            <w:pPr>
              <w:spacing w:after="0" w:line="240" w:lineRule="auto"/>
              <w:jc w:val="right"/>
              <w:rPr>
                <w:rFonts w:ascii="Verdana" w:eastAsia="Times New Roman" w:hAnsi="Verdana" w:cs="Calibri"/>
                <w:sz w:val="18"/>
                <w:szCs w:val="18"/>
                <w:lang w:eastAsia="pt-BR"/>
              </w:rPr>
            </w:pPr>
          </w:p>
        </w:tc>
        <w:tc>
          <w:tcPr>
            <w:tcW w:w="302" w:type="dxa"/>
            <w:tcBorders>
              <w:top w:val="nil"/>
              <w:left w:val="nil"/>
              <w:bottom w:val="nil"/>
              <w:right w:val="nil"/>
            </w:tcBorders>
            <w:shd w:val="clear" w:color="auto" w:fill="auto"/>
            <w:noWrap/>
            <w:vAlign w:val="center"/>
            <w:hideMark/>
          </w:tcPr>
          <w:p w14:paraId="6B5BB1EE" w14:textId="77777777" w:rsidR="00A978AF" w:rsidRPr="00116729" w:rsidRDefault="00A978AF" w:rsidP="00A978AF">
            <w:pPr>
              <w:spacing w:after="0" w:line="240" w:lineRule="auto"/>
              <w:rPr>
                <w:rFonts w:ascii="Times New Roman" w:eastAsia="Times New Roman" w:hAnsi="Times New Roman" w:cs="Times New Roman"/>
                <w:sz w:val="20"/>
                <w:szCs w:val="20"/>
                <w:lang w:eastAsia="pt-BR"/>
              </w:rPr>
            </w:pPr>
          </w:p>
        </w:tc>
        <w:tc>
          <w:tcPr>
            <w:tcW w:w="1889" w:type="dxa"/>
            <w:tcBorders>
              <w:top w:val="nil"/>
              <w:left w:val="nil"/>
              <w:bottom w:val="nil"/>
              <w:right w:val="nil"/>
            </w:tcBorders>
            <w:shd w:val="clear" w:color="auto" w:fill="auto"/>
            <w:noWrap/>
            <w:vAlign w:val="center"/>
            <w:hideMark/>
          </w:tcPr>
          <w:p w14:paraId="37C5F7F7"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1.036.349 </w:t>
            </w:r>
          </w:p>
        </w:tc>
      </w:tr>
      <w:tr w:rsidR="00A978AF" w:rsidRPr="00116729" w14:paraId="0948F863" w14:textId="77777777" w:rsidTr="00F7132F">
        <w:trPr>
          <w:trHeight w:val="20"/>
        </w:trPr>
        <w:tc>
          <w:tcPr>
            <w:tcW w:w="7211" w:type="dxa"/>
            <w:tcBorders>
              <w:top w:val="nil"/>
              <w:left w:val="nil"/>
              <w:bottom w:val="nil"/>
              <w:right w:val="nil"/>
            </w:tcBorders>
            <w:shd w:val="clear" w:color="auto" w:fill="auto"/>
            <w:noWrap/>
            <w:vAlign w:val="center"/>
            <w:hideMark/>
          </w:tcPr>
          <w:p w14:paraId="1B0F0AC9"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302" w:type="dxa"/>
            <w:tcBorders>
              <w:top w:val="nil"/>
              <w:left w:val="nil"/>
              <w:bottom w:val="nil"/>
              <w:right w:val="nil"/>
            </w:tcBorders>
            <w:shd w:val="clear" w:color="auto" w:fill="auto"/>
            <w:noWrap/>
            <w:vAlign w:val="center"/>
            <w:hideMark/>
          </w:tcPr>
          <w:p w14:paraId="2B1D8CA0"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89" w:type="dxa"/>
            <w:tcBorders>
              <w:top w:val="nil"/>
              <w:left w:val="nil"/>
              <w:bottom w:val="nil"/>
              <w:right w:val="nil"/>
            </w:tcBorders>
            <w:shd w:val="clear" w:color="auto" w:fill="auto"/>
            <w:noWrap/>
            <w:vAlign w:val="center"/>
            <w:hideMark/>
          </w:tcPr>
          <w:p w14:paraId="27A8942B"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r>
      <w:tr w:rsidR="00A978AF" w:rsidRPr="00116729" w14:paraId="67203A73" w14:textId="77777777" w:rsidTr="00F7132F">
        <w:trPr>
          <w:trHeight w:val="20"/>
        </w:trPr>
        <w:tc>
          <w:tcPr>
            <w:tcW w:w="7514" w:type="dxa"/>
            <w:gridSpan w:val="2"/>
            <w:tcBorders>
              <w:top w:val="nil"/>
              <w:left w:val="nil"/>
              <w:bottom w:val="nil"/>
              <w:right w:val="nil"/>
            </w:tcBorders>
            <w:shd w:val="clear" w:color="auto" w:fill="auto"/>
            <w:noWrap/>
            <w:vAlign w:val="center"/>
            <w:hideMark/>
          </w:tcPr>
          <w:p w14:paraId="4F6D9B5F"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Saldo de Carteira de Aplicativos do Fundo / Patrimônio Líquido do Fundo</w:t>
            </w:r>
          </w:p>
        </w:tc>
        <w:tc>
          <w:tcPr>
            <w:tcW w:w="1889" w:type="dxa"/>
            <w:tcBorders>
              <w:top w:val="single" w:sz="4" w:space="0" w:color="auto"/>
              <w:left w:val="nil"/>
              <w:bottom w:val="double" w:sz="6" w:space="0" w:color="auto"/>
              <w:right w:val="nil"/>
            </w:tcBorders>
            <w:shd w:val="clear" w:color="auto" w:fill="auto"/>
            <w:noWrap/>
            <w:vAlign w:val="center"/>
            <w:hideMark/>
          </w:tcPr>
          <w:p w14:paraId="3AEE6833" w14:textId="77777777" w:rsidR="00A978AF" w:rsidRPr="00F7132F" w:rsidRDefault="00A978AF" w:rsidP="00A978AF">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xml:space="preserve">       2.251.433 </w:t>
            </w:r>
          </w:p>
        </w:tc>
      </w:tr>
    </w:tbl>
    <w:p w14:paraId="5A6F4A62" w14:textId="3068763C" w:rsidR="00A978AF" w:rsidRDefault="00A978AF" w:rsidP="00E11DF3">
      <w:pPr>
        <w:pStyle w:val="Corpodetexto"/>
        <w:spacing w:after="160"/>
        <w:rPr>
          <w:rFonts w:ascii="Verdana" w:eastAsiaTheme="minorHAnsi" w:hAnsi="Verdana" w:cstheme="minorHAnsi"/>
          <w:sz w:val="22"/>
          <w:szCs w:val="22"/>
          <w:lang w:val="pt-BR" w:eastAsia="en-US"/>
        </w:rPr>
      </w:pPr>
    </w:p>
    <w:p w14:paraId="328CB530" w14:textId="77777777" w:rsidR="003072B4" w:rsidRPr="00116729" w:rsidRDefault="003072B4" w:rsidP="00E11DF3">
      <w:pPr>
        <w:pStyle w:val="Corpodetexto"/>
        <w:spacing w:after="160"/>
        <w:rPr>
          <w:rFonts w:ascii="Verdana" w:eastAsiaTheme="minorHAnsi" w:hAnsi="Verdana" w:cstheme="minorHAnsi"/>
          <w:sz w:val="22"/>
          <w:szCs w:val="22"/>
          <w:lang w:val="pt-BR" w:eastAsia="en-US"/>
        </w:rPr>
      </w:pPr>
    </w:p>
    <w:p w14:paraId="7A856E0F" w14:textId="77777777" w:rsidR="00A978AF" w:rsidRPr="00F7132F" w:rsidRDefault="009B5AFB" w:rsidP="00F7132F">
      <w:pPr>
        <w:tabs>
          <w:tab w:val="left" w:pos="567"/>
          <w:tab w:val="left" w:pos="1134"/>
          <w:tab w:val="left" w:pos="1701"/>
          <w:tab w:val="left" w:pos="2268"/>
          <w:tab w:val="left" w:pos="2835"/>
        </w:tabs>
        <w:jc w:val="both"/>
        <w:outlineLvl w:val="0"/>
        <w:rPr>
          <w:rFonts w:ascii="Verdana" w:hAnsi="Verdana" w:cstheme="minorHAnsi"/>
        </w:rPr>
      </w:pPr>
      <w:r w:rsidRPr="00F7132F">
        <w:rPr>
          <w:rFonts w:ascii="Verdana" w:hAnsi="Verdana" w:cstheme="minorHAnsi"/>
          <w:b/>
        </w:rPr>
        <w:t>1</w:t>
      </w:r>
      <w:r w:rsidR="00581D1F">
        <w:rPr>
          <w:rFonts w:ascii="Verdana" w:hAnsi="Verdana" w:cstheme="minorHAnsi"/>
          <w:b/>
        </w:rPr>
        <w:t>1</w:t>
      </w:r>
      <w:r w:rsidR="00D627C4" w:rsidRPr="00F7132F">
        <w:rPr>
          <w:rFonts w:ascii="Verdana" w:hAnsi="Verdana" w:cstheme="minorHAnsi"/>
          <w:b/>
        </w:rPr>
        <w:t xml:space="preserve"> – INVESTIMENTO </w:t>
      </w:r>
    </w:p>
    <w:tbl>
      <w:tblPr>
        <w:tblW w:w="9381" w:type="dxa"/>
        <w:tblCellMar>
          <w:left w:w="70" w:type="dxa"/>
          <w:right w:w="70" w:type="dxa"/>
        </w:tblCellMar>
        <w:tblLook w:val="04A0" w:firstRow="1" w:lastRow="0" w:firstColumn="1" w:lastColumn="0" w:noHBand="0" w:noVBand="1"/>
      </w:tblPr>
      <w:tblGrid>
        <w:gridCol w:w="5017"/>
        <w:gridCol w:w="236"/>
        <w:gridCol w:w="1946"/>
        <w:gridCol w:w="236"/>
        <w:gridCol w:w="1946"/>
      </w:tblGrid>
      <w:tr w:rsidR="00A978AF" w:rsidRPr="00116729" w14:paraId="33E52D26" w14:textId="77777777" w:rsidTr="00F7132F">
        <w:trPr>
          <w:trHeight w:val="20"/>
        </w:trPr>
        <w:tc>
          <w:tcPr>
            <w:tcW w:w="5017" w:type="dxa"/>
            <w:tcBorders>
              <w:top w:val="nil"/>
              <w:left w:val="nil"/>
              <w:bottom w:val="nil"/>
              <w:right w:val="nil"/>
            </w:tcBorders>
            <w:shd w:val="clear" w:color="auto" w:fill="auto"/>
            <w:noWrap/>
            <w:vAlign w:val="bottom"/>
            <w:hideMark/>
          </w:tcPr>
          <w:p w14:paraId="6BDC3B32" w14:textId="77777777" w:rsidR="00A978AF" w:rsidRPr="00116729" w:rsidRDefault="00A978AF" w:rsidP="00A978AF">
            <w:pPr>
              <w:spacing w:after="0" w:line="240" w:lineRule="auto"/>
              <w:rPr>
                <w:rFonts w:ascii="Times New Roman" w:eastAsia="Times New Roman" w:hAnsi="Times New Roman" w:cs="Times New Roman"/>
                <w:sz w:val="24"/>
                <w:szCs w:val="24"/>
                <w:lang w:eastAsia="pt-BR"/>
              </w:rPr>
            </w:pPr>
          </w:p>
        </w:tc>
        <w:tc>
          <w:tcPr>
            <w:tcW w:w="236" w:type="dxa"/>
            <w:tcBorders>
              <w:top w:val="nil"/>
              <w:left w:val="nil"/>
              <w:bottom w:val="nil"/>
              <w:right w:val="nil"/>
            </w:tcBorders>
            <w:shd w:val="clear" w:color="auto" w:fill="auto"/>
            <w:noWrap/>
            <w:vAlign w:val="bottom"/>
            <w:hideMark/>
          </w:tcPr>
          <w:p w14:paraId="7AD7CFD7" w14:textId="77777777" w:rsidR="00A978AF" w:rsidRPr="00116729" w:rsidRDefault="00A978AF" w:rsidP="00A978AF">
            <w:pPr>
              <w:spacing w:after="0" w:line="240" w:lineRule="auto"/>
              <w:rPr>
                <w:rFonts w:ascii="Times New Roman" w:eastAsia="Times New Roman" w:hAnsi="Times New Roman" w:cs="Times New Roman"/>
                <w:sz w:val="20"/>
                <w:szCs w:val="20"/>
                <w:lang w:eastAsia="pt-BR"/>
              </w:rPr>
            </w:pPr>
          </w:p>
        </w:tc>
        <w:tc>
          <w:tcPr>
            <w:tcW w:w="1946" w:type="dxa"/>
            <w:tcBorders>
              <w:top w:val="nil"/>
              <w:left w:val="nil"/>
              <w:bottom w:val="single" w:sz="4" w:space="0" w:color="auto"/>
              <w:right w:val="nil"/>
            </w:tcBorders>
            <w:shd w:val="clear" w:color="auto" w:fill="auto"/>
            <w:noWrap/>
            <w:vAlign w:val="bottom"/>
            <w:hideMark/>
          </w:tcPr>
          <w:p w14:paraId="444D73DA"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Controladora</w:t>
            </w:r>
          </w:p>
        </w:tc>
        <w:tc>
          <w:tcPr>
            <w:tcW w:w="236" w:type="dxa"/>
            <w:tcBorders>
              <w:top w:val="nil"/>
              <w:left w:val="nil"/>
              <w:bottom w:val="nil"/>
              <w:right w:val="nil"/>
            </w:tcBorders>
            <w:shd w:val="clear" w:color="auto" w:fill="auto"/>
            <w:noWrap/>
            <w:vAlign w:val="bottom"/>
            <w:hideMark/>
          </w:tcPr>
          <w:p w14:paraId="6A6238B3"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p>
        </w:tc>
        <w:tc>
          <w:tcPr>
            <w:tcW w:w="1946" w:type="dxa"/>
            <w:tcBorders>
              <w:top w:val="nil"/>
              <w:left w:val="nil"/>
              <w:bottom w:val="single" w:sz="4" w:space="0" w:color="auto"/>
              <w:right w:val="nil"/>
            </w:tcBorders>
            <w:shd w:val="clear" w:color="auto" w:fill="auto"/>
            <w:noWrap/>
            <w:vAlign w:val="bottom"/>
            <w:hideMark/>
          </w:tcPr>
          <w:p w14:paraId="5526284E"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Consolidado</w:t>
            </w:r>
          </w:p>
        </w:tc>
      </w:tr>
      <w:tr w:rsidR="00A978AF" w:rsidRPr="00116729" w14:paraId="41D1E673" w14:textId="77777777" w:rsidTr="00F7132F">
        <w:trPr>
          <w:trHeight w:val="20"/>
        </w:trPr>
        <w:tc>
          <w:tcPr>
            <w:tcW w:w="5017" w:type="dxa"/>
            <w:tcBorders>
              <w:top w:val="nil"/>
              <w:left w:val="nil"/>
              <w:bottom w:val="nil"/>
              <w:right w:val="nil"/>
            </w:tcBorders>
            <w:shd w:val="clear" w:color="auto" w:fill="auto"/>
            <w:noWrap/>
            <w:vAlign w:val="center"/>
            <w:hideMark/>
          </w:tcPr>
          <w:p w14:paraId="7A01EB75"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p>
        </w:tc>
        <w:tc>
          <w:tcPr>
            <w:tcW w:w="236" w:type="dxa"/>
            <w:tcBorders>
              <w:top w:val="nil"/>
              <w:left w:val="nil"/>
              <w:bottom w:val="nil"/>
              <w:right w:val="nil"/>
            </w:tcBorders>
            <w:shd w:val="clear" w:color="auto" w:fill="auto"/>
            <w:noWrap/>
            <w:vAlign w:val="center"/>
            <w:hideMark/>
          </w:tcPr>
          <w:p w14:paraId="36B2F3D8" w14:textId="77777777" w:rsidR="00A978AF" w:rsidRPr="00116729" w:rsidRDefault="00A978AF" w:rsidP="00A978AF">
            <w:pPr>
              <w:spacing w:after="0" w:line="240" w:lineRule="auto"/>
              <w:rPr>
                <w:rFonts w:ascii="Times New Roman" w:eastAsia="Times New Roman" w:hAnsi="Times New Roman" w:cs="Times New Roman"/>
                <w:sz w:val="20"/>
                <w:szCs w:val="20"/>
                <w:lang w:eastAsia="pt-BR"/>
              </w:rPr>
            </w:pPr>
          </w:p>
        </w:tc>
        <w:tc>
          <w:tcPr>
            <w:tcW w:w="1946" w:type="dxa"/>
            <w:tcBorders>
              <w:top w:val="nil"/>
              <w:left w:val="nil"/>
              <w:bottom w:val="single" w:sz="4" w:space="0" w:color="auto"/>
              <w:right w:val="nil"/>
            </w:tcBorders>
            <w:shd w:val="clear" w:color="auto" w:fill="auto"/>
            <w:noWrap/>
            <w:vAlign w:val="center"/>
            <w:hideMark/>
          </w:tcPr>
          <w:p w14:paraId="0A41878E"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30/06/2022</w:t>
            </w:r>
          </w:p>
        </w:tc>
        <w:tc>
          <w:tcPr>
            <w:tcW w:w="236" w:type="dxa"/>
            <w:tcBorders>
              <w:top w:val="nil"/>
              <w:left w:val="nil"/>
              <w:bottom w:val="nil"/>
              <w:right w:val="nil"/>
            </w:tcBorders>
            <w:shd w:val="clear" w:color="auto" w:fill="auto"/>
            <w:noWrap/>
            <w:vAlign w:val="center"/>
            <w:hideMark/>
          </w:tcPr>
          <w:p w14:paraId="0EF9FD26"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p>
        </w:tc>
        <w:tc>
          <w:tcPr>
            <w:tcW w:w="1946" w:type="dxa"/>
            <w:tcBorders>
              <w:top w:val="nil"/>
              <w:left w:val="nil"/>
              <w:bottom w:val="single" w:sz="4" w:space="0" w:color="auto"/>
              <w:right w:val="nil"/>
            </w:tcBorders>
            <w:shd w:val="clear" w:color="auto" w:fill="auto"/>
            <w:noWrap/>
            <w:vAlign w:val="center"/>
            <w:hideMark/>
          </w:tcPr>
          <w:p w14:paraId="277154E0"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30/06/2022</w:t>
            </w:r>
          </w:p>
        </w:tc>
      </w:tr>
      <w:tr w:rsidR="00A978AF" w:rsidRPr="00116729" w14:paraId="06C742A0" w14:textId="77777777" w:rsidTr="00F7132F">
        <w:trPr>
          <w:trHeight w:val="20"/>
        </w:trPr>
        <w:tc>
          <w:tcPr>
            <w:tcW w:w="5017" w:type="dxa"/>
            <w:tcBorders>
              <w:top w:val="nil"/>
              <w:left w:val="nil"/>
              <w:bottom w:val="nil"/>
              <w:right w:val="nil"/>
            </w:tcBorders>
            <w:shd w:val="clear" w:color="auto" w:fill="auto"/>
            <w:noWrap/>
            <w:vAlign w:val="center"/>
            <w:hideMark/>
          </w:tcPr>
          <w:p w14:paraId="2C8291C9" w14:textId="77777777" w:rsidR="00A978AF" w:rsidRPr="00F7132F" w:rsidRDefault="00A978AF" w:rsidP="00A978AF">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236" w:type="dxa"/>
            <w:tcBorders>
              <w:top w:val="nil"/>
              <w:left w:val="nil"/>
              <w:bottom w:val="nil"/>
              <w:right w:val="nil"/>
            </w:tcBorders>
            <w:shd w:val="clear" w:color="auto" w:fill="auto"/>
            <w:noWrap/>
            <w:vAlign w:val="center"/>
            <w:hideMark/>
          </w:tcPr>
          <w:p w14:paraId="281F94DA" w14:textId="77777777" w:rsidR="00A978AF" w:rsidRPr="00F7132F" w:rsidRDefault="00A978AF" w:rsidP="00A978AF">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946" w:type="dxa"/>
            <w:tcBorders>
              <w:top w:val="nil"/>
              <w:left w:val="nil"/>
              <w:bottom w:val="nil"/>
              <w:right w:val="nil"/>
            </w:tcBorders>
            <w:shd w:val="clear" w:color="auto" w:fill="auto"/>
            <w:noWrap/>
            <w:vAlign w:val="center"/>
            <w:hideMark/>
          </w:tcPr>
          <w:p w14:paraId="5E9E37F3"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36" w:type="dxa"/>
            <w:tcBorders>
              <w:top w:val="nil"/>
              <w:left w:val="nil"/>
              <w:bottom w:val="nil"/>
              <w:right w:val="nil"/>
            </w:tcBorders>
            <w:shd w:val="clear" w:color="auto" w:fill="auto"/>
            <w:noWrap/>
            <w:vAlign w:val="center"/>
            <w:hideMark/>
          </w:tcPr>
          <w:p w14:paraId="76D54D6D" w14:textId="77777777" w:rsidR="00A978AF" w:rsidRPr="00F7132F" w:rsidRDefault="00A978AF" w:rsidP="00A978AF">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946" w:type="dxa"/>
            <w:tcBorders>
              <w:top w:val="nil"/>
              <w:left w:val="nil"/>
              <w:bottom w:val="nil"/>
              <w:right w:val="nil"/>
            </w:tcBorders>
            <w:shd w:val="clear" w:color="auto" w:fill="auto"/>
            <w:noWrap/>
            <w:vAlign w:val="center"/>
            <w:hideMark/>
          </w:tcPr>
          <w:p w14:paraId="70083ADE"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r>
      <w:tr w:rsidR="00A978AF" w:rsidRPr="00116729" w14:paraId="1BA6FC7B" w14:textId="77777777" w:rsidTr="00F7132F">
        <w:trPr>
          <w:trHeight w:val="20"/>
        </w:trPr>
        <w:tc>
          <w:tcPr>
            <w:tcW w:w="5017" w:type="dxa"/>
            <w:tcBorders>
              <w:top w:val="nil"/>
              <w:left w:val="nil"/>
              <w:bottom w:val="nil"/>
              <w:right w:val="nil"/>
            </w:tcBorders>
            <w:shd w:val="clear" w:color="auto" w:fill="auto"/>
            <w:noWrap/>
            <w:vAlign w:val="center"/>
            <w:hideMark/>
          </w:tcPr>
          <w:p w14:paraId="25539DDD"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Valor Patrimonial Eletronuclear</w:t>
            </w:r>
          </w:p>
        </w:tc>
        <w:tc>
          <w:tcPr>
            <w:tcW w:w="236" w:type="dxa"/>
            <w:tcBorders>
              <w:top w:val="nil"/>
              <w:left w:val="nil"/>
              <w:bottom w:val="nil"/>
              <w:right w:val="nil"/>
            </w:tcBorders>
            <w:shd w:val="clear" w:color="auto" w:fill="auto"/>
            <w:noWrap/>
            <w:vAlign w:val="center"/>
            <w:hideMark/>
          </w:tcPr>
          <w:p w14:paraId="13DBE16F" w14:textId="77777777" w:rsidR="00A978AF" w:rsidRPr="00F7132F" w:rsidRDefault="00A978AF" w:rsidP="00A978AF">
            <w:pPr>
              <w:spacing w:after="0" w:line="240" w:lineRule="auto"/>
              <w:rPr>
                <w:rFonts w:ascii="Verdana" w:eastAsia="Times New Roman" w:hAnsi="Verdana" w:cs="Calibri"/>
                <w:sz w:val="18"/>
                <w:szCs w:val="18"/>
                <w:lang w:eastAsia="pt-BR"/>
              </w:rPr>
            </w:pPr>
          </w:p>
        </w:tc>
        <w:tc>
          <w:tcPr>
            <w:tcW w:w="1946" w:type="dxa"/>
            <w:tcBorders>
              <w:top w:val="nil"/>
              <w:left w:val="nil"/>
              <w:bottom w:val="nil"/>
              <w:right w:val="nil"/>
            </w:tcBorders>
            <w:shd w:val="clear" w:color="auto" w:fill="auto"/>
            <w:noWrap/>
            <w:vAlign w:val="center"/>
            <w:hideMark/>
          </w:tcPr>
          <w:p w14:paraId="75641100" w14:textId="77777777" w:rsidR="00A978AF" w:rsidRPr="00F7132F" w:rsidRDefault="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3.107.374 </w:t>
            </w:r>
          </w:p>
        </w:tc>
        <w:tc>
          <w:tcPr>
            <w:tcW w:w="236" w:type="dxa"/>
            <w:tcBorders>
              <w:top w:val="nil"/>
              <w:left w:val="nil"/>
              <w:bottom w:val="nil"/>
              <w:right w:val="nil"/>
            </w:tcBorders>
            <w:shd w:val="clear" w:color="auto" w:fill="auto"/>
            <w:noWrap/>
            <w:vAlign w:val="center"/>
            <w:hideMark/>
          </w:tcPr>
          <w:p w14:paraId="1AED1740" w14:textId="77777777" w:rsidR="00A978AF" w:rsidRPr="00F7132F" w:rsidRDefault="00A978AF">
            <w:pPr>
              <w:spacing w:after="0" w:line="240" w:lineRule="auto"/>
              <w:jc w:val="right"/>
              <w:rPr>
                <w:rFonts w:ascii="Verdana" w:eastAsia="Times New Roman" w:hAnsi="Verdana" w:cs="Calibri"/>
                <w:sz w:val="18"/>
                <w:szCs w:val="18"/>
                <w:lang w:eastAsia="pt-BR"/>
              </w:rPr>
            </w:pPr>
          </w:p>
        </w:tc>
        <w:tc>
          <w:tcPr>
            <w:tcW w:w="1946" w:type="dxa"/>
            <w:tcBorders>
              <w:top w:val="nil"/>
              <w:left w:val="nil"/>
              <w:bottom w:val="nil"/>
              <w:right w:val="nil"/>
            </w:tcBorders>
            <w:shd w:val="clear" w:color="auto" w:fill="auto"/>
            <w:noWrap/>
            <w:vAlign w:val="center"/>
            <w:hideMark/>
          </w:tcPr>
          <w:p w14:paraId="14A1BB9C" w14:textId="77777777" w:rsidR="00A978AF" w:rsidRPr="00F7132F" w:rsidRDefault="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r>
      <w:tr w:rsidR="00A978AF" w:rsidRPr="00116729" w14:paraId="32386936" w14:textId="77777777" w:rsidTr="00F7132F">
        <w:trPr>
          <w:trHeight w:val="20"/>
        </w:trPr>
        <w:tc>
          <w:tcPr>
            <w:tcW w:w="5017" w:type="dxa"/>
            <w:tcBorders>
              <w:top w:val="nil"/>
              <w:left w:val="nil"/>
              <w:bottom w:val="nil"/>
              <w:right w:val="nil"/>
            </w:tcBorders>
            <w:shd w:val="clear" w:color="auto" w:fill="auto"/>
            <w:noWrap/>
            <w:vAlign w:val="center"/>
            <w:hideMark/>
          </w:tcPr>
          <w:p w14:paraId="7030C5FC"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Ágio Eletronuclear</w:t>
            </w:r>
          </w:p>
        </w:tc>
        <w:tc>
          <w:tcPr>
            <w:tcW w:w="236" w:type="dxa"/>
            <w:tcBorders>
              <w:top w:val="nil"/>
              <w:left w:val="nil"/>
              <w:bottom w:val="nil"/>
              <w:right w:val="nil"/>
            </w:tcBorders>
            <w:shd w:val="clear" w:color="auto" w:fill="auto"/>
            <w:noWrap/>
            <w:vAlign w:val="center"/>
            <w:hideMark/>
          </w:tcPr>
          <w:p w14:paraId="1A284372" w14:textId="77777777" w:rsidR="00A978AF" w:rsidRPr="00F7132F" w:rsidRDefault="00A978AF" w:rsidP="00A978AF">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946" w:type="dxa"/>
            <w:tcBorders>
              <w:top w:val="nil"/>
              <w:left w:val="nil"/>
              <w:bottom w:val="nil"/>
              <w:right w:val="nil"/>
            </w:tcBorders>
            <w:shd w:val="clear" w:color="auto" w:fill="auto"/>
            <w:noWrap/>
            <w:vAlign w:val="center"/>
            <w:hideMark/>
          </w:tcPr>
          <w:p w14:paraId="15B0194D" w14:textId="77777777" w:rsidR="00A978AF" w:rsidRPr="00F7132F" w:rsidRDefault="00A978AF" w:rsidP="00F7132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392.626 </w:t>
            </w:r>
          </w:p>
        </w:tc>
        <w:tc>
          <w:tcPr>
            <w:tcW w:w="236" w:type="dxa"/>
            <w:tcBorders>
              <w:top w:val="nil"/>
              <w:left w:val="nil"/>
              <w:bottom w:val="nil"/>
              <w:right w:val="nil"/>
            </w:tcBorders>
            <w:shd w:val="clear" w:color="auto" w:fill="auto"/>
            <w:noWrap/>
            <w:vAlign w:val="center"/>
            <w:hideMark/>
          </w:tcPr>
          <w:p w14:paraId="1FC74AE2" w14:textId="77777777" w:rsidR="00A978AF" w:rsidRPr="00F7132F" w:rsidRDefault="00A978AF" w:rsidP="00F7132F">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946" w:type="dxa"/>
            <w:tcBorders>
              <w:top w:val="nil"/>
              <w:left w:val="nil"/>
              <w:bottom w:val="nil"/>
              <w:right w:val="nil"/>
            </w:tcBorders>
            <w:shd w:val="clear" w:color="auto" w:fill="auto"/>
            <w:noWrap/>
            <w:vAlign w:val="center"/>
            <w:hideMark/>
          </w:tcPr>
          <w:p w14:paraId="3B908483" w14:textId="77777777" w:rsidR="00A978AF" w:rsidRPr="00F7132F" w:rsidRDefault="00A978AF" w:rsidP="00F7132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r>
      <w:tr w:rsidR="00A978AF" w:rsidRPr="00116729" w14:paraId="00916710" w14:textId="77777777" w:rsidTr="00F7132F">
        <w:trPr>
          <w:trHeight w:val="20"/>
        </w:trPr>
        <w:tc>
          <w:tcPr>
            <w:tcW w:w="5017" w:type="dxa"/>
            <w:tcBorders>
              <w:top w:val="nil"/>
              <w:left w:val="nil"/>
              <w:bottom w:val="nil"/>
              <w:right w:val="nil"/>
            </w:tcBorders>
            <w:shd w:val="clear" w:color="auto" w:fill="auto"/>
            <w:noWrap/>
            <w:vAlign w:val="center"/>
            <w:hideMark/>
          </w:tcPr>
          <w:p w14:paraId="39290B5E"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Equivalência Patrimonial Eletronuclear</w:t>
            </w:r>
          </w:p>
        </w:tc>
        <w:tc>
          <w:tcPr>
            <w:tcW w:w="236" w:type="dxa"/>
            <w:tcBorders>
              <w:top w:val="nil"/>
              <w:left w:val="nil"/>
              <w:bottom w:val="nil"/>
              <w:right w:val="nil"/>
            </w:tcBorders>
            <w:shd w:val="clear" w:color="auto" w:fill="auto"/>
            <w:noWrap/>
            <w:vAlign w:val="center"/>
            <w:hideMark/>
          </w:tcPr>
          <w:p w14:paraId="76A5EB50" w14:textId="77777777" w:rsidR="00A978AF" w:rsidRPr="00F7132F" w:rsidRDefault="00A978AF" w:rsidP="00A978AF">
            <w:pPr>
              <w:spacing w:after="0" w:line="240" w:lineRule="auto"/>
              <w:rPr>
                <w:rFonts w:ascii="Verdana" w:eastAsia="Times New Roman" w:hAnsi="Verdana" w:cs="Calibri"/>
                <w:sz w:val="18"/>
                <w:szCs w:val="18"/>
                <w:lang w:eastAsia="pt-BR"/>
              </w:rPr>
            </w:pPr>
          </w:p>
        </w:tc>
        <w:tc>
          <w:tcPr>
            <w:tcW w:w="1946" w:type="dxa"/>
            <w:tcBorders>
              <w:top w:val="nil"/>
              <w:left w:val="nil"/>
              <w:bottom w:val="nil"/>
              <w:right w:val="nil"/>
            </w:tcBorders>
            <w:shd w:val="clear" w:color="auto" w:fill="auto"/>
            <w:noWrap/>
            <w:vAlign w:val="center"/>
            <w:hideMark/>
          </w:tcPr>
          <w:p w14:paraId="564157EB" w14:textId="77777777" w:rsidR="00A978AF" w:rsidRPr="00F7132F" w:rsidRDefault="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(7.757)</w:t>
            </w:r>
          </w:p>
        </w:tc>
        <w:tc>
          <w:tcPr>
            <w:tcW w:w="236" w:type="dxa"/>
            <w:tcBorders>
              <w:top w:val="nil"/>
              <w:left w:val="nil"/>
              <w:bottom w:val="nil"/>
              <w:right w:val="nil"/>
            </w:tcBorders>
            <w:shd w:val="clear" w:color="auto" w:fill="auto"/>
            <w:noWrap/>
            <w:vAlign w:val="center"/>
            <w:hideMark/>
          </w:tcPr>
          <w:p w14:paraId="23D6B5F4" w14:textId="77777777" w:rsidR="00A978AF" w:rsidRPr="00F7132F" w:rsidRDefault="00A978AF">
            <w:pPr>
              <w:spacing w:after="0" w:line="240" w:lineRule="auto"/>
              <w:jc w:val="right"/>
              <w:rPr>
                <w:rFonts w:ascii="Verdana" w:eastAsia="Times New Roman" w:hAnsi="Verdana" w:cs="Calibri"/>
                <w:sz w:val="18"/>
                <w:szCs w:val="18"/>
                <w:lang w:eastAsia="pt-BR"/>
              </w:rPr>
            </w:pPr>
          </w:p>
        </w:tc>
        <w:tc>
          <w:tcPr>
            <w:tcW w:w="1946" w:type="dxa"/>
            <w:tcBorders>
              <w:top w:val="nil"/>
              <w:left w:val="nil"/>
              <w:bottom w:val="nil"/>
              <w:right w:val="nil"/>
            </w:tcBorders>
            <w:shd w:val="clear" w:color="auto" w:fill="auto"/>
            <w:noWrap/>
            <w:vAlign w:val="center"/>
            <w:hideMark/>
          </w:tcPr>
          <w:p w14:paraId="7F0F1479" w14:textId="77777777" w:rsidR="00A978AF" w:rsidRPr="00F7132F" w:rsidRDefault="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r>
      <w:tr w:rsidR="00A978AF" w:rsidRPr="00116729" w14:paraId="224F8609" w14:textId="77777777" w:rsidTr="00F7132F">
        <w:trPr>
          <w:trHeight w:val="20"/>
        </w:trPr>
        <w:tc>
          <w:tcPr>
            <w:tcW w:w="5017" w:type="dxa"/>
            <w:tcBorders>
              <w:top w:val="nil"/>
              <w:left w:val="nil"/>
              <w:bottom w:val="nil"/>
              <w:right w:val="nil"/>
            </w:tcBorders>
            <w:shd w:val="clear" w:color="auto" w:fill="auto"/>
            <w:noWrap/>
            <w:vAlign w:val="center"/>
            <w:hideMark/>
          </w:tcPr>
          <w:p w14:paraId="652B8316"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Valor Patrimonial Itaipu</w:t>
            </w:r>
          </w:p>
        </w:tc>
        <w:tc>
          <w:tcPr>
            <w:tcW w:w="236" w:type="dxa"/>
            <w:tcBorders>
              <w:top w:val="nil"/>
              <w:left w:val="nil"/>
              <w:bottom w:val="nil"/>
              <w:right w:val="nil"/>
            </w:tcBorders>
            <w:shd w:val="clear" w:color="auto" w:fill="auto"/>
            <w:noWrap/>
            <w:vAlign w:val="center"/>
            <w:hideMark/>
          </w:tcPr>
          <w:p w14:paraId="5150DEA0" w14:textId="77777777" w:rsidR="00A978AF" w:rsidRPr="00F7132F" w:rsidRDefault="00A978AF" w:rsidP="00A978AF">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946" w:type="dxa"/>
            <w:tcBorders>
              <w:top w:val="nil"/>
              <w:left w:val="nil"/>
              <w:bottom w:val="nil"/>
              <w:right w:val="nil"/>
            </w:tcBorders>
            <w:shd w:val="clear" w:color="auto" w:fill="auto"/>
            <w:noWrap/>
            <w:vAlign w:val="center"/>
            <w:hideMark/>
          </w:tcPr>
          <w:p w14:paraId="26797A31" w14:textId="77777777" w:rsidR="00A978AF" w:rsidRPr="00F7132F" w:rsidRDefault="00A978AF" w:rsidP="00F7132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255.595 </w:t>
            </w:r>
          </w:p>
        </w:tc>
        <w:tc>
          <w:tcPr>
            <w:tcW w:w="236" w:type="dxa"/>
            <w:tcBorders>
              <w:top w:val="nil"/>
              <w:left w:val="nil"/>
              <w:bottom w:val="nil"/>
              <w:right w:val="nil"/>
            </w:tcBorders>
            <w:shd w:val="clear" w:color="auto" w:fill="auto"/>
            <w:noWrap/>
            <w:vAlign w:val="center"/>
            <w:hideMark/>
          </w:tcPr>
          <w:p w14:paraId="1D516A04" w14:textId="77777777" w:rsidR="00A978AF" w:rsidRPr="00F7132F" w:rsidRDefault="00A978AF" w:rsidP="00F7132F">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946" w:type="dxa"/>
            <w:tcBorders>
              <w:top w:val="nil"/>
              <w:left w:val="nil"/>
              <w:bottom w:val="nil"/>
              <w:right w:val="nil"/>
            </w:tcBorders>
            <w:shd w:val="clear" w:color="auto" w:fill="auto"/>
            <w:noWrap/>
            <w:vAlign w:val="center"/>
            <w:hideMark/>
          </w:tcPr>
          <w:p w14:paraId="575CE87A" w14:textId="77777777" w:rsidR="00A978AF" w:rsidRPr="00F7132F" w:rsidRDefault="00A978AF" w:rsidP="00F7132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255.595 </w:t>
            </w:r>
          </w:p>
        </w:tc>
      </w:tr>
      <w:tr w:rsidR="00A978AF" w:rsidRPr="00116729" w14:paraId="3949EFB5" w14:textId="77777777" w:rsidTr="00F7132F">
        <w:trPr>
          <w:trHeight w:val="20"/>
        </w:trPr>
        <w:tc>
          <w:tcPr>
            <w:tcW w:w="5017" w:type="dxa"/>
            <w:tcBorders>
              <w:top w:val="nil"/>
              <w:left w:val="nil"/>
              <w:bottom w:val="nil"/>
              <w:right w:val="nil"/>
            </w:tcBorders>
            <w:shd w:val="clear" w:color="auto" w:fill="auto"/>
            <w:noWrap/>
            <w:vAlign w:val="center"/>
            <w:hideMark/>
          </w:tcPr>
          <w:p w14:paraId="5FD5C875"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Ágio Itaipu</w:t>
            </w:r>
          </w:p>
        </w:tc>
        <w:tc>
          <w:tcPr>
            <w:tcW w:w="236" w:type="dxa"/>
            <w:tcBorders>
              <w:top w:val="nil"/>
              <w:left w:val="nil"/>
              <w:bottom w:val="nil"/>
              <w:right w:val="nil"/>
            </w:tcBorders>
            <w:shd w:val="clear" w:color="auto" w:fill="auto"/>
            <w:noWrap/>
            <w:vAlign w:val="center"/>
            <w:hideMark/>
          </w:tcPr>
          <w:p w14:paraId="27780B65" w14:textId="77777777" w:rsidR="00A978AF" w:rsidRPr="00F7132F" w:rsidRDefault="00A978AF" w:rsidP="00A978AF">
            <w:pPr>
              <w:spacing w:after="0" w:line="240" w:lineRule="auto"/>
              <w:rPr>
                <w:rFonts w:ascii="Verdana" w:eastAsia="Times New Roman" w:hAnsi="Verdana" w:cs="Calibri"/>
                <w:sz w:val="18"/>
                <w:szCs w:val="18"/>
                <w:lang w:eastAsia="pt-BR"/>
              </w:rPr>
            </w:pPr>
          </w:p>
        </w:tc>
        <w:tc>
          <w:tcPr>
            <w:tcW w:w="1946" w:type="dxa"/>
            <w:tcBorders>
              <w:top w:val="nil"/>
              <w:left w:val="nil"/>
              <w:bottom w:val="nil"/>
              <w:right w:val="nil"/>
            </w:tcBorders>
            <w:shd w:val="clear" w:color="auto" w:fill="auto"/>
            <w:noWrap/>
            <w:vAlign w:val="center"/>
            <w:hideMark/>
          </w:tcPr>
          <w:p w14:paraId="4359E1D5" w14:textId="77777777" w:rsidR="00A978AF" w:rsidRPr="00F7132F" w:rsidRDefault="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1.028.136 </w:t>
            </w:r>
          </w:p>
        </w:tc>
        <w:tc>
          <w:tcPr>
            <w:tcW w:w="236" w:type="dxa"/>
            <w:tcBorders>
              <w:top w:val="nil"/>
              <w:left w:val="nil"/>
              <w:bottom w:val="nil"/>
              <w:right w:val="nil"/>
            </w:tcBorders>
            <w:shd w:val="clear" w:color="auto" w:fill="auto"/>
            <w:noWrap/>
            <w:vAlign w:val="center"/>
            <w:hideMark/>
          </w:tcPr>
          <w:p w14:paraId="6A396E6F" w14:textId="77777777" w:rsidR="00A978AF" w:rsidRPr="00F7132F" w:rsidRDefault="00A978AF">
            <w:pPr>
              <w:spacing w:after="0" w:line="240" w:lineRule="auto"/>
              <w:jc w:val="right"/>
              <w:rPr>
                <w:rFonts w:ascii="Verdana" w:eastAsia="Times New Roman" w:hAnsi="Verdana" w:cs="Calibri"/>
                <w:sz w:val="18"/>
                <w:szCs w:val="18"/>
                <w:lang w:eastAsia="pt-BR"/>
              </w:rPr>
            </w:pPr>
          </w:p>
        </w:tc>
        <w:tc>
          <w:tcPr>
            <w:tcW w:w="1946" w:type="dxa"/>
            <w:tcBorders>
              <w:top w:val="nil"/>
              <w:left w:val="nil"/>
              <w:bottom w:val="nil"/>
              <w:right w:val="nil"/>
            </w:tcBorders>
            <w:shd w:val="clear" w:color="auto" w:fill="auto"/>
            <w:noWrap/>
            <w:vAlign w:val="center"/>
            <w:hideMark/>
          </w:tcPr>
          <w:p w14:paraId="384E9229" w14:textId="77777777" w:rsidR="00A978AF" w:rsidRPr="00F7132F" w:rsidRDefault="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1.028.136 </w:t>
            </w:r>
          </w:p>
        </w:tc>
      </w:tr>
      <w:tr w:rsidR="00A978AF" w:rsidRPr="00116729" w14:paraId="2FBFFA85" w14:textId="77777777" w:rsidTr="00F7132F">
        <w:trPr>
          <w:trHeight w:val="20"/>
        </w:trPr>
        <w:tc>
          <w:tcPr>
            <w:tcW w:w="5017" w:type="dxa"/>
            <w:tcBorders>
              <w:top w:val="nil"/>
              <w:left w:val="nil"/>
              <w:bottom w:val="nil"/>
              <w:right w:val="nil"/>
            </w:tcBorders>
            <w:shd w:val="clear" w:color="auto" w:fill="auto"/>
            <w:noWrap/>
            <w:vAlign w:val="center"/>
            <w:hideMark/>
          </w:tcPr>
          <w:p w14:paraId="647DD129"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Variação Cambial Itaipu</w:t>
            </w:r>
          </w:p>
        </w:tc>
        <w:tc>
          <w:tcPr>
            <w:tcW w:w="236" w:type="dxa"/>
            <w:tcBorders>
              <w:top w:val="nil"/>
              <w:left w:val="nil"/>
              <w:bottom w:val="nil"/>
              <w:right w:val="nil"/>
            </w:tcBorders>
            <w:shd w:val="clear" w:color="auto" w:fill="auto"/>
            <w:noWrap/>
            <w:vAlign w:val="center"/>
            <w:hideMark/>
          </w:tcPr>
          <w:p w14:paraId="49CE0D00" w14:textId="77777777" w:rsidR="00A978AF" w:rsidRPr="00F7132F" w:rsidRDefault="00A978AF" w:rsidP="00A978AF">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946" w:type="dxa"/>
            <w:tcBorders>
              <w:top w:val="nil"/>
              <w:left w:val="nil"/>
              <w:bottom w:val="nil"/>
              <w:right w:val="nil"/>
            </w:tcBorders>
            <w:shd w:val="clear" w:color="auto" w:fill="auto"/>
            <w:noWrap/>
            <w:vAlign w:val="center"/>
            <w:hideMark/>
          </w:tcPr>
          <w:p w14:paraId="00D5A38D" w14:textId="77777777" w:rsidR="00A978AF" w:rsidRPr="00F7132F" w:rsidRDefault="00A978AF" w:rsidP="00F7132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6.305 </w:t>
            </w:r>
          </w:p>
        </w:tc>
        <w:tc>
          <w:tcPr>
            <w:tcW w:w="236" w:type="dxa"/>
            <w:tcBorders>
              <w:top w:val="nil"/>
              <w:left w:val="nil"/>
              <w:bottom w:val="nil"/>
              <w:right w:val="nil"/>
            </w:tcBorders>
            <w:shd w:val="clear" w:color="auto" w:fill="auto"/>
            <w:noWrap/>
            <w:vAlign w:val="center"/>
            <w:hideMark/>
          </w:tcPr>
          <w:p w14:paraId="1EF016F1" w14:textId="77777777" w:rsidR="00A978AF" w:rsidRPr="00F7132F" w:rsidRDefault="00A978AF" w:rsidP="00F7132F">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946" w:type="dxa"/>
            <w:tcBorders>
              <w:top w:val="nil"/>
              <w:left w:val="nil"/>
              <w:bottom w:val="nil"/>
              <w:right w:val="nil"/>
            </w:tcBorders>
            <w:shd w:val="clear" w:color="auto" w:fill="auto"/>
            <w:noWrap/>
            <w:vAlign w:val="center"/>
            <w:hideMark/>
          </w:tcPr>
          <w:p w14:paraId="7BACD04C" w14:textId="77777777" w:rsidR="00A978AF" w:rsidRPr="00F7132F" w:rsidRDefault="00A978AF" w:rsidP="00F7132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6.305 </w:t>
            </w:r>
          </w:p>
        </w:tc>
      </w:tr>
      <w:tr w:rsidR="00A978AF" w:rsidRPr="00116729" w14:paraId="31B3C9E4" w14:textId="77777777" w:rsidTr="00F7132F">
        <w:trPr>
          <w:trHeight w:val="20"/>
        </w:trPr>
        <w:tc>
          <w:tcPr>
            <w:tcW w:w="5017" w:type="dxa"/>
            <w:tcBorders>
              <w:top w:val="nil"/>
              <w:left w:val="nil"/>
              <w:bottom w:val="nil"/>
              <w:right w:val="nil"/>
            </w:tcBorders>
            <w:shd w:val="clear" w:color="auto" w:fill="auto"/>
            <w:noWrap/>
            <w:vAlign w:val="center"/>
            <w:hideMark/>
          </w:tcPr>
          <w:p w14:paraId="72FA88C5" w14:textId="77777777" w:rsidR="00A978AF" w:rsidRPr="00F7132F" w:rsidRDefault="00A978AF" w:rsidP="00A978AF">
            <w:pPr>
              <w:spacing w:after="0" w:line="240" w:lineRule="auto"/>
              <w:rPr>
                <w:rFonts w:ascii="Verdana" w:eastAsia="Times New Roman" w:hAnsi="Verdana" w:cs="Calibri"/>
                <w:sz w:val="18"/>
                <w:szCs w:val="18"/>
                <w:lang w:eastAsia="pt-BR"/>
              </w:rPr>
            </w:pPr>
          </w:p>
        </w:tc>
        <w:tc>
          <w:tcPr>
            <w:tcW w:w="236" w:type="dxa"/>
            <w:tcBorders>
              <w:top w:val="nil"/>
              <w:left w:val="nil"/>
              <w:bottom w:val="nil"/>
              <w:right w:val="nil"/>
            </w:tcBorders>
            <w:shd w:val="clear" w:color="auto" w:fill="auto"/>
            <w:noWrap/>
            <w:vAlign w:val="center"/>
            <w:hideMark/>
          </w:tcPr>
          <w:p w14:paraId="105DE036" w14:textId="77777777" w:rsidR="00A978AF" w:rsidRPr="00116729" w:rsidRDefault="00A978AF" w:rsidP="00A978AF">
            <w:pPr>
              <w:spacing w:after="0" w:line="240" w:lineRule="auto"/>
              <w:rPr>
                <w:rFonts w:ascii="Times New Roman" w:eastAsia="Times New Roman" w:hAnsi="Times New Roman" w:cs="Times New Roman"/>
                <w:sz w:val="20"/>
                <w:szCs w:val="20"/>
                <w:lang w:eastAsia="pt-BR"/>
              </w:rPr>
            </w:pPr>
          </w:p>
        </w:tc>
        <w:tc>
          <w:tcPr>
            <w:tcW w:w="1946" w:type="dxa"/>
            <w:tcBorders>
              <w:top w:val="single" w:sz="4" w:space="0" w:color="auto"/>
              <w:left w:val="nil"/>
              <w:bottom w:val="double" w:sz="6" w:space="0" w:color="auto"/>
              <w:right w:val="nil"/>
            </w:tcBorders>
            <w:shd w:val="clear" w:color="auto" w:fill="auto"/>
            <w:noWrap/>
            <w:vAlign w:val="center"/>
            <w:hideMark/>
          </w:tcPr>
          <w:p w14:paraId="7C6F27CB" w14:textId="77777777" w:rsidR="00A978AF" w:rsidRPr="00F7132F" w:rsidRDefault="00A978AF">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xml:space="preserve">       4.782.279 </w:t>
            </w:r>
          </w:p>
        </w:tc>
        <w:tc>
          <w:tcPr>
            <w:tcW w:w="236" w:type="dxa"/>
            <w:tcBorders>
              <w:top w:val="nil"/>
              <w:left w:val="nil"/>
              <w:bottom w:val="nil"/>
              <w:right w:val="nil"/>
            </w:tcBorders>
            <w:shd w:val="clear" w:color="auto" w:fill="auto"/>
            <w:noWrap/>
            <w:vAlign w:val="center"/>
            <w:hideMark/>
          </w:tcPr>
          <w:p w14:paraId="4F568F15" w14:textId="77777777" w:rsidR="00A978AF" w:rsidRPr="00F7132F" w:rsidRDefault="00A978AF">
            <w:pPr>
              <w:spacing w:after="0" w:line="240" w:lineRule="auto"/>
              <w:jc w:val="right"/>
              <w:rPr>
                <w:rFonts w:ascii="Verdana" w:eastAsia="Times New Roman" w:hAnsi="Verdana" w:cs="Calibri"/>
                <w:b/>
                <w:bCs/>
                <w:sz w:val="18"/>
                <w:szCs w:val="18"/>
                <w:lang w:eastAsia="pt-BR"/>
              </w:rPr>
            </w:pPr>
          </w:p>
        </w:tc>
        <w:tc>
          <w:tcPr>
            <w:tcW w:w="1946" w:type="dxa"/>
            <w:tcBorders>
              <w:top w:val="single" w:sz="4" w:space="0" w:color="auto"/>
              <w:left w:val="nil"/>
              <w:bottom w:val="double" w:sz="6" w:space="0" w:color="auto"/>
              <w:right w:val="nil"/>
            </w:tcBorders>
            <w:shd w:val="clear" w:color="auto" w:fill="auto"/>
            <w:noWrap/>
            <w:vAlign w:val="center"/>
            <w:hideMark/>
          </w:tcPr>
          <w:p w14:paraId="46BBE7AE" w14:textId="77777777" w:rsidR="00A978AF" w:rsidRPr="00F7132F" w:rsidRDefault="00A978AF">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xml:space="preserve">       1.290.036 </w:t>
            </w:r>
          </w:p>
        </w:tc>
      </w:tr>
    </w:tbl>
    <w:p w14:paraId="5954F4D6" w14:textId="77777777" w:rsidR="002D73CF" w:rsidRPr="00F7132F" w:rsidRDefault="002D73CF" w:rsidP="00CA5E2F">
      <w:pPr>
        <w:tabs>
          <w:tab w:val="center" w:pos="4419"/>
          <w:tab w:val="right" w:pos="8838"/>
        </w:tabs>
        <w:spacing w:line="264" w:lineRule="auto"/>
        <w:jc w:val="both"/>
        <w:rPr>
          <w:rFonts w:ascii="Verdana" w:hAnsi="Verdana" w:cstheme="minorHAnsi"/>
        </w:rPr>
      </w:pPr>
    </w:p>
    <w:p w14:paraId="2B419ABF" w14:textId="5B0FC0A9" w:rsidR="00095A09" w:rsidRDefault="00095A09" w:rsidP="004D3063">
      <w:pPr>
        <w:pStyle w:val="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after="160" w:line="240" w:lineRule="auto"/>
        <w:ind w:left="0"/>
        <w:rPr>
          <w:rFonts w:ascii="Verdana" w:eastAsiaTheme="minorHAnsi" w:hAnsi="Verdana" w:cstheme="minorHAnsi"/>
          <w:snapToGrid/>
          <w:sz w:val="22"/>
          <w:szCs w:val="22"/>
          <w:lang w:val="pt-BR"/>
        </w:rPr>
      </w:pPr>
      <w:bookmarkStart w:id="3" w:name="_Hlk111127778"/>
      <w:r w:rsidRPr="00F7132F">
        <w:rPr>
          <w:rFonts w:ascii="Verdana" w:eastAsiaTheme="minorHAnsi" w:hAnsi="Verdana" w:cstheme="minorHAnsi"/>
          <w:snapToGrid/>
          <w:sz w:val="22"/>
          <w:szCs w:val="22"/>
          <w:lang w:val="pt-BR"/>
        </w:rPr>
        <w:t>Os investimentos permanentes em controladas</w:t>
      </w:r>
      <w:r w:rsidR="00A2202A" w:rsidRPr="00F7132F">
        <w:rPr>
          <w:rFonts w:ascii="Verdana" w:eastAsiaTheme="minorHAnsi" w:hAnsi="Verdana" w:cstheme="minorHAnsi"/>
          <w:snapToGrid/>
          <w:sz w:val="22"/>
          <w:szCs w:val="22"/>
          <w:lang w:val="pt-BR"/>
        </w:rPr>
        <w:t>/coligadas</w:t>
      </w:r>
      <w:r w:rsidRPr="00F7132F">
        <w:rPr>
          <w:rFonts w:ascii="Verdana" w:eastAsiaTheme="minorHAnsi" w:hAnsi="Verdana" w:cstheme="minorHAnsi"/>
          <w:snapToGrid/>
          <w:sz w:val="22"/>
          <w:szCs w:val="22"/>
          <w:lang w:val="pt-BR"/>
        </w:rPr>
        <w:t xml:space="preserve"> são avaliad</w:t>
      </w:r>
      <w:bookmarkEnd w:id="3"/>
      <w:r w:rsidRPr="00F7132F">
        <w:rPr>
          <w:rFonts w:ascii="Verdana" w:eastAsiaTheme="minorHAnsi" w:hAnsi="Verdana" w:cstheme="minorHAnsi"/>
          <w:snapToGrid/>
          <w:sz w:val="22"/>
          <w:szCs w:val="22"/>
          <w:lang w:val="pt-BR"/>
        </w:rPr>
        <w:t>os pelo método de equivalência patrimonial e sua composição é a seguinte:</w:t>
      </w:r>
    </w:p>
    <w:p w14:paraId="065F0584" w14:textId="77777777" w:rsidR="003072B4" w:rsidRPr="00F7132F" w:rsidRDefault="003072B4" w:rsidP="004D3063">
      <w:pPr>
        <w:pStyle w:val="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after="160" w:line="240" w:lineRule="auto"/>
        <w:ind w:left="0"/>
        <w:rPr>
          <w:rFonts w:ascii="Verdana" w:eastAsiaTheme="minorHAnsi" w:hAnsi="Verdana" w:cstheme="minorHAnsi"/>
          <w:snapToGrid/>
          <w:sz w:val="22"/>
          <w:szCs w:val="22"/>
          <w:lang w:val="pt-BR"/>
        </w:rPr>
      </w:pPr>
    </w:p>
    <w:p w14:paraId="0EDA6589" w14:textId="77777777" w:rsidR="00FA15ED" w:rsidRPr="00F7132F" w:rsidRDefault="002F7DAD" w:rsidP="004D3063">
      <w:pPr>
        <w:autoSpaceDE w:val="0"/>
        <w:autoSpaceDN w:val="0"/>
        <w:adjustRightInd w:val="0"/>
        <w:spacing w:line="240" w:lineRule="auto"/>
        <w:jc w:val="both"/>
        <w:rPr>
          <w:rFonts w:ascii="Verdana" w:hAnsi="Verdana" w:cstheme="minorHAnsi"/>
          <w:b/>
          <w:bCs/>
        </w:rPr>
      </w:pPr>
      <w:r w:rsidRPr="00F7132F">
        <w:rPr>
          <w:rFonts w:ascii="Verdana" w:hAnsi="Verdana" w:cstheme="minorHAnsi"/>
          <w:b/>
          <w:bCs/>
        </w:rPr>
        <w:t>Eletronuclear</w:t>
      </w:r>
    </w:p>
    <w:p w14:paraId="6B75EB92" w14:textId="5706051C" w:rsidR="003072B4" w:rsidRDefault="001D6F60" w:rsidP="002F7DAD">
      <w:pPr>
        <w:spacing w:before="32"/>
        <w:ind w:right="75"/>
        <w:jc w:val="both"/>
        <w:rPr>
          <w:rFonts w:ascii="Verdana" w:hAnsi="Verdana"/>
          <w:snapToGrid w:val="0"/>
        </w:rPr>
      </w:pPr>
      <w:r w:rsidRPr="00116729">
        <w:rPr>
          <w:rFonts w:ascii="Verdana" w:hAnsi="Verdana"/>
          <w:snapToGrid w:val="0"/>
        </w:rPr>
        <w:t xml:space="preserve">Em </w:t>
      </w:r>
      <w:r w:rsidR="002A07AE" w:rsidRPr="00116729">
        <w:rPr>
          <w:rFonts w:ascii="Verdana" w:hAnsi="Verdana"/>
          <w:snapToGrid w:val="0"/>
        </w:rPr>
        <w:t>20</w:t>
      </w:r>
      <w:r w:rsidRPr="00116729">
        <w:rPr>
          <w:rFonts w:ascii="Verdana" w:hAnsi="Verdana"/>
          <w:snapToGrid w:val="0"/>
        </w:rPr>
        <w:t xml:space="preserve"> de </w:t>
      </w:r>
      <w:r w:rsidR="002A07AE" w:rsidRPr="00116729">
        <w:rPr>
          <w:rFonts w:ascii="Verdana" w:hAnsi="Verdana"/>
          <w:snapToGrid w:val="0"/>
        </w:rPr>
        <w:t>junho</w:t>
      </w:r>
      <w:r w:rsidRPr="00116729">
        <w:rPr>
          <w:rFonts w:ascii="Verdana" w:hAnsi="Verdana"/>
          <w:snapToGrid w:val="0"/>
        </w:rPr>
        <w:t xml:space="preserve"> de 20</w:t>
      </w:r>
      <w:r w:rsidR="002A07AE" w:rsidRPr="00116729">
        <w:rPr>
          <w:rFonts w:ascii="Verdana" w:hAnsi="Verdana"/>
          <w:snapToGrid w:val="0"/>
        </w:rPr>
        <w:t>22</w:t>
      </w:r>
      <w:r w:rsidRPr="00116729">
        <w:rPr>
          <w:rFonts w:ascii="Verdana" w:hAnsi="Verdana"/>
          <w:snapToGrid w:val="0"/>
        </w:rPr>
        <w:t xml:space="preserve">, a </w:t>
      </w:r>
      <w:r w:rsidR="002A07AE" w:rsidRPr="00116729">
        <w:rPr>
          <w:rFonts w:ascii="Verdana" w:hAnsi="Verdana"/>
          <w:snapToGrid w:val="0"/>
        </w:rPr>
        <w:t xml:space="preserve">transferência de </w:t>
      </w:r>
      <w:r w:rsidRPr="00116729">
        <w:rPr>
          <w:rFonts w:ascii="Verdana" w:hAnsi="Verdana"/>
          <w:snapToGrid w:val="0"/>
        </w:rPr>
        <w:t>controle</w:t>
      </w:r>
      <w:r w:rsidR="002A07AE" w:rsidRPr="00116729">
        <w:rPr>
          <w:rFonts w:ascii="Verdana" w:hAnsi="Verdana"/>
          <w:snapToGrid w:val="0"/>
        </w:rPr>
        <w:t xml:space="preserve"> da </w:t>
      </w:r>
      <w:r w:rsidR="002A07AE" w:rsidRPr="00116729">
        <w:rPr>
          <w:rFonts w:ascii="Verdana" w:hAnsi="Verdana" w:cstheme="minorHAnsi"/>
        </w:rPr>
        <w:t>Eletronuclear</w:t>
      </w:r>
      <w:r w:rsidRPr="00116729">
        <w:rPr>
          <w:rFonts w:ascii="Verdana" w:hAnsi="Verdana"/>
          <w:snapToGrid w:val="0"/>
        </w:rPr>
        <w:t xml:space="preserve"> </w:t>
      </w:r>
      <w:r w:rsidR="002A07AE" w:rsidRPr="00116729">
        <w:rPr>
          <w:rFonts w:ascii="Verdana" w:hAnsi="Verdana"/>
          <w:snapToGrid w:val="0"/>
        </w:rPr>
        <w:t>foi concluída com o</w:t>
      </w:r>
      <w:r w:rsidRPr="00116729">
        <w:rPr>
          <w:rFonts w:ascii="Verdana" w:hAnsi="Verdana"/>
          <w:snapToGrid w:val="0"/>
        </w:rPr>
        <w:t xml:space="preserve"> </w:t>
      </w:r>
      <w:r w:rsidR="00014731">
        <w:rPr>
          <w:rFonts w:ascii="Verdana" w:hAnsi="Verdana"/>
          <w:snapToGrid w:val="0"/>
        </w:rPr>
        <w:t>aporte de</w:t>
      </w:r>
      <w:r w:rsidR="002A07AE" w:rsidRPr="00116729">
        <w:rPr>
          <w:rFonts w:ascii="Verdana" w:hAnsi="Verdana"/>
          <w:snapToGrid w:val="0"/>
        </w:rPr>
        <w:t xml:space="preserve"> R$</w:t>
      </w:r>
      <w:r w:rsidR="000B3334">
        <w:rPr>
          <w:rFonts w:ascii="Verdana" w:hAnsi="Verdana"/>
          <w:snapToGrid w:val="0"/>
        </w:rPr>
        <w:t xml:space="preserve"> </w:t>
      </w:r>
      <w:r w:rsidR="002A07AE" w:rsidRPr="00116729">
        <w:rPr>
          <w:rFonts w:ascii="Verdana" w:hAnsi="Verdana"/>
          <w:snapToGrid w:val="0"/>
        </w:rPr>
        <w:t>3.500.000</w:t>
      </w:r>
      <w:r w:rsidR="00CA1A95" w:rsidRPr="00116729">
        <w:rPr>
          <w:rFonts w:ascii="Verdana" w:hAnsi="Verdana"/>
          <w:snapToGrid w:val="0"/>
        </w:rPr>
        <w:t xml:space="preserve"> </w:t>
      </w:r>
      <w:r w:rsidR="00014731">
        <w:rPr>
          <w:rFonts w:ascii="Verdana" w:hAnsi="Verdana"/>
          <w:snapToGrid w:val="0"/>
        </w:rPr>
        <w:t>direto na Eletronuclear</w:t>
      </w:r>
      <w:r w:rsidR="001D52AB" w:rsidRPr="00116729">
        <w:rPr>
          <w:rFonts w:ascii="Verdana" w:hAnsi="Verdana"/>
          <w:snapToGrid w:val="0"/>
        </w:rPr>
        <w:t>.</w:t>
      </w:r>
      <w:r w:rsidR="00CA1A95" w:rsidRPr="00116729">
        <w:rPr>
          <w:rFonts w:ascii="Verdana" w:hAnsi="Verdana"/>
          <w:snapToGrid w:val="0"/>
        </w:rPr>
        <w:t xml:space="preserve"> </w:t>
      </w:r>
      <w:r w:rsidR="001D52AB" w:rsidRPr="00116729">
        <w:rPr>
          <w:rFonts w:ascii="Verdana" w:hAnsi="Verdana"/>
          <w:snapToGrid w:val="0"/>
        </w:rPr>
        <w:t>C</w:t>
      </w:r>
      <w:r w:rsidR="00CA1A95" w:rsidRPr="00116729">
        <w:rPr>
          <w:rFonts w:ascii="Verdana" w:hAnsi="Verdana"/>
          <w:snapToGrid w:val="0"/>
        </w:rPr>
        <w:t>om isso</w:t>
      </w:r>
      <w:r w:rsidR="001D52AB" w:rsidRPr="00116729">
        <w:rPr>
          <w:rFonts w:ascii="Verdana" w:hAnsi="Verdana"/>
          <w:snapToGrid w:val="0"/>
        </w:rPr>
        <w:t>,</w:t>
      </w:r>
      <w:r w:rsidR="00CA1A95" w:rsidRPr="00116729">
        <w:rPr>
          <w:rFonts w:ascii="Verdana" w:hAnsi="Verdana"/>
          <w:snapToGrid w:val="0"/>
        </w:rPr>
        <w:t xml:space="preserve"> a </w:t>
      </w:r>
      <w:proofErr w:type="spellStart"/>
      <w:r w:rsidR="002A07AE" w:rsidRPr="00116729">
        <w:rPr>
          <w:rFonts w:ascii="Verdana" w:hAnsi="Verdana"/>
          <w:snapToGrid w:val="0"/>
        </w:rPr>
        <w:t>ENBPar</w:t>
      </w:r>
      <w:proofErr w:type="spellEnd"/>
      <w:r w:rsidR="002A07AE" w:rsidRPr="00116729">
        <w:rPr>
          <w:rFonts w:ascii="Verdana" w:hAnsi="Verdana"/>
          <w:snapToGrid w:val="0"/>
        </w:rPr>
        <w:t xml:space="preserve"> </w:t>
      </w:r>
      <w:r w:rsidR="00CA1A95" w:rsidRPr="00116729">
        <w:rPr>
          <w:rFonts w:ascii="Verdana" w:hAnsi="Verdana"/>
          <w:snapToGrid w:val="0"/>
        </w:rPr>
        <w:t xml:space="preserve">passou a deter </w:t>
      </w:r>
      <w:r w:rsidR="001D52AB" w:rsidRPr="00116729">
        <w:rPr>
          <w:rFonts w:ascii="Verdana" w:hAnsi="Verdana"/>
          <w:snapToGrid w:val="0"/>
        </w:rPr>
        <w:t xml:space="preserve">64,10% das ações ordinárias, o que corresponde a </w:t>
      </w:r>
      <w:r w:rsidR="00CA1A95" w:rsidRPr="00116729">
        <w:rPr>
          <w:rFonts w:ascii="Verdana" w:hAnsi="Verdana"/>
          <w:snapToGrid w:val="0"/>
        </w:rPr>
        <w:t>32,048% de participação societária na Eletronuclear.</w:t>
      </w:r>
      <w:r w:rsidR="001801EF">
        <w:rPr>
          <w:rFonts w:ascii="Verdana" w:hAnsi="Verdana"/>
          <w:snapToGrid w:val="0"/>
        </w:rPr>
        <w:t xml:space="preserve"> Abaixo está demonstrado a composição patrimonial da controlada no momento da aquisição do investimento:</w:t>
      </w:r>
    </w:p>
    <w:p w14:paraId="1CFED7EB" w14:textId="77777777" w:rsidR="003072B4" w:rsidRDefault="003072B4">
      <w:pPr>
        <w:rPr>
          <w:rFonts w:ascii="Verdana" w:hAnsi="Verdana"/>
          <w:snapToGrid w:val="0"/>
        </w:rPr>
      </w:pPr>
      <w:r>
        <w:rPr>
          <w:rFonts w:ascii="Verdana" w:hAnsi="Verdana"/>
          <w:snapToGrid w:val="0"/>
        </w:rPr>
        <w:br w:type="page"/>
      </w:r>
    </w:p>
    <w:tbl>
      <w:tblPr>
        <w:tblW w:w="9214" w:type="dxa"/>
        <w:tblCellMar>
          <w:left w:w="70" w:type="dxa"/>
          <w:right w:w="70" w:type="dxa"/>
        </w:tblCellMar>
        <w:tblLook w:val="04A0" w:firstRow="1" w:lastRow="0" w:firstColumn="1" w:lastColumn="0" w:noHBand="0" w:noVBand="1"/>
      </w:tblPr>
      <w:tblGrid>
        <w:gridCol w:w="7513"/>
        <w:gridCol w:w="1701"/>
      </w:tblGrid>
      <w:tr w:rsidR="001801EF" w:rsidRPr="001801EF" w14:paraId="66981C8F" w14:textId="77777777" w:rsidTr="001801EF">
        <w:trPr>
          <w:trHeight w:val="20"/>
        </w:trPr>
        <w:tc>
          <w:tcPr>
            <w:tcW w:w="7513" w:type="dxa"/>
            <w:tcBorders>
              <w:top w:val="nil"/>
              <w:left w:val="nil"/>
              <w:bottom w:val="nil"/>
              <w:right w:val="nil"/>
            </w:tcBorders>
            <w:shd w:val="clear" w:color="auto" w:fill="auto"/>
            <w:noWrap/>
            <w:vAlign w:val="bottom"/>
            <w:hideMark/>
          </w:tcPr>
          <w:p w14:paraId="65C98428" w14:textId="11824F3B" w:rsidR="001801EF" w:rsidRDefault="001801EF" w:rsidP="001801EF">
            <w:pPr>
              <w:spacing w:after="0" w:line="240" w:lineRule="auto"/>
              <w:rPr>
                <w:rFonts w:ascii="Verdana" w:eastAsia="Times New Roman" w:hAnsi="Verdana" w:cs="Calibri"/>
                <w:color w:val="000000"/>
                <w:sz w:val="18"/>
                <w:szCs w:val="18"/>
                <w:lang w:eastAsia="pt-BR"/>
              </w:rPr>
            </w:pPr>
            <w:r>
              <w:rPr>
                <w:rFonts w:ascii="Verdana" w:eastAsia="Times New Roman" w:hAnsi="Verdana" w:cs="Calibri"/>
                <w:color w:val="000000"/>
                <w:sz w:val="18"/>
                <w:szCs w:val="18"/>
                <w:lang w:eastAsia="pt-BR"/>
              </w:rPr>
              <w:lastRenderedPageBreak/>
              <w:t>Composição em junho de 2022:</w:t>
            </w:r>
          </w:p>
          <w:p w14:paraId="12F6490C" w14:textId="77777777" w:rsidR="001801EF" w:rsidRDefault="001801EF" w:rsidP="001801EF">
            <w:pPr>
              <w:spacing w:after="0" w:line="240" w:lineRule="auto"/>
              <w:rPr>
                <w:rFonts w:ascii="Verdana" w:eastAsia="Times New Roman" w:hAnsi="Verdana" w:cs="Calibri"/>
                <w:color w:val="000000"/>
                <w:sz w:val="18"/>
                <w:szCs w:val="18"/>
                <w:lang w:eastAsia="pt-BR"/>
              </w:rPr>
            </w:pPr>
          </w:p>
          <w:p w14:paraId="4B37CF53" w14:textId="069D90D2" w:rsidR="001801EF" w:rsidRPr="001801EF" w:rsidRDefault="001801EF" w:rsidP="001801EF">
            <w:pPr>
              <w:spacing w:after="0" w:line="240" w:lineRule="auto"/>
              <w:rPr>
                <w:rFonts w:ascii="Verdana" w:eastAsia="Times New Roman" w:hAnsi="Verdana" w:cs="Calibri"/>
                <w:color w:val="000000"/>
                <w:sz w:val="18"/>
                <w:szCs w:val="18"/>
                <w:lang w:eastAsia="pt-BR"/>
              </w:rPr>
            </w:pPr>
          </w:p>
        </w:tc>
        <w:tc>
          <w:tcPr>
            <w:tcW w:w="1701" w:type="dxa"/>
            <w:tcBorders>
              <w:top w:val="nil"/>
              <w:left w:val="nil"/>
              <w:bottom w:val="nil"/>
              <w:right w:val="nil"/>
            </w:tcBorders>
            <w:shd w:val="clear" w:color="auto" w:fill="auto"/>
            <w:noWrap/>
            <w:vAlign w:val="bottom"/>
            <w:hideMark/>
          </w:tcPr>
          <w:p w14:paraId="37197486" w14:textId="77777777" w:rsidR="001801EF" w:rsidRPr="001801EF" w:rsidRDefault="001801EF" w:rsidP="001801EF">
            <w:pPr>
              <w:spacing w:after="0" w:line="240" w:lineRule="auto"/>
              <w:rPr>
                <w:rFonts w:ascii="Verdana" w:eastAsia="Times New Roman" w:hAnsi="Verdana" w:cs="Calibri"/>
                <w:color w:val="000000"/>
                <w:sz w:val="18"/>
                <w:szCs w:val="18"/>
                <w:lang w:eastAsia="pt-BR"/>
              </w:rPr>
            </w:pPr>
          </w:p>
        </w:tc>
      </w:tr>
      <w:tr w:rsidR="001801EF" w:rsidRPr="001801EF" w14:paraId="5F2E7B71" w14:textId="77777777" w:rsidTr="001801EF">
        <w:trPr>
          <w:trHeight w:val="20"/>
        </w:trPr>
        <w:tc>
          <w:tcPr>
            <w:tcW w:w="7513" w:type="dxa"/>
            <w:tcBorders>
              <w:top w:val="nil"/>
              <w:left w:val="nil"/>
              <w:bottom w:val="nil"/>
              <w:right w:val="nil"/>
            </w:tcBorders>
            <w:shd w:val="clear" w:color="auto" w:fill="auto"/>
            <w:noWrap/>
            <w:vAlign w:val="bottom"/>
            <w:hideMark/>
          </w:tcPr>
          <w:p w14:paraId="748C78A8" w14:textId="77777777" w:rsidR="001801EF" w:rsidRPr="001801EF" w:rsidRDefault="001801EF" w:rsidP="001801EF">
            <w:pPr>
              <w:spacing w:after="0" w:line="240" w:lineRule="auto"/>
              <w:ind w:firstLineChars="200" w:firstLine="360"/>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Caixa</w:t>
            </w:r>
          </w:p>
        </w:tc>
        <w:tc>
          <w:tcPr>
            <w:tcW w:w="1701" w:type="dxa"/>
            <w:tcBorders>
              <w:top w:val="nil"/>
              <w:left w:val="nil"/>
              <w:bottom w:val="single" w:sz="4" w:space="0" w:color="auto"/>
              <w:right w:val="nil"/>
            </w:tcBorders>
            <w:shd w:val="clear" w:color="auto" w:fill="auto"/>
            <w:noWrap/>
            <w:vAlign w:val="bottom"/>
            <w:hideMark/>
          </w:tcPr>
          <w:p w14:paraId="4BFDB5A6" w14:textId="6DAB2C9C" w:rsidR="001801EF" w:rsidRPr="001801EF" w:rsidRDefault="001801EF" w:rsidP="001801EF">
            <w:pPr>
              <w:spacing w:after="0" w:line="240" w:lineRule="auto"/>
              <w:jc w:val="right"/>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3.500.000</w:t>
            </w:r>
          </w:p>
        </w:tc>
      </w:tr>
      <w:tr w:rsidR="001801EF" w:rsidRPr="001801EF" w14:paraId="4AFACC22" w14:textId="77777777" w:rsidTr="001801EF">
        <w:trPr>
          <w:trHeight w:val="20"/>
        </w:trPr>
        <w:tc>
          <w:tcPr>
            <w:tcW w:w="7513" w:type="dxa"/>
            <w:tcBorders>
              <w:top w:val="nil"/>
              <w:left w:val="nil"/>
              <w:bottom w:val="nil"/>
              <w:right w:val="nil"/>
            </w:tcBorders>
            <w:shd w:val="clear" w:color="auto" w:fill="auto"/>
            <w:noWrap/>
            <w:vAlign w:val="bottom"/>
            <w:hideMark/>
          </w:tcPr>
          <w:p w14:paraId="15428B99" w14:textId="77777777" w:rsidR="001801EF" w:rsidRPr="001801EF" w:rsidRDefault="001801EF" w:rsidP="001801EF">
            <w:pPr>
              <w:spacing w:after="0" w:line="240" w:lineRule="auto"/>
              <w:ind w:firstLineChars="100" w:firstLine="181"/>
              <w:rPr>
                <w:rFonts w:ascii="Verdana" w:eastAsia="Times New Roman" w:hAnsi="Verdana" w:cs="Calibri"/>
                <w:b/>
                <w:bCs/>
                <w:color w:val="000000"/>
                <w:sz w:val="18"/>
                <w:szCs w:val="18"/>
                <w:lang w:eastAsia="pt-BR"/>
              </w:rPr>
            </w:pPr>
            <w:r w:rsidRPr="001801EF">
              <w:rPr>
                <w:rFonts w:ascii="Verdana" w:eastAsia="Times New Roman" w:hAnsi="Verdana" w:cs="Calibri"/>
                <w:b/>
                <w:bCs/>
                <w:color w:val="000000"/>
                <w:sz w:val="18"/>
                <w:szCs w:val="18"/>
                <w:lang w:eastAsia="pt-BR"/>
              </w:rPr>
              <w:t>Total da contraprestação transferida</w:t>
            </w:r>
          </w:p>
        </w:tc>
        <w:tc>
          <w:tcPr>
            <w:tcW w:w="1701" w:type="dxa"/>
            <w:tcBorders>
              <w:top w:val="nil"/>
              <w:left w:val="nil"/>
              <w:bottom w:val="nil"/>
              <w:right w:val="nil"/>
            </w:tcBorders>
            <w:shd w:val="clear" w:color="auto" w:fill="auto"/>
            <w:noWrap/>
            <w:vAlign w:val="bottom"/>
            <w:hideMark/>
          </w:tcPr>
          <w:p w14:paraId="34F2357D" w14:textId="5FFC2DB3" w:rsidR="001801EF" w:rsidRPr="001801EF" w:rsidRDefault="001801EF" w:rsidP="001801EF">
            <w:pPr>
              <w:spacing w:after="0" w:line="240" w:lineRule="auto"/>
              <w:jc w:val="right"/>
              <w:rPr>
                <w:rFonts w:ascii="Verdana" w:eastAsia="Times New Roman" w:hAnsi="Verdana" w:cs="Calibri"/>
                <w:b/>
                <w:bCs/>
                <w:color w:val="000000"/>
                <w:sz w:val="18"/>
                <w:szCs w:val="18"/>
                <w:lang w:eastAsia="pt-BR"/>
              </w:rPr>
            </w:pPr>
            <w:r w:rsidRPr="001801EF">
              <w:rPr>
                <w:rFonts w:ascii="Verdana" w:eastAsia="Times New Roman" w:hAnsi="Verdana" w:cs="Calibri"/>
                <w:b/>
                <w:bCs/>
                <w:color w:val="000000"/>
                <w:sz w:val="18"/>
                <w:szCs w:val="18"/>
                <w:lang w:eastAsia="pt-BR"/>
              </w:rPr>
              <w:t>3.500.000</w:t>
            </w:r>
          </w:p>
        </w:tc>
      </w:tr>
      <w:tr w:rsidR="001801EF" w:rsidRPr="001801EF" w14:paraId="1DF71F7B" w14:textId="77777777" w:rsidTr="001801EF">
        <w:trPr>
          <w:trHeight w:val="20"/>
        </w:trPr>
        <w:tc>
          <w:tcPr>
            <w:tcW w:w="7513" w:type="dxa"/>
            <w:tcBorders>
              <w:top w:val="nil"/>
              <w:left w:val="nil"/>
              <w:bottom w:val="nil"/>
              <w:right w:val="nil"/>
            </w:tcBorders>
            <w:shd w:val="clear" w:color="auto" w:fill="auto"/>
            <w:noWrap/>
            <w:vAlign w:val="bottom"/>
            <w:hideMark/>
          </w:tcPr>
          <w:p w14:paraId="12761862" w14:textId="77777777" w:rsidR="001801EF" w:rsidRPr="001801EF" w:rsidRDefault="001801EF" w:rsidP="001801EF">
            <w:pPr>
              <w:spacing w:after="0" w:line="240" w:lineRule="auto"/>
              <w:rPr>
                <w:rFonts w:ascii="Verdana" w:eastAsia="Times New Roman" w:hAnsi="Verdana" w:cs="Calibri"/>
                <w:b/>
                <w:bCs/>
                <w:color w:val="000000"/>
                <w:sz w:val="18"/>
                <w:szCs w:val="18"/>
                <w:lang w:eastAsia="pt-BR"/>
              </w:rPr>
            </w:pPr>
          </w:p>
        </w:tc>
        <w:tc>
          <w:tcPr>
            <w:tcW w:w="1701" w:type="dxa"/>
            <w:tcBorders>
              <w:top w:val="nil"/>
              <w:left w:val="nil"/>
              <w:bottom w:val="nil"/>
              <w:right w:val="nil"/>
            </w:tcBorders>
            <w:shd w:val="clear" w:color="auto" w:fill="auto"/>
            <w:noWrap/>
            <w:vAlign w:val="bottom"/>
            <w:hideMark/>
          </w:tcPr>
          <w:p w14:paraId="57922DE2" w14:textId="77777777" w:rsidR="001801EF" w:rsidRPr="001801EF" w:rsidRDefault="001801EF" w:rsidP="001801EF">
            <w:pPr>
              <w:spacing w:after="0" w:line="240" w:lineRule="auto"/>
              <w:jc w:val="right"/>
              <w:rPr>
                <w:rFonts w:ascii="Times New Roman" w:eastAsia="Times New Roman" w:hAnsi="Times New Roman" w:cs="Times New Roman"/>
                <w:sz w:val="20"/>
                <w:szCs w:val="20"/>
                <w:lang w:eastAsia="pt-BR"/>
              </w:rPr>
            </w:pPr>
          </w:p>
        </w:tc>
      </w:tr>
      <w:tr w:rsidR="001801EF" w:rsidRPr="001801EF" w14:paraId="33B49FA5" w14:textId="77777777" w:rsidTr="001801EF">
        <w:trPr>
          <w:trHeight w:val="20"/>
        </w:trPr>
        <w:tc>
          <w:tcPr>
            <w:tcW w:w="7513" w:type="dxa"/>
            <w:tcBorders>
              <w:top w:val="nil"/>
              <w:left w:val="nil"/>
              <w:bottom w:val="nil"/>
              <w:right w:val="nil"/>
            </w:tcBorders>
            <w:shd w:val="clear" w:color="auto" w:fill="auto"/>
            <w:noWrap/>
            <w:vAlign w:val="bottom"/>
            <w:hideMark/>
          </w:tcPr>
          <w:p w14:paraId="2C7F6623" w14:textId="77777777" w:rsidR="001801EF" w:rsidRPr="001801EF" w:rsidRDefault="001801EF" w:rsidP="001801EF">
            <w:pPr>
              <w:spacing w:after="0" w:line="240" w:lineRule="auto"/>
              <w:ind w:firstLineChars="100" w:firstLine="180"/>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Valores reconhecidos de ativos identificáveis adquiridos e passivos assumidos</w:t>
            </w:r>
          </w:p>
        </w:tc>
        <w:tc>
          <w:tcPr>
            <w:tcW w:w="1701" w:type="dxa"/>
            <w:tcBorders>
              <w:top w:val="nil"/>
              <w:left w:val="nil"/>
              <w:bottom w:val="nil"/>
              <w:right w:val="nil"/>
            </w:tcBorders>
            <w:shd w:val="clear" w:color="auto" w:fill="auto"/>
            <w:noWrap/>
            <w:vAlign w:val="bottom"/>
            <w:hideMark/>
          </w:tcPr>
          <w:p w14:paraId="2E7E05E3" w14:textId="77777777" w:rsidR="001801EF" w:rsidRPr="001801EF" w:rsidRDefault="001801EF" w:rsidP="001801EF">
            <w:pPr>
              <w:spacing w:after="0" w:line="240" w:lineRule="auto"/>
              <w:ind w:firstLineChars="100" w:firstLine="180"/>
              <w:jc w:val="right"/>
              <w:rPr>
                <w:rFonts w:ascii="Verdana" w:eastAsia="Times New Roman" w:hAnsi="Verdana" w:cs="Calibri"/>
                <w:color w:val="000000"/>
                <w:sz w:val="18"/>
                <w:szCs w:val="18"/>
                <w:lang w:eastAsia="pt-BR"/>
              </w:rPr>
            </w:pPr>
          </w:p>
        </w:tc>
      </w:tr>
      <w:tr w:rsidR="001801EF" w:rsidRPr="001801EF" w14:paraId="75A61DBE" w14:textId="77777777" w:rsidTr="001801EF">
        <w:trPr>
          <w:trHeight w:val="20"/>
        </w:trPr>
        <w:tc>
          <w:tcPr>
            <w:tcW w:w="7513" w:type="dxa"/>
            <w:tcBorders>
              <w:top w:val="nil"/>
              <w:left w:val="nil"/>
              <w:bottom w:val="nil"/>
              <w:right w:val="nil"/>
            </w:tcBorders>
            <w:shd w:val="clear" w:color="auto" w:fill="auto"/>
            <w:noWrap/>
            <w:vAlign w:val="bottom"/>
            <w:hideMark/>
          </w:tcPr>
          <w:p w14:paraId="335D500A" w14:textId="77777777" w:rsidR="001801EF" w:rsidRPr="001801EF" w:rsidRDefault="001801EF" w:rsidP="001801EF">
            <w:pPr>
              <w:spacing w:after="0" w:line="240" w:lineRule="auto"/>
              <w:ind w:firstLineChars="200" w:firstLine="360"/>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Caixa e equivalente de caixa</w:t>
            </w:r>
          </w:p>
        </w:tc>
        <w:tc>
          <w:tcPr>
            <w:tcW w:w="1701" w:type="dxa"/>
            <w:tcBorders>
              <w:top w:val="nil"/>
              <w:left w:val="nil"/>
              <w:bottom w:val="nil"/>
              <w:right w:val="nil"/>
            </w:tcBorders>
            <w:shd w:val="clear" w:color="auto" w:fill="auto"/>
            <w:noWrap/>
            <w:vAlign w:val="bottom"/>
            <w:hideMark/>
          </w:tcPr>
          <w:p w14:paraId="1DD453F8" w14:textId="7BEB64CB" w:rsidR="001801EF" w:rsidRPr="001801EF" w:rsidRDefault="001801EF" w:rsidP="001801EF">
            <w:pPr>
              <w:spacing w:after="0" w:line="240" w:lineRule="auto"/>
              <w:jc w:val="right"/>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7.852</w:t>
            </w:r>
          </w:p>
        </w:tc>
      </w:tr>
      <w:tr w:rsidR="001801EF" w:rsidRPr="001801EF" w14:paraId="46826653" w14:textId="77777777" w:rsidTr="001801EF">
        <w:trPr>
          <w:trHeight w:val="20"/>
        </w:trPr>
        <w:tc>
          <w:tcPr>
            <w:tcW w:w="7513" w:type="dxa"/>
            <w:tcBorders>
              <w:top w:val="nil"/>
              <w:left w:val="nil"/>
              <w:bottom w:val="nil"/>
              <w:right w:val="nil"/>
            </w:tcBorders>
            <w:shd w:val="clear" w:color="auto" w:fill="auto"/>
            <w:noWrap/>
            <w:vAlign w:val="bottom"/>
            <w:hideMark/>
          </w:tcPr>
          <w:p w14:paraId="00CFFB43" w14:textId="77777777" w:rsidR="001801EF" w:rsidRPr="001801EF" w:rsidRDefault="001801EF" w:rsidP="001801EF">
            <w:pPr>
              <w:spacing w:after="0" w:line="240" w:lineRule="auto"/>
              <w:ind w:firstLineChars="200" w:firstLine="360"/>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Títulos e valores mobiliários</w:t>
            </w:r>
          </w:p>
        </w:tc>
        <w:tc>
          <w:tcPr>
            <w:tcW w:w="1701" w:type="dxa"/>
            <w:tcBorders>
              <w:top w:val="nil"/>
              <w:left w:val="nil"/>
              <w:bottom w:val="nil"/>
              <w:right w:val="nil"/>
            </w:tcBorders>
            <w:shd w:val="clear" w:color="auto" w:fill="auto"/>
            <w:noWrap/>
            <w:vAlign w:val="bottom"/>
            <w:hideMark/>
          </w:tcPr>
          <w:p w14:paraId="45E6E8EB" w14:textId="6BC316A2" w:rsidR="001801EF" w:rsidRPr="001801EF" w:rsidRDefault="001801EF" w:rsidP="001801EF">
            <w:pPr>
              <w:spacing w:after="0" w:line="240" w:lineRule="auto"/>
              <w:jc w:val="right"/>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2.475.771</w:t>
            </w:r>
          </w:p>
        </w:tc>
      </w:tr>
      <w:tr w:rsidR="001801EF" w:rsidRPr="001801EF" w14:paraId="452D4669" w14:textId="77777777" w:rsidTr="001801EF">
        <w:trPr>
          <w:trHeight w:val="20"/>
        </w:trPr>
        <w:tc>
          <w:tcPr>
            <w:tcW w:w="7513" w:type="dxa"/>
            <w:tcBorders>
              <w:top w:val="nil"/>
              <w:left w:val="nil"/>
              <w:bottom w:val="nil"/>
              <w:right w:val="nil"/>
            </w:tcBorders>
            <w:shd w:val="clear" w:color="auto" w:fill="auto"/>
            <w:noWrap/>
            <w:vAlign w:val="bottom"/>
            <w:hideMark/>
          </w:tcPr>
          <w:p w14:paraId="139C5320" w14:textId="77777777" w:rsidR="001801EF" w:rsidRPr="001801EF" w:rsidRDefault="001801EF" w:rsidP="001801EF">
            <w:pPr>
              <w:spacing w:after="0" w:line="240" w:lineRule="auto"/>
              <w:ind w:firstLineChars="200" w:firstLine="360"/>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Clientes</w:t>
            </w:r>
          </w:p>
        </w:tc>
        <w:tc>
          <w:tcPr>
            <w:tcW w:w="1701" w:type="dxa"/>
            <w:tcBorders>
              <w:top w:val="nil"/>
              <w:left w:val="nil"/>
              <w:bottom w:val="nil"/>
              <w:right w:val="nil"/>
            </w:tcBorders>
            <w:shd w:val="clear" w:color="auto" w:fill="auto"/>
            <w:noWrap/>
            <w:vAlign w:val="bottom"/>
            <w:hideMark/>
          </w:tcPr>
          <w:p w14:paraId="6F2DA559" w14:textId="7555166F" w:rsidR="001801EF" w:rsidRPr="001801EF" w:rsidRDefault="001801EF" w:rsidP="001801EF">
            <w:pPr>
              <w:spacing w:after="0" w:line="240" w:lineRule="auto"/>
              <w:jc w:val="right"/>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422.399</w:t>
            </w:r>
          </w:p>
        </w:tc>
      </w:tr>
      <w:tr w:rsidR="001801EF" w:rsidRPr="001801EF" w14:paraId="4064F662" w14:textId="77777777" w:rsidTr="001801EF">
        <w:trPr>
          <w:trHeight w:val="20"/>
        </w:trPr>
        <w:tc>
          <w:tcPr>
            <w:tcW w:w="7513" w:type="dxa"/>
            <w:tcBorders>
              <w:top w:val="nil"/>
              <w:left w:val="nil"/>
              <w:bottom w:val="nil"/>
              <w:right w:val="nil"/>
            </w:tcBorders>
            <w:shd w:val="clear" w:color="auto" w:fill="auto"/>
            <w:noWrap/>
            <w:vAlign w:val="bottom"/>
            <w:hideMark/>
          </w:tcPr>
          <w:p w14:paraId="74F30661" w14:textId="77777777" w:rsidR="001801EF" w:rsidRPr="001801EF" w:rsidRDefault="001801EF" w:rsidP="001801EF">
            <w:pPr>
              <w:spacing w:after="0" w:line="240" w:lineRule="auto"/>
              <w:ind w:firstLineChars="200" w:firstLine="360"/>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Estoque de combustível nuclear</w:t>
            </w:r>
          </w:p>
        </w:tc>
        <w:tc>
          <w:tcPr>
            <w:tcW w:w="1701" w:type="dxa"/>
            <w:tcBorders>
              <w:top w:val="nil"/>
              <w:left w:val="nil"/>
              <w:bottom w:val="nil"/>
              <w:right w:val="nil"/>
            </w:tcBorders>
            <w:shd w:val="clear" w:color="auto" w:fill="auto"/>
            <w:noWrap/>
            <w:vAlign w:val="bottom"/>
            <w:hideMark/>
          </w:tcPr>
          <w:p w14:paraId="2A48A815" w14:textId="3923533D" w:rsidR="001801EF" w:rsidRPr="001801EF" w:rsidRDefault="001801EF" w:rsidP="001801EF">
            <w:pPr>
              <w:spacing w:after="0" w:line="240" w:lineRule="auto"/>
              <w:jc w:val="right"/>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1.837.333</w:t>
            </w:r>
          </w:p>
        </w:tc>
      </w:tr>
      <w:tr w:rsidR="001801EF" w:rsidRPr="001801EF" w14:paraId="5DECB2C9" w14:textId="77777777" w:rsidTr="001801EF">
        <w:trPr>
          <w:trHeight w:val="20"/>
        </w:trPr>
        <w:tc>
          <w:tcPr>
            <w:tcW w:w="7513" w:type="dxa"/>
            <w:tcBorders>
              <w:top w:val="nil"/>
              <w:left w:val="nil"/>
              <w:bottom w:val="nil"/>
              <w:right w:val="nil"/>
            </w:tcBorders>
            <w:shd w:val="clear" w:color="auto" w:fill="auto"/>
            <w:noWrap/>
            <w:vAlign w:val="bottom"/>
            <w:hideMark/>
          </w:tcPr>
          <w:p w14:paraId="7C4CF5C0" w14:textId="77777777" w:rsidR="001801EF" w:rsidRPr="001801EF" w:rsidRDefault="001801EF" w:rsidP="001801EF">
            <w:pPr>
              <w:spacing w:after="0" w:line="240" w:lineRule="auto"/>
              <w:ind w:firstLineChars="200" w:firstLine="360"/>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Almoxarifado</w:t>
            </w:r>
          </w:p>
        </w:tc>
        <w:tc>
          <w:tcPr>
            <w:tcW w:w="1701" w:type="dxa"/>
            <w:tcBorders>
              <w:top w:val="nil"/>
              <w:left w:val="nil"/>
              <w:bottom w:val="nil"/>
              <w:right w:val="nil"/>
            </w:tcBorders>
            <w:shd w:val="clear" w:color="auto" w:fill="auto"/>
            <w:noWrap/>
            <w:vAlign w:val="bottom"/>
            <w:hideMark/>
          </w:tcPr>
          <w:p w14:paraId="2F7CB306" w14:textId="4CEEA943" w:rsidR="001801EF" w:rsidRPr="001801EF" w:rsidRDefault="001801EF" w:rsidP="001801EF">
            <w:pPr>
              <w:spacing w:after="0" w:line="240" w:lineRule="auto"/>
              <w:jc w:val="right"/>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302.191</w:t>
            </w:r>
          </w:p>
        </w:tc>
      </w:tr>
      <w:tr w:rsidR="001801EF" w:rsidRPr="001801EF" w14:paraId="71EB6FF3" w14:textId="77777777" w:rsidTr="001801EF">
        <w:trPr>
          <w:trHeight w:val="20"/>
        </w:trPr>
        <w:tc>
          <w:tcPr>
            <w:tcW w:w="7513" w:type="dxa"/>
            <w:tcBorders>
              <w:top w:val="nil"/>
              <w:left w:val="nil"/>
              <w:bottom w:val="nil"/>
              <w:right w:val="nil"/>
            </w:tcBorders>
            <w:shd w:val="clear" w:color="auto" w:fill="auto"/>
            <w:noWrap/>
            <w:vAlign w:val="bottom"/>
            <w:hideMark/>
          </w:tcPr>
          <w:p w14:paraId="5C93BF68" w14:textId="77777777" w:rsidR="001801EF" w:rsidRPr="001801EF" w:rsidRDefault="001801EF" w:rsidP="001801EF">
            <w:pPr>
              <w:spacing w:after="0" w:line="240" w:lineRule="auto"/>
              <w:ind w:firstLineChars="200" w:firstLine="360"/>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Ativo Imobilizado</w:t>
            </w:r>
          </w:p>
        </w:tc>
        <w:tc>
          <w:tcPr>
            <w:tcW w:w="1701" w:type="dxa"/>
            <w:tcBorders>
              <w:top w:val="nil"/>
              <w:left w:val="nil"/>
              <w:bottom w:val="nil"/>
              <w:right w:val="nil"/>
            </w:tcBorders>
            <w:shd w:val="clear" w:color="auto" w:fill="auto"/>
            <w:noWrap/>
            <w:vAlign w:val="bottom"/>
            <w:hideMark/>
          </w:tcPr>
          <w:p w14:paraId="2B22D252" w14:textId="68C9DDB9" w:rsidR="001801EF" w:rsidRPr="001801EF" w:rsidRDefault="001801EF" w:rsidP="001801EF">
            <w:pPr>
              <w:spacing w:after="0" w:line="240" w:lineRule="auto"/>
              <w:jc w:val="right"/>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13.882.418</w:t>
            </w:r>
          </w:p>
        </w:tc>
      </w:tr>
      <w:tr w:rsidR="001801EF" w:rsidRPr="001801EF" w14:paraId="4B5FBDFA" w14:textId="77777777" w:rsidTr="001801EF">
        <w:trPr>
          <w:trHeight w:val="20"/>
        </w:trPr>
        <w:tc>
          <w:tcPr>
            <w:tcW w:w="7513" w:type="dxa"/>
            <w:tcBorders>
              <w:top w:val="nil"/>
              <w:left w:val="nil"/>
              <w:bottom w:val="nil"/>
              <w:right w:val="nil"/>
            </w:tcBorders>
            <w:shd w:val="clear" w:color="auto" w:fill="auto"/>
            <w:noWrap/>
            <w:vAlign w:val="bottom"/>
            <w:hideMark/>
          </w:tcPr>
          <w:p w14:paraId="7032A726" w14:textId="77777777" w:rsidR="001801EF" w:rsidRPr="001801EF" w:rsidRDefault="001801EF" w:rsidP="001801EF">
            <w:pPr>
              <w:spacing w:after="0" w:line="240" w:lineRule="auto"/>
              <w:ind w:firstLineChars="200" w:firstLine="360"/>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Fornecedores</w:t>
            </w:r>
          </w:p>
        </w:tc>
        <w:tc>
          <w:tcPr>
            <w:tcW w:w="1701" w:type="dxa"/>
            <w:tcBorders>
              <w:top w:val="nil"/>
              <w:left w:val="nil"/>
              <w:bottom w:val="nil"/>
              <w:right w:val="nil"/>
            </w:tcBorders>
            <w:shd w:val="clear" w:color="auto" w:fill="auto"/>
            <w:noWrap/>
            <w:vAlign w:val="bottom"/>
            <w:hideMark/>
          </w:tcPr>
          <w:p w14:paraId="62434FF8" w14:textId="329B49CA" w:rsidR="001801EF" w:rsidRPr="001801EF" w:rsidRDefault="001801EF" w:rsidP="001801EF">
            <w:pPr>
              <w:spacing w:after="0" w:line="240" w:lineRule="auto"/>
              <w:jc w:val="right"/>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(905.085)</w:t>
            </w:r>
          </w:p>
        </w:tc>
      </w:tr>
      <w:tr w:rsidR="001801EF" w:rsidRPr="001801EF" w14:paraId="46F8F954" w14:textId="77777777" w:rsidTr="001801EF">
        <w:trPr>
          <w:trHeight w:val="20"/>
        </w:trPr>
        <w:tc>
          <w:tcPr>
            <w:tcW w:w="7513" w:type="dxa"/>
            <w:tcBorders>
              <w:top w:val="nil"/>
              <w:left w:val="nil"/>
              <w:bottom w:val="nil"/>
              <w:right w:val="nil"/>
            </w:tcBorders>
            <w:shd w:val="clear" w:color="auto" w:fill="auto"/>
            <w:noWrap/>
            <w:vAlign w:val="bottom"/>
            <w:hideMark/>
          </w:tcPr>
          <w:p w14:paraId="3307F457" w14:textId="77777777" w:rsidR="001801EF" w:rsidRPr="001801EF" w:rsidRDefault="001801EF" w:rsidP="001801EF">
            <w:pPr>
              <w:spacing w:after="0" w:line="240" w:lineRule="auto"/>
              <w:ind w:firstLineChars="200" w:firstLine="360"/>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 xml:space="preserve">Empréstimos e financiamentos </w:t>
            </w:r>
          </w:p>
        </w:tc>
        <w:tc>
          <w:tcPr>
            <w:tcW w:w="1701" w:type="dxa"/>
            <w:tcBorders>
              <w:top w:val="nil"/>
              <w:left w:val="nil"/>
              <w:bottom w:val="nil"/>
              <w:right w:val="nil"/>
            </w:tcBorders>
            <w:shd w:val="clear" w:color="auto" w:fill="auto"/>
            <w:noWrap/>
            <w:vAlign w:val="bottom"/>
            <w:hideMark/>
          </w:tcPr>
          <w:p w14:paraId="5335833F" w14:textId="71A50959" w:rsidR="001801EF" w:rsidRPr="001801EF" w:rsidRDefault="001801EF" w:rsidP="001801EF">
            <w:pPr>
              <w:spacing w:after="0" w:line="240" w:lineRule="auto"/>
              <w:jc w:val="right"/>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(7.202.244)</w:t>
            </w:r>
          </w:p>
        </w:tc>
      </w:tr>
      <w:tr w:rsidR="001801EF" w:rsidRPr="001801EF" w14:paraId="7C97A41A" w14:textId="77777777" w:rsidTr="001801EF">
        <w:trPr>
          <w:trHeight w:val="20"/>
        </w:trPr>
        <w:tc>
          <w:tcPr>
            <w:tcW w:w="7513" w:type="dxa"/>
            <w:tcBorders>
              <w:top w:val="nil"/>
              <w:left w:val="nil"/>
              <w:bottom w:val="nil"/>
              <w:right w:val="nil"/>
            </w:tcBorders>
            <w:shd w:val="clear" w:color="auto" w:fill="auto"/>
            <w:noWrap/>
            <w:vAlign w:val="bottom"/>
            <w:hideMark/>
          </w:tcPr>
          <w:p w14:paraId="5881E581" w14:textId="77777777" w:rsidR="001801EF" w:rsidRPr="001801EF" w:rsidRDefault="001801EF" w:rsidP="001801EF">
            <w:pPr>
              <w:spacing w:after="0" w:line="240" w:lineRule="auto"/>
              <w:ind w:firstLineChars="200" w:firstLine="360"/>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Passivos Contingentes</w:t>
            </w:r>
          </w:p>
        </w:tc>
        <w:tc>
          <w:tcPr>
            <w:tcW w:w="1701" w:type="dxa"/>
            <w:tcBorders>
              <w:top w:val="nil"/>
              <w:left w:val="nil"/>
              <w:bottom w:val="nil"/>
              <w:right w:val="nil"/>
            </w:tcBorders>
            <w:shd w:val="clear" w:color="auto" w:fill="auto"/>
            <w:noWrap/>
            <w:vAlign w:val="bottom"/>
            <w:hideMark/>
          </w:tcPr>
          <w:p w14:paraId="0A4E657A" w14:textId="70B4D6A5" w:rsidR="001801EF" w:rsidRPr="001801EF" w:rsidRDefault="001801EF" w:rsidP="001801EF">
            <w:pPr>
              <w:spacing w:after="0" w:line="240" w:lineRule="auto"/>
              <w:jc w:val="right"/>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(149.346)</w:t>
            </w:r>
          </w:p>
        </w:tc>
      </w:tr>
      <w:tr w:rsidR="001801EF" w:rsidRPr="001801EF" w14:paraId="41B863CE" w14:textId="77777777" w:rsidTr="001801EF">
        <w:trPr>
          <w:trHeight w:val="20"/>
        </w:trPr>
        <w:tc>
          <w:tcPr>
            <w:tcW w:w="7513" w:type="dxa"/>
            <w:tcBorders>
              <w:top w:val="nil"/>
              <w:left w:val="nil"/>
              <w:bottom w:val="nil"/>
              <w:right w:val="nil"/>
            </w:tcBorders>
            <w:shd w:val="clear" w:color="auto" w:fill="auto"/>
            <w:noWrap/>
            <w:vAlign w:val="bottom"/>
            <w:hideMark/>
          </w:tcPr>
          <w:p w14:paraId="607F6EC8" w14:textId="77777777" w:rsidR="001801EF" w:rsidRPr="001801EF" w:rsidRDefault="001801EF" w:rsidP="001801EF">
            <w:pPr>
              <w:spacing w:after="0" w:line="240" w:lineRule="auto"/>
              <w:ind w:firstLineChars="200" w:firstLine="360"/>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Benefício pós-emprego</w:t>
            </w:r>
          </w:p>
        </w:tc>
        <w:tc>
          <w:tcPr>
            <w:tcW w:w="1701" w:type="dxa"/>
            <w:tcBorders>
              <w:top w:val="nil"/>
              <w:left w:val="nil"/>
              <w:bottom w:val="nil"/>
              <w:right w:val="nil"/>
            </w:tcBorders>
            <w:shd w:val="clear" w:color="auto" w:fill="auto"/>
            <w:noWrap/>
            <w:vAlign w:val="bottom"/>
            <w:hideMark/>
          </w:tcPr>
          <w:p w14:paraId="13C9D9E2" w14:textId="792749A7" w:rsidR="001801EF" w:rsidRPr="001801EF" w:rsidRDefault="001801EF" w:rsidP="001801EF">
            <w:pPr>
              <w:spacing w:after="0" w:line="240" w:lineRule="auto"/>
              <w:jc w:val="right"/>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(927.220)</w:t>
            </w:r>
          </w:p>
        </w:tc>
      </w:tr>
      <w:tr w:rsidR="001801EF" w:rsidRPr="001801EF" w14:paraId="30DF44FD" w14:textId="77777777" w:rsidTr="001801EF">
        <w:trPr>
          <w:trHeight w:val="20"/>
        </w:trPr>
        <w:tc>
          <w:tcPr>
            <w:tcW w:w="7513" w:type="dxa"/>
            <w:tcBorders>
              <w:top w:val="nil"/>
              <w:left w:val="nil"/>
              <w:bottom w:val="nil"/>
              <w:right w:val="nil"/>
            </w:tcBorders>
            <w:shd w:val="clear" w:color="auto" w:fill="auto"/>
            <w:noWrap/>
            <w:vAlign w:val="bottom"/>
            <w:hideMark/>
          </w:tcPr>
          <w:p w14:paraId="59D9B239" w14:textId="77777777" w:rsidR="001801EF" w:rsidRPr="001801EF" w:rsidRDefault="001801EF" w:rsidP="001801EF">
            <w:pPr>
              <w:spacing w:after="0" w:line="240" w:lineRule="auto"/>
              <w:ind w:firstLineChars="200" w:firstLine="360"/>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Outros passivos</w:t>
            </w:r>
          </w:p>
        </w:tc>
        <w:tc>
          <w:tcPr>
            <w:tcW w:w="1701" w:type="dxa"/>
            <w:tcBorders>
              <w:top w:val="nil"/>
              <w:left w:val="nil"/>
              <w:bottom w:val="single" w:sz="4" w:space="0" w:color="auto"/>
              <w:right w:val="nil"/>
            </w:tcBorders>
            <w:shd w:val="clear" w:color="auto" w:fill="auto"/>
            <w:noWrap/>
            <w:vAlign w:val="bottom"/>
            <w:hideMark/>
          </w:tcPr>
          <w:p w14:paraId="0F970D20" w14:textId="79EBD737" w:rsidR="001801EF" w:rsidRPr="001801EF" w:rsidRDefault="001801EF" w:rsidP="001801EF">
            <w:pPr>
              <w:spacing w:after="0" w:line="240" w:lineRule="auto"/>
              <w:jc w:val="right"/>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(48.068)</w:t>
            </w:r>
          </w:p>
        </w:tc>
      </w:tr>
      <w:tr w:rsidR="001801EF" w:rsidRPr="001801EF" w14:paraId="5B1186FC" w14:textId="77777777" w:rsidTr="001801EF">
        <w:trPr>
          <w:trHeight w:val="20"/>
        </w:trPr>
        <w:tc>
          <w:tcPr>
            <w:tcW w:w="7513" w:type="dxa"/>
            <w:tcBorders>
              <w:top w:val="nil"/>
              <w:left w:val="nil"/>
              <w:bottom w:val="nil"/>
              <w:right w:val="nil"/>
            </w:tcBorders>
            <w:shd w:val="clear" w:color="auto" w:fill="auto"/>
            <w:noWrap/>
            <w:vAlign w:val="bottom"/>
            <w:hideMark/>
          </w:tcPr>
          <w:p w14:paraId="006678E1" w14:textId="77777777" w:rsidR="001801EF" w:rsidRPr="001801EF" w:rsidRDefault="001801EF" w:rsidP="001801EF">
            <w:pPr>
              <w:spacing w:after="0" w:line="240" w:lineRule="auto"/>
              <w:ind w:firstLineChars="100" w:firstLine="181"/>
              <w:rPr>
                <w:rFonts w:ascii="Verdana" w:eastAsia="Times New Roman" w:hAnsi="Verdana" w:cs="Calibri"/>
                <w:b/>
                <w:bCs/>
                <w:color w:val="000000"/>
                <w:sz w:val="18"/>
                <w:szCs w:val="18"/>
                <w:lang w:eastAsia="pt-BR"/>
              </w:rPr>
            </w:pPr>
            <w:r w:rsidRPr="001801EF">
              <w:rPr>
                <w:rFonts w:ascii="Verdana" w:eastAsia="Times New Roman" w:hAnsi="Verdana" w:cs="Calibri"/>
                <w:b/>
                <w:bCs/>
                <w:color w:val="000000"/>
                <w:sz w:val="18"/>
                <w:szCs w:val="18"/>
                <w:lang w:eastAsia="pt-BR"/>
              </w:rPr>
              <w:t xml:space="preserve">Total dos ativos </w:t>
            </w:r>
            <w:proofErr w:type="spellStart"/>
            <w:r w:rsidRPr="001801EF">
              <w:rPr>
                <w:rFonts w:ascii="Verdana" w:eastAsia="Times New Roman" w:hAnsi="Verdana" w:cs="Calibri"/>
                <w:b/>
                <w:bCs/>
                <w:color w:val="000000"/>
                <w:sz w:val="18"/>
                <w:szCs w:val="18"/>
                <w:lang w:eastAsia="pt-BR"/>
              </w:rPr>
              <w:t>liquidos</w:t>
            </w:r>
            <w:proofErr w:type="spellEnd"/>
            <w:r w:rsidRPr="001801EF">
              <w:rPr>
                <w:rFonts w:ascii="Verdana" w:eastAsia="Times New Roman" w:hAnsi="Verdana" w:cs="Calibri"/>
                <w:b/>
                <w:bCs/>
                <w:color w:val="000000"/>
                <w:sz w:val="18"/>
                <w:szCs w:val="18"/>
                <w:lang w:eastAsia="pt-BR"/>
              </w:rPr>
              <w:t xml:space="preserve"> identificáveis</w:t>
            </w:r>
          </w:p>
        </w:tc>
        <w:tc>
          <w:tcPr>
            <w:tcW w:w="1701" w:type="dxa"/>
            <w:tcBorders>
              <w:top w:val="nil"/>
              <w:left w:val="nil"/>
              <w:bottom w:val="nil"/>
              <w:right w:val="nil"/>
            </w:tcBorders>
            <w:shd w:val="clear" w:color="auto" w:fill="auto"/>
            <w:noWrap/>
            <w:vAlign w:val="bottom"/>
            <w:hideMark/>
          </w:tcPr>
          <w:p w14:paraId="7637F07B" w14:textId="654B8140" w:rsidR="001801EF" w:rsidRPr="001801EF" w:rsidRDefault="001801EF" w:rsidP="001801EF">
            <w:pPr>
              <w:spacing w:after="0" w:line="240" w:lineRule="auto"/>
              <w:jc w:val="right"/>
              <w:rPr>
                <w:rFonts w:ascii="Verdana" w:eastAsia="Times New Roman" w:hAnsi="Verdana" w:cs="Calibri"/>
                <w:b/>
                <w:bCs/>
                <w:color w:val="000000"/>
                <w:sz w:val="18"/>
                <w:szCs w:val="18"/>
                <w:lang w:eastAsia="pt-BR"/>
              </w:rPr>
            </w:pPr>
            <w:r w:rsidRPr="001801EF">
              <w:rPr>
                <w:rFonts w:ascii="Verdana" w:eastAsia="Times New Roman" w:hAnsi="Verdana" w:cs="Calibri"/>
                <w:b/>
                <w:bCs/>
                <w:color w:val="000000"/>
                <w:sz w:val="18"/>
                <w:szCs w:val="18"/>
                <w:lang w:eastAsia="pt-BR"/>
              </w:rPr>
              <w:t>9.696.001</w:t>
            </w:r>
          </w:p>
        </w:tc>
      </w:tr>
      <w:tr w:rsidR="001801EF" w:rsidRPr="001801EF" w14:paraId="1377285D" w14:textId="77777777" w:rsidTr="001801EF">
        <w:trPr>
          <w:trHeight w:val="20"/>
        </w:trPr>
        <w:tc>
          <w:tcPr>
            <w:tcW w:w="7513" w:type="dxa"/>
            <w:tcBorders>
              <w:top w:val="nil"/>
              <w:left w:val="nil"/>
              <w:bottom w:val="nil"/>
              <w:right w:val="nil"/>
            </w:tcBorders>
            <w:shd w:val="clear" w:color="auto" w:fill="auto"/>
            <w:noWrap/>
            <w:vAlign w:val="bottom"/>
            <w:hideMark/>
          </w:tcPr>
          <w:p w14:paraId="4A7453C7" w14:textId="77777777" w:rsidR="001801EF" w:rsidRPr="001801EF" w:rsidRDefault="001801EF" w:rsidP="001801EF">
            <w:pPr>
              <w:spacing w:after="0" w:line="240" w:lineRule="auto"/>
              <w:rPr>
                <w:rFonts w:ascii="Verdana" w:eastAsia="Times New Roman" w:hAnsi="Verdana" w:cs="Calibri"/>
                <w:b/>
                <w:bCs/>
                <w:color w:val="000000"/>
                <w:sz w:val="18"/>
                <w:szCs w:val="18"/>
                <w:lang w:eastAsia="pt-BR"/>
              </w:rPr>
            </w:pPr>
          </w:p>
        </w:tc>
        <w:tc>
          <w:tcPr>
            <w:tcW w:w="1701" w:type="dxa"/>
            <w:tcBorders>
              <w:top w:val="nil"/>
              <w:left w:val="nil"/>
              <w:bottom w:val="nil"/>
              <w:right w:val="nil"/>
            </w:tcBorders>
            <w:shd w:val="clear" w:color="auto" w:fill="auto"/>
            <w:noWrap/>
            <w:vAlign w:val="bottom"/>
            <w:hideMark/>
          </w:tcPr>
          <w:p w14:paraId="6BBED826" w14:textId="77777777" w:rsidR="001801EF" w:rsidRPr="001801EF" w:rsidRDefault="001801EF" w:rsidP="001801EF">
            <w:pPr>
              <w:spacing w:after="0" w:line="240" w:lineRule="auto"/>
              <w:jc w:val="right"/>
              <w:rPr>
                <w:rFonts w:ascii="Times New Roman" w:eastAsia="Times New Roman" w:hAnsi="Times New Roman" w:cs="Times New Roman"/>
                <w:sz w:val="20"/>
                <w:szCs w:val="20"/>
                <w:lang w:eastAsia="pt-BR"/>
              </w:rPr>
            </w:pPr>
          </w:p>
        </w:tc>
      </w:tr>
      <w:tr w:rsidR="001801EF" w:rsidRPr="001801EF" w14:paraId="2DB02312" w14:textId="77777777" w:rsidTr="001801EF">
        <w:trPr>
          <w:trHeight w:val="20"/>
        </w:trPr>
        <w:tc>
          <w:tcPr>
            <w:tcW w:w="7513" w:type="dxa"/>
            <w:tcBorders>
              <w:top w:val="nil"/>
              <w:left w:val="nil"/>
              <w:bottom w:val="nil"/>
              <w:right w:val="nil"/>
            </w:tcBorders>
            <w:shd w:val="clear" w:color="auto" w:fill="auto"/>
            <w:noWrap/>
            <w:vAlign w:val="bottom"/>
            <w:hideMark/>
          </w:tcPr>
          <w:p w14:paraId="5D542351" w14:textId="77777777" w:rsidR="001801EF" w:rsidRPr="001801EF" w:rsidRDefault="001801EF" w:rsidP="001801EF">
            <w:pPr>
              <w:spacing w:after="0" w:line="240" w:lineRule="auto"/>
              <w:ind w:firstLineChars="100" w:firstLine="180"/>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Participação não controladora</w:t>
            </w:r>
          </w:p>
        </w:tc>
        <w:tc>
          <w:tcPr>
            <w:tcW w:w="1701" w:type="dxa"/>
            <w:tcBorders>
              <w:top w:val="nil"/>
              <w:left w:val="nil"/>
              <w:bottom w:val="nil"/>
              <w:right w:val="nil"/>
            </w:tcBorders>
            <w:shd w:val="clear" w:color="auto" w:fill="auto"/>
            <w:noWrap/>
            <w:vAlign w:val="bottom"/>
            <w:hideMark/>
          </w:tcPr>
          <w:p w14:paraId="7FDBC8B7" w14:textId="5125E9F7" w:rsidR="001801EF" w:rsidRPr="001801EF" w:rsidRDefault="001801EF" w:rsidP="001801EF">
            <w:pPr>
              <w:spacing w:after="0" w:line="240" w:lineRule="auto"/>
              <w:jc w:val="right"/>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(6.588.626)</w:t>
            </w:r>
          </w:p>
        </w:tc>
      </w:tr>
      <w:tr w:rsidR="001801EF" w:rsidRPr="001801EF" w14:paraId="7285EBD6" w14:textId="77777777" w:rsidTr="001801EF">
        <w:trPr>
          <w:trHeight w:val="20"/>
        </w:trPr>
        <w:tc>
          <w:tcPr>
            <w:tcW w:w="7513" w:type="dxa"/>
            <w:tcBorders>
              <w:top w:val="nil"/>
              <w:left w:val="nil"/>
              <w:bottom w:val="nil"/>
              <w:right w:val="nil"/>
            </w:tcBorders>
            <w:shd w:val="clear" w:color="auto" w:fill="auto"/>
            <w:noWrap/>
            <w:vAlign w:val="bottom"/>
            <w:hideMark/>
          </w:tcPr>
          <w:p w14:paraId="593E367D" w14:textId="77777777" w:rsidR="001801EF" w:rsidRPr="001801EF" w:rsidRDefault="001801EF" w:rsidP="001801EF">
            <w:pPr>
              <w:spacing w:after="0" w:line="240" w:lineRule="auto"/>
              <w:ind w:firstLineChars="100" w:firstLine="180"/>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Ágio</w:t>
            </w:r>
          </w:p>
        </w:tc>
        <w:tc>
          <w:tcPr>
            <w:tcW w:w="1701" w:type="dxa"/>
            <w:tcBorders>
              <w:top w:val="nil"/>
              <w:left w:val="nil"/>
              <w:bottom w:val="single" w:sz="4" w:space="0" w:color="auto"/>
              <w:right w:val="nil"/>
            </w:tcBorders>
            <w:shd w:val="clear" w:color="auto" w:fill="auto"/>
            <w:noWrap/>
            <w:vAlign w:val="bottom"/>
            <w:hideMark/>
          </w:tcPr>
          <w:p w14:paraId="42BD4828" w14:textId="4EF5D046" w:rsidR="001801EF" w:rsidRPr="001801EF" w:rsidRDefault="001801EF" w:rsidP="001801EF">
            <w:pPr>
              <w:spacing w:after="0" w:line="240" w:lineRule="auto"/>
              <w:jc w:val="right"/>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392.626</w:t>
            </w:r>
          </w:p>
        </w:tc>
      </w:tr>
      <w:tr w:rsidR="001801EF" w:rsidRPr="001801EF" w14:paraId="7DB49DE5" w14:textId="77777777" w:rsidTr="001801EF">
        <w:trPr>
          <w:trHeight w:val="20"/>
        </w:trPr>
        <w:tc>
          <w:tcPr>
            <w:tcW w:w="7513" w:type="dxa"/>
            <w:tcBorders>
              <w:top w:val="nil"/>
              <w:left w:val="nil"/>
              <w:bottom w:val="nil"/>
              <w:right w:val="nil"/>
            </w:tcBorders>
            <w:shd w:val="clear" w:color="auto" w:fill="auto"/>
            <w:noWrap/>
            <w:vAlign w:val="bottom"/>
            <w:hideMark/>
          </w:tcPr>
          <w:p w14:paraId="16B5719F" w14:textId="77777777" w:rsidR="001801EF" w:rsidRPr="001801EF" w:rsidRDefault="001801EF" w:rsidP="001801EF">
            <w:pPr>
              <w:spacing w:after="0" w:line="240" w:lineRule="auto"/>
              <w:rPr>
                <w:rFonts w:ascii="Verdana" w:eastAsia="Times New Roman" w:hAnsi="Verdana" w:cs="Calibri"/>
                <w:color w:val="000000"/>
                <w:sz w:val="18"/>
                <w:szCs w:val="18"/>
                <w:lang w:eastAsia="pt-BR"/>
              </w:rPr>
            </w:pPr>
          </w:p>
        </w:tc>
        <w:tc>
          <w:tcPr>
            <w:tcW w:w="1701" w:type="dxa"/>
            <w:tcBorders>
              <w:top w:val="nil"/>
              <w:left w:val="nil"/>
              <w:bottom w:val="double" w:sz="6" w:space="0" w:color="auto"/>
              <w:right w:val="nil"/>
            </w:tcBorders>
            <w:shd w:val="clear" w:color="auto" w:fill="auto"/>
            <w:noWrap/>
            <w:vAlign w:val="bottom"/>
            <w:hideMark/>
          </w:tcPr>
          <w:p w14:paraId="49D4A46C" w14:textId="3FF421A6" w:rsidR="001801EF" w:rsidRPr="001801EF" w:rsidRDefault="001801EF" w:rsidP="001801EF">
            <w:pPr>
              <w:spacing w:after="0" w:line="240" w:lineRule="auto"/>
              <w:jc w:val="right"/>
              <w:rPr>
                <w:rFonts w:ascii="Verdana" w:eastAsia="Times New Roman" w:hAnsi="Verdana" w:cs="Calibri"/>
                <w:b/>
                <w:bCs/>
                <w:color w:val="000000"/>
                <w:sz w:val="18"/>
                <w:szCs w:val="18"/>
                <w:lang w:eastAsia="pt-BR"/>
              </w:rPr>
            </w:pPr>
            <w:r w:rsidRPr="001801EF">
              <w:rPr>
                <w:rFonts w:ascii="Verdana" w:eastAsia="Times New Roman" w:hAnsi="Verdana" w:cs="Calibri"/>
                <w:b/>
                <w:bCs/>
                <w:color w:val="000000"/>
                <w:sz w:val="18"/>
                <w:szCs w:val="18"/>
                <w:lang w:eastAsia="pt-BR"/>
              </w:rPr>
              <w:t>3.500.000</w:t>
            </w:r>
          </w:p>
        </w:tc>
      </w:tr>
    </w:tbl>
    <w:p w14:paraId="25DB1FB9" w14:textId="77777777" w:rsidR="002F7DAD" w:rsidRPr="00F7132F" w:rsidRDefault="002F7DAD" w:rsidP="002F7DAD">
      <w:pPr>
        <w:autoSpaceDE w:val="0"/>
        <w:autoSpaceDN w:val="0"/>
        <w:adjustRightInd w:val="0"/>
        <w:spacing w:line="240" w:lineRule="auto"/>
        <w:jc w:val="both"/>
        <w:rPr>
          <w:rFonts w:ascii="Verdana" w:hAnsi="Verdana" w:cstheme="minorHAnsi"/>
          <w:b/>
          <w:bCs/>
        </w:rPr>
      </w:pPr>
      <w:r w:rsidRPr="00F7132F">
        <w:rPr>
          <w:rFonts w:ascii="Verdana" w:hAnsi="Verdana" w:cstheme="minorHAnsi"/>
          <w:b/>
          <w:bCs/>
        </w:rPr>
        <w:t>Itaipu</w:t>
      </w:r>
    </w:p>
    <w:p w14:paraId="625CD465" w14:textId="77777777" w:rsidR="00C04EAA" w:rsidRPr="00116729" w:rsidRDefault="00C04EAA" w:rsidP="004D3063">
      <w:pPr>
        <w:autoSpaceDE w:val="0"/>
        <w:autoSpaceDN w:val="0"/>
        <w:adjustRightInd w:val="0"/>
        <w:spacing w:line="240" w:lineRule="auto"/>
        <w:jc w:val="both"/>
        <w:rPr>
          <w:rFonts w:ascii="Verdana" w:hAnsi="Verdana" w:cstheme="minorHAnsi"/>
        </w:rPr>
      </w:pPr>
      <w:r w:rsidRPr="00116729">
        <w:rPr>
          <w:rFonts w:ascii="Verdana" w:hAnsi="Verdana" w:cstheme="minorHAnsi"/>
        </w:rPr>
        <w:t xml:space="preserve">O Contrato de Transferência de Participação Societária em Itaipu pela Eletrobras transferiu a totalidade de sua participação societária no capital social da Itaipu para a </w:t>
      </w:r>
      <w:proofErr w:type="spellStart"/>
      <w:r w:rsidRPr="00116729">
        <w:rPr>
          <w:rFonts w:ascii="Verdana" w:hAnsi="Verdana" w:cstheme="minorHAnsi"/>
        </w:rPr>
        <w:t>ENBPar</w:t>
      </w:r>
      <w:proofErr w:type="spellEnd"/>
      <w:r w:rsidRPr="00116729">
        <w:rPr>
          <w:rFonts w:ascii="Verdana" w:hAnsi="Verdana" w:cstheme="minorHAnsi"/>
        </w:rPr>
        <w:t>. A transferência de Itaipu foi notificada pela Eletrobras, e</w:t>
      </w:r>
      <w:r w:rsidR="000B3334">
        <w:rPr>
          <w:rFonts w:ascii="Verdana" w:hAnsi="Verdana" w:cstheme="minorHAnsi"/>
        </w:rPr>
        <w:t xml:space="preserve">m conjunto com a União, à ANDE - </w:t>
      </w:r>
      <w:proofErr w:type="spellStart"/>
      <w:r w:rsidRPr="00116729">
        <w:rPr>
          <w:rFonts w:ascii="Verdana" w:hAnsi="Verdana" w:cstheme="minorHAnsi"/>
        </w:rPr>
        <w:t>Administración</w:t>
      </w:r>
      <w:proofErr w:type="spellEnd"/>
      <w:r w:rsidRPr="00116729">
        <w:rPr>
          <w:rFonts w:ascii="Verdana" w:hAnsi="Verdana" w:cstheme="minorHAnsi"/>
        </w:rPr>
        <w:t xml:space="preserve"> Nacional de </w:t>
      </w:r>
      <w:proofErr w:type="spellStart"/>
      <w:r w:rsidRPr="00116729">
        <w:rPr>
          <w:rFonts w:ascii="Verdana" w:hAnsi="Verdana" w:cstheme="minorHAnsi"/>
        </w:rPr>
        <w:t>Eletricidad</w:t>
      </w:r>
      <w:proofErr w:type="spellEnd"/>
      <w:r w:rsidR="000B3334">
        <w:rPr>
          <w:rFonts w:ascii="Verdana" w:hAnsi="Verdana" w:cstheme="minorHAnsi"/>
        </w:rPr>
        <w:t xml:space="preserve"> -</w:t>
      </w:r>
      <w:r w:rsidRPr="00116729">
        <w:rPr>
          <w:rFonts w:ascii="Verdana" w:hAnsi="Verdana" w:cstheme="minorHAnsi"/>
        </w:rPr>
        <w:t xml:space="preserve"> e ao Governo do Paraguai. O preço a ser pago pela </w:t>
      </w:r>
      <w:proofErr w:type="spellStart"/>
      <w:r w:rsidRPr="00116729">
        <w:rPr>
          <w:rFonts w:ascii="Verdana" w:hAnsi="Verdana" w:cstheme="minorHAnsi"/>
        </w:rPr>
        <w:t>ENBPar</w:t>
      </w:r>
      <w:proofErr w:type="spellEnd"/>
      <w:r w:rsidRPr="00116729">
        <w:rPr>
          <w:rFonts w:ascii="Verdana" w:hAnsi="Verdana" w:cstheme="minorHAnsi"/>
        </w:rPr>
        <w:t xml:space="preserve"> à Eletrobras pela aquisição da participação societária é de R$</w:t>
      </w:r>
      <w:r w:rsidR="000B3334">
        <w:rPr>
          <w:rFonts w:ascii="Verdana" w:hAnsi="Verdana" w:cstheme="minorHAnsi"/>
        </w:rPr>
        <w:t xml:space="preserve"> </w:t>
      </w:r>
      <w:r w:rsidRPr="00116729">
        <w:rPr>
          <w:rFonts w:ascii="Verdana" w:hAnsi="Verdana" w:cstheme="minorHAnsi"/>
        </w:rPr>
        <w:t>1.212.148 equivalente</w:t>
      </w:r>
      <w:r w:rsidR="00A2202A" w:rsidRPr="00116729">
        <w:rPr>
          <w:rFonts w:ascii="Verdana" w:hAnsi="Verdana" w:cstheme="minorHAnsi"/>
        </w:rPr>
        <w:t>s</w:t>
      </w:r>
      <w:r w:rsidRPr="00116729">
        <w:rPr>
          <w:rFonts w:ascii="Verdana" w:hAnsi="Verdana" w:cstheme="minorHAnsi"/>
        </w:rPr>
        <w:t xml:space="preserve"> a US$</w:t>
      </w:r>
      <w:r w:rsidR="000B3334">
        <w:rPr>
          <w:rFonts w:ascii="Verdana" w:hAnsi="Verdana" w:cstheme="minorHAnsi"/>
        </w:rPr>
        <w:t xml:space="preserve"> </w:t>
      </w:r>
      <w:r w:rsidRPr="00116729">
        <w:rPr>
          <w:rFonts w:ascii="Verdana" w:hAnsi="Verdana" w:cstheme="minorHAnsi"/>
        </w:rPr>
        <w:t>233.253</w:t>
      </w:r>
      <w:r w:rsidR="00A2202A" w:rsidRPr="00116729">
        <w:rPr>
          <w:rFonts w:ascii="Verdana" w:hAnsi="Verdana" w:cstheme="minorHAnsi"/>
        </w:rPr>
        <w:t>.</w:t>
      </w:r>
    </w:p>
    <w:p w14:paraId="1E4D1EE1" w14:textId="77777777" w:rsidR="00C93F61" w:rsidRPr="00116729" w:rsidRDefault="00CA1A95" w:rsidP="002F7DAD">
      <w:pPr>
        <w:spacing w:before="32"/>
        <w:ind w:right="75"/>
        <w:jc w:val="both"/>
        <w:rPr>
          <w:rFonts w:ascii="Verdana" w:hAnsi="Verdana"/>
          <w:snapToGrid w:val="0"/>
        </w:rPr>
      </w:pPr>
      <w:r w:rsidRPr="00116729">
        <w:rPr>
          <w:rFonts w:ascii="Verdana" w:hAnsi="Verdana"/>
          <w:snapToGrid w:val="0"/>
        </w:rPr>
        <w:t>De acordo com o CPC 15 (R1) - Combinações de Negócios, as aquisições de negócios são contabilizadas pelo método de aquisição</w:t>
      </w:r>
      <w:r w:rsidR="00C93F61" w:rsidRPr="00116729">
        <w:rPr>
          <w:rFonts w:ascii="Verdana" w:hAnsi="Verdana"/>
          <w:snapToGrid w:val="0"/>
        </w:rPr>
        <w:t>, onde a</w:t>
      </w:r>
      <w:r w:rsidRPr="00116729">
        <w:rPr>
          <w:rFonts w:ascii="Verdana" w:hAnsi="Verdana"/>
          <w:snapToGrid w:val="0"/>
        </w:rPr>
        <w:t xml:space="preserve"> contrapartida transferida é mensurada pelo valor justo, que é calculado pela soma dos valores justos dos ativos transferidos, dos passivos assumidos na data de aquisição junto aos antigos controladores da adquirida e das participações emitidas em troca do controle da adquirida. </w:t>
      </w:r>
    </w:p>
    <w:p w14:paraId="0FA65EB4" w14:textId="399926B5" w:rsidR="00C93F61" w:rsidRPr="00116729" w:rsidRDefault="00C93F61" w:rsidP="002F7DAD">
      <w:pPr>
        <w:spacing w:before="32"/>
        <w:ind w:right="75"/>
        <w:jc w:val="both"/>
        <w:rPr>
          <w:rFonts w:ascii="Verdana" w:hAnsi="Verdana"/>
          <w:snapToGrid w:val="0"/>
        </w:rPr>
      </w:pPr>
      <w:r w:rsidRPr="003072B4">
        <w:rPr>
          <w:rFonts w:ascii="Verdana" w:hAnsi="Verdana"/>
          <w:snapToGrid w:val="0"/>
        </w:rPr>
        <w:t>A mensuração do</w:t>
      </w:r>
      <w:r w:rsidR="00CA1A95" w:rsidRPr="003072B4">
        <w:rPr>
          <w:rFonts w:ascii="Verdana" w:hAnsi="Verdana"/>
          <w:snapToGrid w:val="0"/>
        </w:rPr>
        <w:t>s valores justos dos ativos identificáveis adquiridos na combinaç</w:t>
      </w:r>
      <w:r w:rsidRPr="003072B4">
        <w:rPr>
          <w:rFonts w:ascii="Verdana" w:hAnsi="Verdana"/>
          <w:snapToGrid w:val="0"/>
        </w:rPr>
        <w:t>ão</w:t>
      </w:r>
      <w:r w:rsidR="00CA1A95" w:rsidRPr="003072B4">
        <w:rPr>
          <w:rFonts w:ascii="Verdana" w:hAnsi="Verdana"/>
          <w:snapToGrid w:val="0"/>
        </w:rPr>
        <w:t xml:space="preserve"> de negócios </w:t>
      </w:r>
      <w:r w:rsidRPr="003072B4">
        <w:rPr>
          <w:rFonts w:ascii="Verdana" w:hAnsi="Verdana"/>
          <w:snapToGrid w:val="0"/>
        </w:rPr>
        <w:t xml:space="preserve">está em andamento e os saldos </w:t>
      </w:r>
      <w:r w:rsidR="00BA7D34" w:rsidRPr="003072B4">
        <w:rPr>
          <w:rFonts w:ascii="Verdana" w:hAnsi="Verdana"/>
          <w:snapToGrid w:val="0"/>
        </w:rPr>
        <w:t xml:space="preserve">estão </w:t>
      </w:r>
      <w:r w:rsidRPr="003072B4">
        <w:rPr>
          <w:rFonts w:ascii="Verdana" w:hAnsi="Verdana"/>
          <w:snapToGrid w:val="0"/>
        </w:rPr>
        <w:t>registrados</w:t>
      </w:r>
      <w:r w:rsidR="00482846" w:rsidRPr="003072B4">
        <w:rPr>
          <w:rFonts w:ascii="Verdana" w:hAnsi="Verdana"/>
          <w:snapToGrid w:val="0"/>
        </w:rPr>
        <w:t>, tais saldos serão avaliados conforme estudo</w:t>
      </w:r>
      <w:r w:rsidR="00482846">
        <w:rPr>
          <w:rFonts w:ascii="Verdana" w:hAnsi="Verdana"/>
          <w:snapToGrid w:val="0"/>
        </w:rPr>
        <w:t xml:space="preserve"> de alocação do ágio em até doze meses da aquisição</w:t>
      </w:r>
      <w:r w:rsidRPr="00116729">
        <w:rPr>
          <w:rFonts w:ascii="Verdana" w:hAnsi="Verdana"/>
          <w:snapToGrid w:val="0"/>
        </w:rPr>
        <w:t xml:space="preserve">. A Companhia está providenciando o laudo de alocação do preço de compra para que os valores sejam </w:t>
      </w:r>
      <w:r w:rsidR="00CA1A95" w:rsidRPr="00116729">
        <w:rPr>
          <w:rFonts w:ascii="Verdana" w:hAnsi="Verdana"/>
          <w:snapToGrid w:val="0"/>
        </w:rPr>
        <w:t xml:space="preserve">reconhecidos </w:t>
      </w:r>
      <w:r w:rsidRPr="00116729">
        <w:rPr>
          <w:rFonts w:ascii="Verdana" w:hAnsi="Verdana"/>
          <w:snapToGrid w:val="0"/>
        </w:rPr>
        <w:t>dentro do prazo determinado no CPC 15 (R1) - Combinações de Negócios.</w:t>
      </w:r>
    </w:p>
    <w:p w14:paraId="7C8BE55F" w14:textId="77777777" w:rsidR="00933435" w:rsidRPr="00F7132F" w:rsidRDefault="00933435" w:rsidP="004D3063">
      <w:pPr>
        <w:pStyle w:val="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after="160" w:line="240" w:lineRule="auto"/>
        <w:ind w:left="0"/>
        <w:rPr>
          <w:rFonts w:ascii="Verdana" w:eastAsiaTheme="minorHAnsi" w:hAnsi="Verdana" w:cstheme="minorHAnsi"/>
          <w:snapToGrid/>
          <w:sz w:val="22"/>
          <w:szCs w:val="22"/>
          <w:lang w:val="pt-BR"/>
        </w:rPr>
      </w:pPr>
      <w:r w:rsidRPr="00F7132F">
        <w:rPr>
          <w:rFonts w:ascii="Verdana" w:eastAsiaTheme="minorHAnsi" w:hAnsi="Verdana" w:cstheme="minorHAnsi"/>
          <w:snapToGrid/>
          <w:sz w:val="22"/>
          <w:szCs w:val="22"/>
          <w:lang w:val="pt-BR"/>
        </w:rPr>
        <w:t>O</w:t>
      </w:r>
      <w:r w:rsidR="00C04EAA" w:rsidRPr="00F7132F">
        <w:rPr>
          <w:rFonts w:ascii="Verdana" w:eastAsiaTheme="minorHAnsi" w:hAnsi="Verdana" w:cstheme="minorHAnsi"/>
          <w:snapToGrid/>
          <w:sz w:val="22"/>
          <w:szCs w:val="22"/>
          <w:lang w:val="pt-BR"/>
        </w:rPr>
        <w:t>s</w:t>
      </w:r>
      <w:r w:rsidRPr="00F7132F">
        <w:rPr>
          <w:rFonts w:ascii="Verdana" w:eastAsiaTheme="minorHAnsi" w:hAnsi="Verdana" w:cstheme="minorHAnsi"/>
          <w:snapToGrid/>
          <w:sz w:val="22"/>
          <w:szCs w:val="22"/>
          <w:lang w:val="pt-BR"/>
        </w:rPr>
        <w:t xml:space="preserve"> investimento</w:t>
      </w:r>
      <w:r w:rsidR="00C04EAA" w:rsidRPr="00F7132F">
        <w:rPr>
          <w:rFonts w:ascii="Verdana" w:eastAsiaTheme="minorHAnsi" w:hAnsi="Verdana" w:cstheme="minorHAnsi"/>
          <w:snapToGrid/>
          <w:sz w:val="22"/>
          <w:szCs w:val="22"/>
          <w:lang w:val="pt-BR"/>
        </w:rPr>
        <w:t>s</w:t>
      </w:r>
      <w:r w:rsidRPr="00F7132F">
        <w:rPr>
          <w:rFonts w:ascii="Verdana" w:eastAsiaTheme="minorHAnsi" w:hAnsi="Verdana" w:cstheme="minorHAnsi"/>
          <w:snapToGrid/>
          <w:sz w:val="22"/>
          <w:szCs w:val="22"/>
          <w:lang w:val="pt-BR"/>
        </w:rPr>
        <w:t xml:space="preserve"> </w:t>
      </w:r>
      <w:r w:rsidR="00C04EAA" w:rsidRPr="00F7132F">
        <w:rPr>
          <w:rFonts w:ascii="Verdana" w:eastAsiaTheme="minorHAnsi" w:hAnsi="Verdana" w:cstheme="minorHAnsi"/>
          <w:snapToGrid/>
          <w:sz w:val="22"/>
          <w:szCs w:val="22"/>
          <w:lang w:val="pt-BR"/>
        </w:rPr>
        <w:t>da Companhia</w:t>
      </w:r>
      <w:r w:rsidR="00F70DE2" w:rsidRPr="00F7132F">
        <w:rPr>
          <w:rFonts w:ascii="Verdana" w:eastAsiaTheme="minorHAnsi" w:hAnsi="Verdana" w:cstheme="minorHAnsi"/>
          <w:snapToGrid/>
          <w:sz w:val="22"/>
          <w:szCs w:val="22"/>
          <w:lang w:val="pt-BR"/>
        </w:rPr>
        <w:t xml:space="preserve"> </w:t>
      </w:r>
      <w:r w:rsidR="00C04EAA" w:rsidRPr="00F7132F">
        <w:rPr>
          <w:rFonts w:ascii="Verdana" w:eastAsiaTheme="minorHAnsi" w:hAnsi="Verdana" w:cstheme="minorHAnsi"/>
          <w:snapToGrid/>
          <w:sz w:val="22"/>
          <w:szCs w:val="22"/>
          <w:lang w:val="pt-BR"/>
        </w:rPr>
        <w:t xml:space="preserve">tiveram </w:t>
      </w:r>
      <w:r w:rsidR="00F70DE2" w:rsidRPr="00F7132F">
        <w:rPr>
          <w:rFonts w:ascii="Verdana" w:eastAsiaTheme="minorHAnsi" w:hAnsi="Verdana" w:cstheme="minorHAnsi"/>
          <w:snapToGrid/>
          <w:sz w:val="22"/>
          <w:szCs w:val="22"/>
          <w:lang w:val="pt-BR"/>
        </w:rPr>
        <w:t>a seguinte movimentação</w:t>
      </w:r>
      <w:r w:rsidR="00C04EAA" w:rsidRPr="00F7132F">
        <w:rPr>
          <w:rFonts w:ascii="Verdana" w:eastAsiaTheme="minorHAnsi" w:hAnsi="Verdana" w:cstheme="minorHAnsi"/>
          <w:snapToGrid/>
          <w:sz w:val="22"/>
          <w:szCs w:val="22"/>
          <w:lang w:val="pt-BR"/>
        </w:rPr>
        <w:t xml:space="preserve"> no período</w:t>
      </w:r>
      <w:r w:rsidR="00F70DE2" w:rsidRPr="00F7132F">
        <w:rPr>
          <w:rFonts w:ascii="Verdana" w:eastAsiaTheme="minorHAnsi" w:hAnsi="Verdana" w:cstheme="minorHAnsi"/>
          <w:snapToGrid/>
          <w:sz w:val="22"/>
          <w:szCs w:val="22"/>
          <w:lang w:val="pt-BR"/>
        </w:rPr>
        <w:t>:</w:t>
      </w:r>
    </w:p>
    <w:p w14:paraId="1DEB6061" w14:textId="77777777" w:rsidR="0014256D" w:rsidRPr="00F7132F" w:rsidRDefault="0014256D" w:rsidP="00933435">
      <w:pPr>
        <w:pStyle w:val="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line="240" w:lineRule="auto"/>
        <w:ind w:left="0"/>
        <w:rPr>
          <w:rFonts w:ascii="Verdana" w:eastAsiaTheme="minorHAnsi" w:hAnsi="Verdana" w:cstheme="minorHAnsi"/>
          <w:snapToGrid/>
          <w:sz w:val="22"/>
          <w:szCs w:val="22"/>
          <w:lang w:val="pt-BR"/>
        </w:rPr>
      </w:pPr>
    </w:p>
    <w:tbl>
      <w:tblPr>
        <w:tblW w:w="9258" w:type="dxa"/>
        <w:tblCellMar>
          <w:left w:w="70" w:type="dxa"/>
          <w:right w:w="70" w:type="dxa"/>
        </w:tblCellMar>
        <w:tblLook w:val="04A0" w:firstRow="1" w:lastRow="0" w:firstColumn="1" w:lastColumn="0" w:noHBand="0" w:noVBand="1"/>
      </w:tblPr>
      <w:tblGrid>
        <w:gridCol w:w="4950"/>
        <w:gridCol w:w="233"/>
        <w:gridCol w:w="1920"/>
        <w:gridCol w:w="235"/>
        <w:gridCol w:w="1920"/>
      </w:tblGrid>
      <w:tr w:rsidR="00A978AF" w:rsidRPr="00116729" w14:paraId="6906D645" w14:textId="77777777" w:rsidTr="00F7132F">
        <w:trPr>
          <w:trHeight w:val="20"/>
        </w:trPr>
        <w:tc>
          <w:tcPr>
            <w:tcW w:w="4950" w:type="dxa"/>
            <w:tcBorders>
              <w:top w:val="nil"/>
              <w:left w:val="nil"/>
              <w:bottom w:val="nil"/>
              <w:right w:val="nil"/>
            </w:tcBorders>
            <w:shd w:val="clear" w:color="auto" w:fill="auto"/>
            <w:noWrap/>
            <w:vAlign w:val="bottom"/>
            <w:hideMark/>
          </w:tcPr>
          <w:p w14:paraId="69DD2E3F" w14:textId="77777777" w:rsidR="00A978AF" w:rsidRPr="00116729" w:rsidRDefault="00A978AF" w:rsidP="00A978AF">
            <w:pPr>
              <w:spacing w:after="0" w:line="240" w:lineRule="auto"/>
              <w:rPr>
                <w:rFonts w:ascii="Times New Roman" w:eastAsia="Times New Roman" w:hAnsi="Times New Roman" w:cs="Times New Roman"/>
                <w:sz w:val="24"/>
                <w:szCs w:val="24"/>
                <w:lang w:eastAsia="pt-BR"/>
              </w:rPr>
            </w:pPr>
          </w:p>
        </w:tc>
        <w:tc>
          <w:tcPr>
            <w:tcW w:w="233" w:type="dxa"/>
            <w:tcBorders>
              <w:top w:val="nil"/>
              <w:left w:val="nil"/>
              <w:bottom w:val="nil"/>
              <w:right w:val="nil"/>
            </w:tcBorders>
            <w:shd w:val="clear" w:color="auto" w:fill="auto"/>
            <w:noWrap/>
            <w:vAlign w:val="bottom"/>
            <w:hideMark/>
          </w:tcPr>
          <w:p w14:paraId="65440BE3" w14:textId="77777777" w:rsidR="00A978AF" w:rsidRPr="00116729" w:rsidRDefault="00A978AF" w:rsidP="00A978AF">
            <w:pPr>
              <w:spacing w:after="0" w:line="240" w:lineRule="auto"/>
              <w:rPr>
                <w:rFonts w:ascii="Times New Roman" w:eastAsia="Times New Roman" w:hAnsi="Times New Roman" w:cs="Times New Roman"/>
                <w:sz w:val="20"/>
                <w:szCs w:val="20"/>
                <w:lang w:eastAsia="pt-BR"/>
              </w:rPr>
            </w:pPr>
          </w:p>
        </w:tc>
        <w:tc>
          <w:tcPr>
            <w:tcW w:w="1920" w:type="dxa"/>
            <w:tcBorders>
              <w:top w:val="nil"/>
              <w:left w:val="nil"/>
              <w:bottom w:val="single" w:sz="4" w:space="0" w:color="auto"/>
              <w:right w:val="nil"/>
            </w:tcBorders>
            <w:shd w:val="clear" w:color="auto" w:fill="auto"/>
            <w:noWrap/>
            <w:vAlign w:val="bottom"/>
            <w:hideMark/>
          </w:tcPr>
          <w:p w14:paraId="7E88FDF8"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Controladora</w:t>
            </w:r>
          </w:p>
        </w:tc>
        <w:tc>
          <w:tcPr>
            <w:tcW w:w="235" w:type="dxa"/>
            <w:tcBorders>
              <w:top w:val="nil"/>
              <w:left w:val="nil"/>
              <w:bottom w:val="nil"/>
              <w:right w:val="nil"/>
            </w:tcBorders>
            <w:shd w:val="clear" w:color="auto" w:fill="auto"/>
            <w:noWrap/>
            <w:vAlign w:val="bottom"/>
            <w:hideMark/>
          </w:tcPr>
          <w:p w14:paraId="6884129F"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p>
        </w:tc>
        <w:tc>
          <w:tcPr>
            <w:tcW w:w="1920" w:type="dxa"/>
            <w:tcBorders>
              <w:top w:val="nil"/>
              <w:left w:val="nil"/>
              <w:bottom w:val="single" w:sz="4" w:space="0" w:color="auto"/>
              <w:right w:val="nil"/>
            </w:tcBorders>
            <w:shd w:val="clear" w:color="auto" w:fill="auto"/>
            <w:noWrap/>
            <w:vAlign w:val="bottom"/>
            <w:hideMark/>
          </w:tcPr>
          <w:p w14:paraId="2DCB3D99"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Consolidado</w:t>
            </w:r>
          </w:p>
        </w:tc>
      </w:tr>
      <w:tr w:rsidR="00A978AF" w:rsidRPr="00116729" w14:paraId="3DAA4CE3" w14:textId="77777777" w:rsidTr="00F7132F">
        <w:trPr>
          <w:trHeight w:val="20"/>
        </w:trPr>
        <w:tc>
          <w:tcPr>
            <w:tcW w:w="4950" w:type="dxa"/>
            <w:tcBorders>
              <w:top w:val="nil"/>
              <w:left w:val="nil"/>
              <w:bottom w:val="nil"/>
              <w:right w:val="nil"/>
            </w:tcBorders>
            <w:shd w:val="clear" w:color="auto" w:fill="auto"/>
            <w:noWrap/>
            <w:vAlign w:val="center"/>
            <w:hideMark/>
          </w:tcPr>
          <w:p w14:paraId="4656FE0A"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p>
        </w:tc>
        <w:tc>
          <w:tcPr>
            <w:tcW w:w="233" w:type="dxa"/>
            <w:tcBorders>
              <w:top w:val="nil"/>
              <w:left w:val="nil"/>
              <w:bottom w:val="nil"/>
              <w:right w:val="nil"/>
            </w:tcBorders>
            <w:shd w:val="clear" w:color="auto" w:fill="auto"/>
            <w:noWrap/>
            <w:vAlign w:val="center"/>
            <w:hideMark/>
          </w:tcPr>
          <w:p w14:paraId="125CB1D5" w14:textId="77777777" w:rsidR="00A978AF" w:rsidRPr="00116729" w:rsidRDefault="00A978AF" w:rsidP="00A978AF">
            <w:pPr>
              <w:spacing w:after="0" w:line="240" w:lineRule="auto"/>
              <w:rPr>
                <w:rFonts w:ascii="Times New Roman" w:eastAsia="Times New Roman" w:hAnsi="Times New Roman" w:cs="Times New Roman"/>
                <w:sz w:val="20"/>
                <w:szCs w:val="20"/>
                <w:lang w:eastAsia="pt-BR"/>
              </w:rPr>
            </w:pPr>
          </w:p>
        </w:tc>
        <w:tc>
          <w:tcPr>
            <w:tcW w:w="1920" w:type="dxa"/>
            <w:tcBorders>
              <w:top w:val="nil"/>
              <w:left w:val="nil"/>
              <w:bottom w:val="single" w:sz="4" w:space="0" w:color="auto"/>
              <w:right w:val="nil"/>
            </w:tcBorders>
            <w:shd w:val="clear" w:color="auto" w:fill="auto"/>
            <w:noWrap/>
            <w:vAlign w:val="center"/>
            <w:hideMark/>
          </w:tcPr>
          <w:p w14:paraId="091EF6F3"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30/06/2022</w:t>
            </w:r>
          </w:p>
        </w:tc>
        <w:tc>
          <w:tcPr>
            <w:tcW w:w="235" w:type="dxa"/>
            <w:tcBorders>
              <w:top w:val="nil"/>
              <w:left w:val="nil"/>
              <w:bottom w:val="nil"/>
              <w:right w:val="nil"/>
            </w:tcBorders>
            <w:shd w:val="clear" w:color="auto" w:fill="auto"/>
            <w:noWrap/>
            <w:vAlign w:val="bottom"/>
            <w:hideMark/>
          </w:tcPr>
          <w:p w14:paraId="03F46F18"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p>
        </w:tc>
        <w:tc>
          <w:tcPr>
            <w:tcW w:w="1920" w:type="dxa"/>
            <w:tcBorders>
              <w:top w:val="nil"/>
              <w:left w:val="nil"/>
              <w:bottom w:val="single" w:sz="4" w:space="0" w:color="auto"/>
              <w:right w:val="nil"/>
            </w:tcBorders>
            <w:shd w:val="clear" w:color="auto" w:fill="auto"/>
            <w:noWrap/>
            <w:vAlign w:val="center"/>
            <w:hideMark/>
          </w:tcPr>
          <w:p w14:paraId="5356A2A4"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30/06/2022</w:t>
            </w:r>
          </w:p>
        </w:tc>
      </w:tr>
      <w:tr w:rsidR="00A978AF" w:rsidRPr="00116729" w14:paraId="02FCBCF9" w14:textId="77777777" w:rsidTr="00F7132F">
        <w:trPr>
          <w:trHeight w:val="20"/>
        </w:trPr>
        <w:tc>
          <w:tcPr>
            <w:tcW w:w="4950" w:type="dxa"/>
            <w:tcBorders>
              <w:top w:val="nil"/>
              <w:left w:val="nil"/>
              <w:bottom w:val="nil"/>
              <w:right w:val="nil"/>
            </w:tcBorders>
            <w:shd w:val="clear" w:color="auto" w:fill="auto"/>
            <w:noWrap/>
            <w:vAlign w:val="center"/>
            <w:hideMark/>
          </w:tcPr>
          <w:p w14:paraId="49547C1A" w14:textId="77777777" w:rsidR="00A978AF" w:rsidRPr="00F7132F" w:rsidRDefault="00A978AF" w:rsidP="00A978AF">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233" w:type="dxa"/>
            <w:tcBorders>
              <w:top w:val="nil"/>
              <w:left w:val="nil"/>
              <w:bottom w:val="nil"/>
              <w:right w:val="nil"/>
            </w:tcBorders>
            <w:shd w:val="clear" w:color="auto" w:fill="auto"/>
            <w:noWrap/>
            <w:vAlign w:val="center"/>
            <w:hideMark/>
          </w:tcPr>
          <w:p w14:paraId="4929D0E7" w14:textId="77777777" w:rsidR="00A978AF" w:rsidRPr="00F7132F" w:rsidRDefault="00A978AF" w:rsidP="00A978AF">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920" w:type="dxa"/>
            <w:tcBorders>
              <w:top w:val="nil"/>
              <w:left w:val="nil"/>
              <w:bottom w:val="nil"/>
              <w:right w:val="nil"/>
            </w:tcBorders>
            <w:shd w:val="clear" w:color="auto" w:fill="auto"/>
            <w:noWrap/>
            <w:vAlign w:val="center"/>
            <w:hideMark/>
          </w:tcPr>
          <w:p w14:paraId="6440177D"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35" w:type="dxa"/>
            <w:tcBorders>
              <w:top w:val="nil"/>
              <w:left w:val="nil"/>
              <w:bottom w:val="nil"/>
              <w:right w:val="nil"/>
            </w:tcBorders>
            <w:shd w:val="clear" w:color="auto" w:fill="auto"/>
            <w:noWrap/>
            <w:vAlign w:val="bottom"/>
            <w:hideMark/>
          </w:tcPr>
          <w:p w14:paraId="09D213FE"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920" w:type="dxa"/>
            <w:tcBorders>
              <w:top w:val="nil"/>
              <w:left w:val="nil"/>
              <w:bottom w:val="nil"/>
              <w:right w:val="nil"/>
            </w:tcBorders>
            <w:shd w:val="clear" w:color="auto" w:fill="auto"/>
            <w:noWrap/>
            <w:vAlign w:val="center"/>
            <w:hideMark/>
          </w:tcPr>
          <w:p w14:paraId="5B55BB3B"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r>
      <w:tr w:rsidR="00A978AF" w:rsidRPr="00116729" w14:paraId="5DA5387D" w14:textId="77777777" w:rsidTr="00F7132F">
        <w:trPr>
          <w:trHeight w:val="20"/>
        </w:trPr>
        <w:tc>
          <w:tcPr>
            <w:tcW w:w="4950" w:type="dxa"/>
            <w:tcBorders>
              <w:top w:val="nil"/>
              <w:left w:val="nil"/>
              <w:bottom w:val="nil"/>
              <w:right w:val="nil"/>
            </w:tcBorders>
            <w:shd w:val="clear" w:color="auto" w:fill="auto"/>
            <w:noWrap/>
            <w:vAlign w:val="center"/>
            <w:hideMark/>
          </w:tcPr>
          <w:p w14:paraId="34EA5D92"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Saldo inicial em 04 de janeiro de 2022</w:t>
            </w:r>
          </w:p>
        </w:tc>
        <w:tc>
          <w:tcPr>
            <w:tcW w:w="233" w:type="dxa"/>
            <w:tcBorders>
              <w:top w:val="nil"/>
              <w:left w:val="nil"/>
              <w:bottom w:val="nil"/>
              <w:right w:val="nil"/>
            </w:tcBorders>
            <w:shd w:val="clear" w:color="auto" w:fill="auto"/>
            <w:noWrap/>
            <w:vAlign w:val="center"/>
            <w:hideMark/>
          </w:tcPr>
          <w:p w14:paraId="1E147DF7" w14:textId="77777777" w:rsidR="00A978AF" w:rsidRPr="00F7132F" w:rsidRDefault="00A978AF" w:rsidP="00A978AF">
            <w:pPr>
              <w:spacing w:after="0" w:line="240" w:lineRule="auto"/>
              <w:rPr>
                <w:rFonts w:ascii="Verdana" w:eastAsia="Times New Roman" w:hAnsi="Verdana" w:cs="Calibri"/>
                <w:sz w:val="18"/>
                <w:szCs w:val="18"/>
                <w:lang w:eastAsia="pt-BR"/>
              </w:rPr>
            </w:pPr>
          </w:p>
        </w:tc>
        <w:tc>
          <w:tcPr>
            <w:tcW w:w="1920" w:type="dxa"/>
            <w:tcBorders>
              <w:top w:val="nil"/>
              <w:left w:val="nil"/>
              <w:bottom w:val="nil"/>
              <w:right w:val="nil"/>
            </w:tcBorders>
            <w:shd w:val="clear" w:color="auto" w:fill="auto"/>
            <w:noWrap/>
            <w:vAlign w:val="center"/>
            <w:hideMark/>
          </w:tcPr>
          <w:p w14:paraId="133121A2"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235" w:type="dxa"/>
            <w:tcBorders>
              <w:top w:val="nil"/>
              <w:left w:val="nil"/>
              <w:bottom w:val="nil"/>
              <w:right w:val="nil"/>
            </w:tcBorders>
            <w:shd w:val="clear" w:color="auto" w:fill="auto"/>
            <w:noWrap/>
            <w:vAlign w:val="bottom"/>
            <w:hideMark/>
          </w:tcPr>
          <w:p w14:paraId="5EE40078" w14:textId="77777777" w:rsidR="00A978AF" w:rsidRPr="00F7132F" w:rsidRDefault="00A978AF" w:rsidP="00A978AF">
            <w:pPr>
              <w:spacing w:after="0" w:line="240" w:lineRule="auto"/>
              <w:jc w:val="right"/>
              <w:rPr>
                <w:rFonts w:ascii="Verdana" w:eastAsia="Times New Roman" w:hAnsi="Verdana" w:cs="Calibri"/>
                <w:sz w:val="18"/>
                <w:szCs w:val="18"/>
                <w:lang w:eastAsia="pt-BR"/>
              </w:rPr>
            </w:pPr>
          </w:p>
        </w:tc>
        <w:tc>
          <w:tcPr>
            <w:tcW w:w="1920" w:type="dxa"/>
            <w:tcBorders>
              <w:top w:val="nil"/>
              <w:left w:val="nil"/>
              <w:bottom w:val="nil"/>
              <w:right w:val="nil"/>
            </w:tcBorders>
            <w:shd w:val="clear" w:color="auto" w:fill="auto"/>
            <w:noWrap/>
            <w:vAlign w:val="center"/>
            <w:hideMark/>
          </w:tcPr>
          <w:p w14:paraId="6BF2D368"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r>
      <w:tr w:rsidR="00A978AF" w:rsidRPr="00116729" w14:paraId="6F414041" w14:textId="77777777" w:rsidTr="00F7132F">
        <w:trPr>
          <w:trHeight w:val="20"/>
        </w:trPr>
        <w:tc>
          <w:tcPr>
            <w:tcW w:w="4950" w:type="dxa"/>
            <w:tcBorders>
              <w:top w:val="nil"/>
              <w:left w:val="nil"/>
              <w:bottom w:val="nil"/>
              <w:right w:val="nil"/>
            </w:tcBorders>
            <w:shd w:val="clear" w:color="auto" w:fill="auto"/>
            <w:noWrap/>
            <w:vAlign w:val="center"/>
            <w:hideMark/>
          </w:tcPr>
          <w:p w14:paraId="2674E90E"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Aquisição de investimentos no exercício</w:t>
            </w:r>
          </w:p>
        </w:tc>
        <w:tc>
          <w:tcPr>
            <w:tcW w:w="233" w:type="dxa"/>
            <w:tcBorders>
              <w:top w:val="nil"/>
              <w:left w:val="nil"/>
              <w:bottom w:val="nil"/>
              <w:right w:val="nil"/>
            </w:tcBorders>
            <w:shd w:val="clear" w:color="auto" w:fill="auto"/>
            <w:noWrap/>
            <w:vAlign w:val="center"/>
            <w:hideMark/>
          </w:tcPr>
          <w:p w14:paraId="6E1D8929" w14:textId="77777777" w:rsidR="00A978AF" w:rsidRPr="00F7132F" w:rsidRDefault="00A978AF" w:rsidP="00A978AF">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920" w:type="dxa"/>
            <w:tcBorders>
              <w:top w:val="nil"/>
              <w:left w:val="nil"/>
              <w:bottom w:val="nil"/>
              <w:right w:val="nil"/>
            </w:tcBorders>
            <w:shd w:val="clear" w:color="auto" w:fill="auto"/>
            <w:noWrap/>
            <w:vAlign w:val="center"/>
            <w:hideMark/>
          </w:tcPr>
          <w:p w14:paraId="7E23EA3E"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3.362.969 </w:t>
            </w:r>
          </w:p>
        </w:tc>
        <w:tc>
          <w:tcPr>
            <w:tcW w:w="235" w:type="dxa"/>
            <w:tcBorders>
              <w:top w:val="nil"/>
              <w:left w:val="nil"/>
              <w:bottom w:val="nil"/>
              <w:right w:val="nil"/>
            </w:tcBorders>
            <w:shd w:val="clear" w:color="auto" w:fill="auto"/>
            <w:noWrap/>
            <w:vAlign w:val="bottom"/>
            <w:hideMark/>
          </w:tcPr>
          <w:p w14:paraId="42DE5292"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920" w:type="dxa"/>
            <w:tcBorders>
              <w:top w:val="nil"/>
              <w:left w:val="nil"/>
              <w:bottom w:val="nil"/>
              <w:right w:val="nil"/>
            </w:tcBorders>
            <w:shd w:val="clear" w:color="auto" w:fill="auto"/>
            <w:noWrap/>
            <w:vAlign w:val="center"/>
            <w:hideMark/>
          </w:tcPr>
          <w:p w14:paraId="6612833A"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255.595 </w:t>
            </w:r>
          </w:p>
        </w:tc>
      </w:tr>
      <w:tr w:rsidR="00A978AF" w:rsidRPr="00116729" w14:paraId="7D415DCA" w14:textId="77777777" w:rsidTr="00F7132F">
        <w:trPr>
          <w:trHeight w:val="20"/>
        </w:trPr>
        <w:tc>
          <w:tcPr>
            <w:tcW w:w="4950" w:type="dxa"/>
            <w:tcBorders>
              <w:top w:val="nil"/>
              <w:left w:val="nil"/>
              <w:bottom w:val="nil"/>
              <w:right w:val="nil"/>
            </w:tcBorders>
            <w:shd w:val="clear" w:color="auto" w:fill="auto"/>
            <w:noWrap/>
            <w:vAlign w:val="center"/>
            <w:hideMark/>
          </w:tcPr>
          <w:p w14:paraId="354AE4F1"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Ágio por expectativa de rentabilidade futura</w:t>
            </w:r>
          </w:p>
        </w:tc>
        <w:tc>
          <w:tcPr>
            <w:tcW w:w="233" w:type="dxa"/>
            <w:tcBorders>
              <w:top w:val="nil"/>
              <w:left w:val="nil"/>
              <w:bottom w:val="nil"/>
              <w:right w:val="nil"/>
            </w:tcBorders>
            <w:shd w:val="clear" w:color="auto" w:fill="auto"/>
            <w:noWrap/>
            <w:vAlign w:val="center"/>
            <w:hideMark/>
          </w:tcPr>
          <w:p w14:paraId="153DB79D" w14:textId="77777777" w:rsidR="00A978AF" w:rsidRPr="00F7132F" w:rsidRDefault="00A978AF" w:rsidP="00A978AF">
            <w:pPr>
              <w:spacing w:after="0" w:line="240" w:lineRule="auto"/>
              <w:rPr>
                <w:rFonts w:ascii="Verdana" w:eastAsia="Times New Roman" w:hAnsi="Verdana" w:cs="Calibri"/>
                <w:sz w:val="18"/>
                <w:szCs w:val="18"/>
                <w:lang w:eastAsia="pt-BR"/>
              </w:rPr>
            </w:pPr>
          </w:p>
        </w:tc>
        <w:tc>
          <w:tcPr>
            <w:tcW w:w="1920" w:type="dxa"/>
            <w:tcBorders>
              <w:top w:val="nil"/>
              <w:left w:val="nil"/>
              <w:bottom w:val="nil"/>
              <w:right w:val="nil"/>
            </w:tcBorders>
            <w:shd w:val="clear" w:color="auto" w:fill="auto"/>
            <w:noWrap/>
            <w:vAlign w:val="center"/>
            <w:hideMark/>
          </w:tcPr>
          <w:p w14:paraId="7BB9AF24"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1.420.76</w:t>
            </w:r>
            <w:r w:rsidR="009D0D73">
              <w:rPr>
                <w:rFonts w:ascii="Verdana" w:eastAsia="Times New Roman" w:hAnsi="Verdana" w:cs="Calibri"/>
                <w:sz w:val="18"/>
                <w:szCs w:val="18"/>
                <w:lang w:eastAsia="pt-BR"/>
              </w:rPr>
              <w:t>2</w:t>
            </w:r>
            <w:r w:rsidRPr="00F7132F">
              <w:rPr>
                <w:rFonts w:ascii="Verdana" w:eastAsia="Times New Roman" w:hAnsi="Verdana" w:cs="Calibri"/>
                <w:sz w:val="18"/>
                <w:szCs w:val="18"/>
                <w:lang w:eastAsia="pt-BR"/>
              </w:rPr>
              <w:t xml:space="preserve"> </w:t>
            </w:r>
          </w:p>
        </w:tc>
        <w:tc>
          <w:tcPr>
            <w:tcW w:w="235" w:type="dxa"/>
            <w:tcBorders>
              <w:top w:val="nil"/>
              <w:left w:val="nil"/>
              <w:bottom w:val="nil"/>
              <w:right w:val="nil"/>
            </w:tcBorders>
            <w:shd w:val="clear" w:color="auto" w:fill="auto"/>
            <w:noWrap/>
            <w:vAlign w:val="bottom"/>
            <w:hideMark/>
          </w:tcPr>
          <w:p w14:paraId="1D80DF42" w14:textId="77777777" w:rsidR="00A978AF" w:rsidRPr="00F7132F" w:rsidRDefault="00A978AF" w:rsidP="00A978AF">
            <w:pPr>
              <w:spacing w:after="0" w:line="240" w:lineRule="auto"/>
              <w:jc w:val="right"/>
              <w:rPr>
                <w:rFonts w:ascii="Verdana" w:eastAsia="Times New Roman" w:hAnsi="Verdana" w:cs="Calibri"/>
                <w:sz w:val="18"/>
                <w:szCs w:val="18"/>
                <w:lang w:eastAsia="pt-BR"/>
              </w:rPr>
            </w:pPr>
          </w:p>
        </w:tc>
        <w:tc>
          <w:tcPr>
            <w:tcW w:w="1920" w:type="dxa"/>
            <w:tcBorders>
              <w:top w:val="nil"/>
              <w:left w:val="nil"/>
              <w:bottom w:val="nil"/>
              <w:right w:val="nil"/>
            </w:tcBorders>
            <w:shd w:val="clear" w:color="auto" w:fill="auto"/>
            <w:noWrap/>
            <w:vAlign w:val="center"/>
            <w:hideMark/>
          </w:tcPr>
          <w:p w14:paraId="74019F18"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1.028.136 </w:t>
            </w:r>
          </w:p>
        </w:tc>
      </w:tr>
      <w:tr w:rsidR="00A978AF" w:rsidRPr="00116729" w14:paraId="5F2B3D64" w14:textId="77777777" w:rsidTr="00F7132F">
        <w:trPr>
          <w:trHeight w:val="20"/>
        </w:trPr>
        <w:tc>
          <w:tcPr>
            <w:tcW w:w="4950" w:type="dxa"/>
            <w:tcBorders>
              <w:top w:val="nil"/>
              <w:left w:val="nil"/>
              <w:bottom w:val="nil"/>
              <w:right w:val="nil"/>
            </w:tcBorders>
            <w:shd w:val="clear" w:color="auto" w:fill="auto"/>
            <w:noWrap/>
            <w:vAlign w:val="center"/>
            <w:hideMark/>
          </w:tcPr>
          <w:p w14:paraId="4FB81B2C"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Variação cambial</w:t>
            </w:r>
          </w:p>
        </w:tc>
        <w:tc>
          <w:tcPr>
            <w:tcW w:w="233" w:type="dxa"/>
            <w:tcBorders>
              <w:top w:val="nil"/>
              <w:left w:val="nil"/>
              <w:bottom w:val="nil"/>
              <w:right w:val="nil"/>
            </w:tcBorders>
            <w:shd w:val="clear" w:color="auto" w:fill="auto"/>
            <w:noWrap/>
            <w:vAlign w:val="center"/>
            <w:hideMark/>
          </w:tcPr>
          <w:p w14:paraId="64F74C83" w14:textId="77777777" w:rsidR="00A978AF" w:rsidRPr="00F7132F" w:rsidRDefault="00A978AF" w:rsidP="00A978AF">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920" w:type="dxa"/>
            <w:tcBorders>
              <w:top w:val="nil"/>
              <w:left w:val="nil"/>
              <w:bottom w:val="nil"/>
              <w:right w:val="nil"/>
            </w:tcBorders>
            <w:shd w:val="clear" w:color="auto" w:fill="auto"/>
            <w:noWrap/>
            <w:vAlign w:val="center"/>
            <w:hideMark/>
          </w:tcPr>
          <w:p w14:paraId="7E3F1C25"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6.305 </w:t>
            </w:r>
          </w:p>
        </w:tc>
        <w:tc>
          <w:tcPr>
            <w:tcW w:w="235" w:type="dxa"/>
            <w:tcBorders>
              <w:top w:val="nil"/>
              <w:left w:val="nil"/>
              <w:bottom w:val="nil"/>
              <w:right w:val="nil"/>
            </w:tcBorders>
            <w:shd w:val="clear" w:color="auto" w:fill="auto"/>
            <w:noWrap/>
            <w:vAlign w:val="bottom"/>
            <w:hideMark/>
          </w:tcPr>
          <w:p w14:paraId="5627C07C"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920" w:type="dxa"/>
            <w:tcBorders>
              <w:top w:val="nil"/>
              <w:left w:val="nil"/>
              <w:bottom w:val="nil"/>
              <w:right w:val="nil"/>
            </w:tcBorders>
            <w:shd w:val="clear" w:color="auto" w:fill="auto"/>
            <w:noWrap/>
            <w:vAlign w:val="center"/>
            <w:hideMark/>
          </w:tcPr>
          <w:p w14:paraId="4E10376D"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6.305 </w:t>
            </w:r>
          </w:p>
        </w:tc>
      </w:tr>
      <w:tr w:rsidR="00A978AF" w:rsidRPr="00116729" w14:paraId="79371442" w14:textId="77777777" w:rsidTr="00F7132F">
        <w:trPr>
          <w:trHeight w:val="20"/>
        </w:trPr>
        <w:tc>
          <w:tcPr>
            <w:tcW w:w="4950" w:type="dxa"/>
            <w:tcBorders>
              <w:top w:val="nil"/>
              <w:left w:val="nil"/>
              <w:bottom w:val="nil"/>
              <w:right w:val="nil"/>
            </w:tcBorders>
            <w:shd w:val="clear" w:color="auto" w:fill="auto"/>
            <w:noWrap/>
            <w:vAlign w:val="center"/>
            <w:hideMark/>
          </w:tcPr>
          <w:p w14:paraId="18DF1BA5"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Resultado de equivalência patrimonial</w:t>
            </w:r>
          </w:p>
        </w:tc>
        <w:tc>
          <w:tcPr>
            <w:tcW w:w="233" w:type="dxa"/>
            <w:tcBorders>
              <w:top w:val="nil"/>
              <w:left w:val="nil"/>
              <w:bottom w:val="nil"/>
              <w:right w:val="nil"/>
            </w:tcBorders>
            <w:shd w:val="clear" w:color="auto" w:fill="auto"/>
            <w:noWrap/>
            <w:vAlign w:val="center"/>
            <w:hideMark/>
          </w:tcPr>
          <w:p w14:paraId="42343526" w14:textId="77777777" w:rsidR="00A978AF" w:rsidRPr="00F7132F" w:rsidRDefault="00A978AF" w:rsidP="00A978AF">
            <w:pPr>
              <w:spacing w:after="0" w:line="240" w:lineRule="auto"/>
              <w:rPr>
                <w:rFonts w:ascii="Verdana" w:eastAsia="Times New Roman" w:hAnsi="Verdana" w:cs="Calibri"/>
                <w:sz w:val="18"/>
                <w:szCs w:val="18"/>
                <w:lang w:eastAsia="pt-BR"/>
              </w:rPr>
            </w:pPr>
          </w:p>
        </w:tc>
        <w:tc>
          <w:tcPr>
            <w:tcW w:w="1920" w:type="dxa"/>
            <w:tcBorders>
              <w:top w:val="nil"/>
              <w:left w:val="nil"/>
              <w:bottom w:val="nil"/>
              <w:right w:val="nil"/>
            </w:tcBorders>
            <w:shd w:val="clear" w:color="auto" w:fill="auto"/>
            <w:noWrap/>
            <w:vAlign w:val="center"/>
            <w:hideMark/>
          </w:tcPr>
          <w:p w14:paraId="67E7D316"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(7.757)</w:t>
            </w:r>
          </w:p>
        </w:tc>
        <w:tc>
          <w:tcPr>
            <w:tcW w:w="235" w:type="dxa"/>
            <w:tcBorders>
              <w:top w:val="nil"/>
              <w:left w:val="nil"/>
              <w:bottom w:val="nil"/>
              <w:right w:val="nil"/>
            </w:tcBorders>
            <w:shd w:val="clear" w:color="auto" w:fill="auto"/>
            <w:noWrap/>
            <w:vAlign w:val="bottom"/>
            <w:hideMark/>
          </w:tcPr>
          <w:p w14:paraId="4399DC7E" w14:textId="77777777" w:rsidR="00A978AF" w:rsidRPr="00F7132F" w:rsidRDefault="00A978AF" w:rsidP="00A978AF">
            <w:pPr>
              <w:spacing w:after="0" w:line="240" w:lineRule="auto"/>
              <w:jc w:val="right"/>
              <w:rPr>
                <w:rFonts w:ascii="Verdana" w:eastAsia="Times New Roman" w:hAnsi="Verdana" w:cs="Calibri"/>
                <w:sz w:val="18"/>
                <w:szCs w:val="18"/>
                <w:lang w:eastAsia="pt-BR"/>
              </w:rPr>
            </w:pPr>
          </w:p>
        </w:tc>
        <w:tc>
          <w:tcPr>
            <w:tcW w:w="1920" w:type="dxa"/>
            <w:tcBorders>
              <w:top w:val="nil"/>
              <w:left w:val="nil"/>
              <w:bottom w:val="nil"/>
              <w:right w:val="nil"/>
            </w:tcBorders>
            <w:shd w:val="clear" w:color="auto" w:fill="auto"/>
            <w:noWrap/>
            <w:vAlign w:val="center"/>
            <w:hideMark/>
          </w:tcPr>
          <w:p w14:paraId="00AC9E07" w14:textId="77777777" w:rsidR="00A978AF" w:rsidRPr="00F7132F" w:rsidRDefault="00A978AF" w:rsidP="00A978A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r>
      <w:tr w:rsidR="00A978AF" w:rsidRPr="00116729" w14:paraId="1EDF5053" w14:textId="77777777" w:rsidTr="00F7132F">
        <w:trPr>
          <w:trHeight w:val="20"/>
        </w:trPr>
        <w:tc>
          <w:tcPr>
            <w:tcW w:w="4950" w:type="dxa"/>
            <w:tcBorders>
              <w:top w:val="nil"/>
              <w:left w:val="nil"/>
              <w:bottom w:val="nil"/>
              <w:right w:val="nil"/>
            </w:tcBorders>
            <w:shd w:val="clear" w:color="auto" w:fill="auto"/>
            <w:noWrap/>
            <w:vAlign w:val="center"/>
            <w:hideMark/>
          </w:tcPr>
          <w:p w14:paraId="51111E24" w14:textId="77777777" w:rsidR="00A978AF" w:rsidRPr="00F7132F" w:rsidRDefault="00A978AF" w:rsidP="00A978AF">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233" w:type="dxa"/>
            <w:tcBorders>
              <w:top w:val="nil"/>
              <w:left w:val="nil"/>
              <w:bottom w:val="nil"/>
              <w:right w:val="nil"/>
            </w:tcBorders>
            <w:shd w:val="clear" w:color="auto" w:fill="auto"/>
            <w:noWrap/>
            <w:vAlign w:val="center"/>
            <w:hideMark/>
          </w:tcPr>
          <w:p w14:paraId="18BE1B54" w14:textId="77777777" w:rsidR="00A978AF" w:rsidRPr="00F7132F" w:rsidRDefault="00A978AF" w:rsidP="00A978AF">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920" w:type="dxa"/>
            <w:tcBorders>
              <w:top w:val="single" w:sz="4" w:space="0" w:color="auto"/>
              <w:left w:val="nil"/>
              <w:bottom w:val="double" w:sz="6" w:space="0" w:color="auto"/>
              <w:right w:val="nil"/>
            </w:tcBorders>
            <w:shd w:val="clear" w:color="auto" w:fill="auto"/>
            <w:noWrap/>
            <w:vAlign w:val="center"/>
            <w:hideMark/>
          </w:tcPr>
          <w:p w14:paraId="502B2D99" w14:textId="77777777" w:rsidR="00A978AF" w:rsidRPr="00F7132F" w:rsidRDefault="00A978AF" w:rsidP="00A978AF">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xml:space="preserve">       4.782.279 </w:t>
            </w:r>
          </w:p>
        </w:tc>
        <w:tc>
          <w:tcPr>
            <w:tcW w:w="235" w:type="dxa"/>
            <w:tcBorders>
              <w:top w:val="nil"/>
              <w:left w:val="nil"/>
              <w:bottom w:val="nil"/>
              <w:right w:val="nil"/>
            </w:tcBorders>
            <w:shd w:val="clear" w:color="auto" w:fill="auto"/>
            <w:noWrap/>
            <w:vAlign w:val="bottom"/>
            <w:hideMark/>
          </w:tcPr>
          <w:p w14:paraId="23811662"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920" w:type="dxa"/>
            <w:tcBorders>
              <w:top w:val="single" w:sz="4" w:space="0" w:color="auto"/>
              <w:left w:val="nil"/>
              <w:bottom w:val="double" w:sz="6" w:space="0" w:color="auto"/>
              <w:right w:val="nil"/>
            </w:tcBorders>
            <w:shd w:val="clear" w:color="auto" w:fill="auto"/>
            <w:noWrap/>
            <w:vAlign w:val="center"/>
            <w:hideMark/>
          </w:tcPr>
          <w:p w14:paraId="2A44723D" w14:textId="77777777" w:rsidR="00A978AF" w:rsidRPr="00F7132F" w:rsidRDefault="00A978AF" w:rsidP="00A978AF">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xml:space="preserve">       1.290.036 </w:t>
            </w:r>
          </w:p>
        </w:tc>
      </w:tr>
    </w:tbl>
    <w:p w14:paraId="7C1A7F6C" w14:textId="77777777" w:rsidR="002B1787" w:rsidRPr="00F7132F" w:rsidRDefault="00F4139F" w:rsidP="00CF5F07">
      <w:pPr>
        <w:tabs>
          <w:tab w:val="left" w:pos="567"/>
          <w:tab w:val="left" w:pos="1134"/>
          <w:tab w:val="left" w:pos="1701"/>
          <w:tab w:val="left" w:pos="2268"/>
          <w:tab w:val="left" w:pos="2835"/>
        </w:tabs>
        <w:jc w:val="both"/>
        <w:outlineLvl w:val="0"/>
        <w:rPr>
          <w:rFonts w:ascii="Verdana" w:hAnsi="Verdana" w:cstheme="minorHAnsi"/>
          <w:b/>
        </w:rPr>
      </w:pPr>
      <w:r w:rsidRPr="00F7132F">
        <w:rPr>
          <w:rFonts w:ascii="Verdana" w:hAnsi="Verdana" w:cstheme="minorHAnsi"/>
          <w:b/>
        </w:rPr>
        <w:lastRenderedPageBreak/>
        <w:t>1</w:t>
      </w:r>
      <w:r w:rsidR="00581D1F">
        <w:rPr>
          <w:rFonts w:ascii="Verdana" w:hAnsi="Verdana" w:cstheme="minorHAnsi"/>
          <w:b/>
        </w:rPr>
        <w:t>2</w:t>
      </w:r>
      <w:r w:rsidRPr="00F7132F">
        <w:rPr>
          <w:rFonts w:ascii="Verdana" w:hAnsi="Verdana" w:cstheme="minorHAnsi"/>
          <w:b/>
        </w:rPr>
        <w:t xml:space="preserve"> </w:t>
      </w:r>
      <w:r w:rsidR="002B1787" w:rsidRPr="00F7132F">
        <w:rPr>
          <w:rFonts w:ascii="Verdana" w:hAnsi="Verdana" w:cstheme="minorHAnsi"/>
          <w:b/>
        </w:rPr>
        <w:t xml:space="preserve">– IMOBILIZADO </w:t>
      </w:r>
    </w:p>
    <w:p w14:paraId="1F97439A" w14:textId="77777777" w:rsidR="00872054" w:rsidRPr="00116729" w:rsidRDefault="00872054" w:rsidP="00872054">
      <w:pPr>
        <w:jc w:val="both"/>
        <w:rPr>
          <w:rFonts w:ascii="Verdana" w:hAnsi="Verdana" w:cstheme="minorHAnsi"/>
        </w:rPr>
      </w:pPr>
      <w:r w:rsidRPr="00116729">
        <w:rPr>
          <w:rFonts w:ascii="Verdana" w:hAnsi="Verdana" w:cstheme="minorHAnsi"/>
        </w:rPr>
        <w:t>A controlada Eletronuclear detém e opera duas usinas nucleares, Angra 1 e Angra 2, e está construindo uma terceira, Angra 3. Os itens do ativo imobilizado se referem a bens e instalações utilizados na produção e são vinculados ao serviço público de energia elétrica, não podendo ser retirados, alienados, cedidos ou dados em garantia hipotecária, sem a prévia e expressa autorização do Órgão Regulador, segundo a legislação federal vigente.</w:t>
      </w:r>
    </w:p>
    <w:p w14:paraId="3030AF43" w14:textId="72A23FF9" w:rsidR="003072B4" w:rsidRDefault="00872054" w:rsidP="003072B4">
      <w:pPr>
        <w:tabs>
          <w:tab w:val="left" w:pos="1134"/>
          <w:tab w:val="left" w:pos="1418"/>
          <w:tab w:val="left" w:pos="1701"/>
          <w:tab w:val="left" w:pos="1985"/>
          <w:tab w:val="left" w:pos="2268"/>
        </w:tabs>
        <w:jc w:val="both"/>
        <w:rPr>
          <w:rFonts w:ascii="Verdana" w:hAnsi="Verdana" w:cstheme="minorHAnsi"/>
        </w:rPr>
      </w:pPr>
      <w:r w:rsidRPr="00116729">
        <w:rPr>
          <w:rFonts w:ascii="Verdana" w:hAnsi="Verdana" w:cstheme="minorHAnsi"/>
        </w:rPr>
        <w:t xml:space="preserve">Para as instalações de geração termonuclear não há concessão. A autorização para operação comercial é concedida, há outorga e registro de geração concedido pela ANEEL. A Comissão Nacional de Energia Nuclear – CNEN emite as autorizações para operação das usinas por um período de 40 anos, contados a partir do início da operação comercial e, com base na Reavaliação Periódica de Segurança – RPS, renovável por períodos de dez anos, as autorizações necessárias, podendo compreender períodos maiores. Anos antes do vencimento, cada usina pode solicitar uma prorrogação de sua autorização à CNEN. Para obter a prorrogação, a CNEN pode solicitar uma avaliação das condições operacionais da usina e, eventualmente a substituição de certos equipamentos. A </w:t>
      </w:r>
      <w:r w:rsidR="00DA30CF" w:rsidRPr="00116729">
        <w:rPr>
          <w:rFonts w:ascii="Verdana" w:hAnsi="Verdana" w:cstheme="minorHAnsi"/>
        </w:rPr>
        <w:t xml:space="preserve">controlada </w:t>
      </w:r>
      <w:r w:rsidRPr="00116729">
        <w:rPr>
          <w:rFonts w:ascii="Verdana" w:hAnsi="Verdana" w:cstheme="minorHAnsi"/>
        </w:rPr>
        <w:t>E</w:t>
      </w:r>
      <w:r w:rsidR="00DA30CF" w:rsidRPr="00116729">
        <w:rPr>
          <w:rFonts w:ascii="Verdana" w:hAnsi="Verdana" w:cstheme="minorHAnsi"/>
        </w:rPr>
        <w:t>letronuclear</w:t>
      </w:r>
      <w:r w:rsidRPr="00116729">
        <w:rPr>
          <w:rFonts w:ascii="Verdana" w:hAnsi="Verdana" w:cstheme="minorHAnsi"/>
        </w:rPr>
        <w:t xml:space="preserve"> ainda está preparando as análises para a solicitação de extensão de vida útil para a Usina de Angra 1. Isso será feito no momento oportuno. A Licença de operação emitida pelo IBAMA é para a Central Nuclear Almirante Álvaro Alberto – CNAAA, ou seja, para Angra 1 e é válida até 2024. A atual Autorização para Operação Permanente de Angra 1, emitida pela CNEN, expira em 2024. A usina de Angra 2, a atual autorização para Operação Permanente de Angra 2, emitida pela CNEN, expira em junho de 2041.</w:t>
      </w:r>
      <w:r w:rsidRPr="00F7132F">
        <w:rPr>
          <w:rFonts w:ascii="Verdana" w:hAnsi="Verdana" w:cstheme="minorHAnsi"/>
        </w:rPr>
        <w:t xml:space="preserve"> </w:t>
      </w:r>
    </w:p>
    <w:p w14:paraId="557D31A3" w14:textId="77777777" w:rsidR="003072B4" w:rsidRDefault="003072B4" w:rsidP="003072B4">
      <w:pPr>
        <w:tabs>
          <w:tab w:val="left" w:pos="1134"/>
          <w:tab w:val="left" w:pos="1418"/>
          <w:tab w:val="left" w:pos="1701"/>
          <w:tab w:val="left" w:pos="1985"/>
          <w:tab w:val="left" w:pos="2268"/>
        </w:tabs>
        <w:jc w:val="both"/>
        <w:rPr>
          <w:rFonts w:ascii="Verdana" w:hAnsi="Verdana" w:cstheme="minorHAnsi"/>
        </w:rPr>
      </w:pPr>
    </w:p>
    <w:p w14:paraId="4019B988" w14:textId="7C67ABA4" w:rsidR="00872054" w:rsidRDefault="00872054" w:rsidP="003072B4">
      <w:pPr>
        <w:tabs>
          <w:tab w:val="left" w:pos="1134"/>
          <w:tab w:val="left" w:pos="1418"/>
          <w:tab w:val="left" w:pos="1701"/>
          <w:tab w:val="left" w:pos="1985"/>
          <w:tab w:val="left" w:pos="2268"/>
        </w:tabs>
        <w:jc w:val="both"/>
        <w:rPr>
          <w:rFonts w:ascii="Verdana" w:hAnsi="Verdana" w:cstheme="minorHAnsi"/>
        </w:rPr>
      </w:pPr>
      <w:r w:rsidRPr="00116729">
        <w:rPr>
          <w:rFonts w:ascii="Verdana" w:hAnsi="Verdana" w:cstheme="minorHAnsi"/>
        </w:rPr>
        <w:t xml:space="preserve">A seguir demonstramos </w:t>
      </w:r>
      <w:r w:rsidR="00DA30CF" w:rsidRPr="00116729">
        <w:rPr>
          <w:rFonts w:ascii="Verdana" w:hAnsi="Verdana" w:cstheme="minorHAnsi"/>
        </w:rPr>
        <w:t>os saldos em 30 de junho de 2022</w:t>
      </w:r>
      <w:r w:rsidRPr="00116729">
        <w:rPr>
          <w:rFonts w:ascii="Verdana" w:hAnsi="Verdana" w:cstheme="minorHAnsi"/>
        </w:rPr>
        <w:t>:</w:t>
      </w:r>
    </w:p>
    <w:tbl>
      <w:tblPr>
        <w:tblW w:w="9072" w:type="dxa"/>
        <w:tblCellMar>
          <w:left w:w="70" w:type="dxa"/>
          <w:right w:w="70" w:type="dxa"/>
        </w:tblCellMar>
        <w:tblLook w:val="04A0" w:firstRow="1" w:lastRow="0" w:firstColumn="1" w:lastColumn="0" w:noHBand="0" w:noVBand="1"/>
      </w:tblPr>
      <w:tblGrid>
        <w:gridCol w:w="6472"/>
        <w:gridCol w:w="591"/>
        <w:gridCol w:w="2009"/>
      </w:tblGrid>
      <w:tr w:rsidR="000B3334" w:rsidRPr="00C40278" w14:paraId="38BF81F9" w14:textId="77777777" w:rsidTr="000B3334">
        <w:trPr>
          <w:trHeight w:val="23"/>
        </w:trPr>
        <w:tc>
          <w:tcPr>
            <w:tcW w:w="6472" w:type="dxa"/>
            <w:tcBorders>
              <w:top w:val="nil"/>
              <w:left w:val="nil"/>
              <w:bottom w:val="nil"/>
              <w:right w:val="nil"/>
            </w:tcBorders>
            <w:shd w:val="clear" w:color="auto" w:fill="auto"/>
            <w:noWrap/>
            <w:vAlign w:val="bottom"/>
            <w:hideMark/>
          </w:tcPr>
          <w:p w14:paraId="35EF6947" w14:textId="77777777" w:rsidR="000B3334" w:rsidRPr="00C40278" w:rsidRDefault="000B3334" w:rsidP="002773FB">
            <w:pPr>
              <w:spacing w:after="0" w:line="240" w:lineRule="auto"/>
              <w:rPr>
                <w:rFonts w:ascii="Times New Roman" w:eastAsia="Times New Roman" w:hAnsi="Times New Roman" w:cs="Times New Roman"/>
                <w:sz w:val="17"/>
                <w:szCs w:val="17"/>
                <w:lang w:eastAsia="pt-BR"/>
              </w:rPr>
            </w:pPr>
          </w:p>
        </w:tc>
        <w:tc>
          <w:tcPr>
            <w:tcW w:w="591" w:type="dxa"/>
            <w:tcBorders>
              <w:top w:val="nil"/>
              <w:left w:val="nil"/>
              <w:bottom w:val="nil"/>
              <w:right w:val="nil"/>
            </w:tcBorders>
            <w:shd w:val="clear" w:color="auto" w:fill="auto"/>
            <w:noWrap/>
            <w:vAlign w:val="bottom"/>
            <w:hideMark/>
          </w:tcPr>
          <w:p w14:paraId="3CA69E96" w14:textId="77777777" w:rsidR="000B3334" w:rsidRPr="00C40278" w:rsidRDefault="000B3334" w:rsidP="002773FB">
            <w:pPr>
              <w:spacing w:after="0" w:line="240" w:lineRule="auto"/>
              <w:rPr>
                <w:rFonts w:ascii="Times New Roman" w:eastAsia="Times New Roman" w:hAnsi="Times New Roman" w:cs="Times New Roman"/>
                <w:sz w:val="17"/>
                <w:szCs w:val="17"/>
                <w:lang w:eastAsia="pt-BR"/>
              </w:rPr>
            </w:pPr>
          </w:p>
        </w:tc>
        <w:tc>
          <w:tcPr>
            <w:tcW w:w="2009" w:type="dxa"/>
            <w:tcBorders>
              <w:top w:val="nil"/>
              <w:left w:val="nil"/>
              <w:bottom w:val="single" w:sz="4" w:space="0" w:color="auto"/>
              <w:right w:val="nil"/>
            </w:tcBorders>
            <w:shd w:val="clear" w:color="auto" w:fill="auto"/>
            <w:noWrap/>
            <w:vAlign w:val="bottom"/>
            <w:hideMark/>
          </w:tcPr>
          <w:p w14:paraId="5F1EB981" w14:textId="77777777" w:rsidR="000B3334" w:rsidRPr="00C40278" w:rsidRDefault="000B3334" w:rsidP="002773FB">
            <w:pPr>
              <w:spacing w:after="0" w:line="240" w:lineRule="auto"/>
              <w:ind w:left="209" w:hanging="209"/>
              <w:jc w:val="center"/>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 xml:space="preserve"> Controladora </w:t>
            </w:r>
          </w:p>
        </w:tc>
      </w:tr>
      <w:tr w:rsidR="000B3334" w:rsidRPr="00C40278" w14:paraId="1C0601BA" w14:textId="77777777" w:rsidTr="000B3334">
        <w:trPr>
          <w:trHeight w:val="23"/>
        </w:trPr>
        <w:tc>
          <w:tcPr>
            <w:tcW w:w="6472" w:type="dxa"/>
            <w:tcBorders>
              <w:top w:val="nil"/>
              <w:left w:val="nil"/>
              <w:bottom w:val="nil"/>
              <w:right w:val="nil"/>
            </w:tcBorders>
            <w:shd w:val="clear" w:color="auto" w:fill="auto"/>
            <w:vAlign w:val="center"/>
            <w:hideMark/>
          </w:tcPr>
          <w:p w14:paraId="25EA0DD1" w14:textId="77777777" w:rsidR="000B3334" w:rsidRPr="00C40278" w:rsidRDefault="000B3334" w:rsidP="002773FB">
            <w:pPr>
              <w:spacing w:after="0" w:line="240" w:lineRule="auto"/>
              <w:jc w:val="center"/>
              <w:rPr>
                <w:rFonts w:ascii="Verdana" w:eastAsia="Times New Roman" w:hAnsi="Verdana" w:cs="Calibri"/>
                <w:b/>
                <w:bCs/>
                <w:sz w:val="17"/>
                <w:szCs w:val="17"/>
                <w:lang w:eastAsia="pt-BR"/>
              </w:rPr>
            </w:pPr>
          </w:p>
        </w:tc>
        <w:tc>
          <w:tcPr>
            <w:tcW w:w="591" w:type="dxa"/>
            <w:tcBorders>
              <w:top w:val="nil"/>
              <w:left w:val="nil"/>
              <w:bottom w:val="nil"/>
              <w:right w:val="nil"/>
            </w:tcBorders>
            <w:shd w:val="clear" w:color="auto" w:fill="auto"/>
            <w:vAlign w:val="center"/>
            <w:hideMark/>
          </w:tcPr>
          <w:p w14:paraId="1F20D508" w14:textId="77777777" w:rsidR="000B3334" w:rsidRPr="00C40278" w:rsidRDefault="000B3334" w:rsidP="002773FB">
            <w:pPr>
              <w:spacing w:after="0" w:line="240" w:lineRule="auto"/>
              <w:rPr>
                <w:rFonts w:ascii="Times New Roman" w:eastAsia="Times New Roman" w:hAnsi="Times New Roman" w:cs="Times New Roman"/>
                <w:sz w:val="17"/>
                <w:szCs w:val="17"/>
                <w:lang w:eastAsia="pt-BR"/>
              </w:rPr>
            </w:pPr>
          </w:p>
        </w:tc>
        <w:tc>
          <w:tcPr>
            <w:tcW w:w="2009" w:type="dxa"/>
            <w:tcBorders>
              <w:top w:val="nil"/>
              <w:left w:val="nil"/>
              <w:bottom w:val="single" w:sz="4" w:space="0" w:color="auto"/>
              <w:right w:val="nil"/>
            </w:tcBorders>
            <w:shd w:val="clear" w:color="auto" w:fill="auto"/>
            <w:vAlign w:val="center"/>
            <w:hideMark/>
          </w:tcPr>
          <w:p w14:paraId="49996008" w14:textId="77777777" w:rsidR="000B3334" w:rsidRPr="00C40278" w:rsidRDefault="000B3334" w:rsidP="002773FB">
            <w:pPr>
              <w:spacing w:after="0" w:line="240" w:lineRule="auto"/>
              <w:ind w:left="209" w:hanging="209"/>
              <w:jc w:val="center"/>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 xml:space="preserve"> 30/06/2022 </w:t>
            </w:r>
          </w:p>
        </w:tc>
      </w:tr>
      <w:tr w:rsidR="000B3334" w:rsidRPr="00C40278" w14:paraId="02B6FEF4" w14:textId="77777777" w:rsidTr="000B3334">
        <w:trPr>
          <w:trHeight w:val="23"/>
        </w:trPr>
        <w:tc>
          <w:tcPr>
            <w:tcW w:w="6472" w:type="dxa"/>
            <w:tcBorders>
              <w:top w:val="nil"/>
              <w:left w:val="nil"/>
              <w:bottom w:val="nil"/>
              <w:right w:val="nil"/>
            </w:tcBorders>
            <w:shd w:val="clear" w:color="auto" w:fill="auto"/>
            <w:noWrap/>
            <w:vAlign w:val="center"/>
            <w:hideMark/>
          </w:tcPr>
          <w:p w14:paraId="2D7D08D9" w14:textId="77777777" w:rsidR="000B3334" w:rsidRPr="00C40278" w:rsidRDefault="000B3334" w:rsidP="002773FB">
            <w:pPr>
              <w:spacing w:after="0" w:line="240" w:lineRule="auto"/>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Direito de uso</w:t>
            </w:r>
          </w:p>
        </w:tc>
        <w:tc>
          <w:tcPr>
            <w:tcW w:w="591" w:type="dxa"/>
            <w:tcBorders>
              <w:top w:val="nil"/>
              <w:left w:val="nil"/>
              <w:bottom w:val="nil"/>
              <w:right w:val="nil"/>
            </w:tcBorders>
            <w:shd w:val="clear" w:color="auto" w:fill="auto"/>
            <w:noWrap/>
            <w:vAlign w:val="center"/>
            <w:hideMark/>
          </w:tcPr>
          <w:p w14:paraId="30C9433A" w14:textId="77777777" w:rsidR="000B3334" w:rsidRPr="00C40278" w:rsidRDefault="000B3334" w:rsidP="002773FB">
            <w:pPr>
              <w:spacing w:after="0" w:line="240" w:lineRule="auto"/>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 </w:t>
            </w:r>
          </w:p>
        </w:tc>
        <w:tc>
          <w:tcPr>
            <w:tcW w:w="2009" w:type="dxa"/>
            <w:tcBorders>
              <w:top w:val="nil"/>
              <w:left w:val="nil"/>
              <w:bottom w:val="nil"/>
              <w:right w:val="nil"/>
            </w:tcBorders>
            <w:shd w:val="clear" w:color="auto" w:fill="auto"/>
            <w:noWrap/>
            <w:vAlign w:val="center"/>
            <w:hideMark/>
          </w:tcPr>
          <w:p w14:paraId="3424CC1B" w14:textId="77777777" w:rsidR="000B3334" w:rsidRPr="00C40278" w:rsidRDefault="000B3334" w:rsidP="002773FB">
            <w:pPr>
              <w:spacing w:after="0" w:line="240" w:lineRule="auto"/>
              <w:ind w:left="209" w:hanging="209"/>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w:t>
            </w:r>
          </w:p>
        </w:tc>
      </w:tr>
      <w:tr w:rsidR="000B3334" w:rsidRPr="00C40278" w14:paraId="25FAA03C" w14:textId="77777777" w:rsidTr="000B3334">
        <w:trPr>
          <w:trHeight w:val="23"/>
        </w:trPr>
        <w:tc>
          <w:tcPr>
            <w:tcW w:w="6472" w:type="dxa"/>
            <w:tcBorders>
              <w:top w:val="nil"/>
              <w:left w:val="nil"/>
              <w:bottom w:val="nil"/>
              <w:right w:val="nil"/>
            </w:tcBorders>
            <w:shd w:val="clear" w:color="auto" w:fill="auto"/>
            <w:noWrap/>
            <w:vAlign w:val="center"/>
            <w:hideMark/>
          </w:tcPr>
          <w:p w14:paraId="415F93A2" w14:textId="77777777" w:rsidR="000B3334" w:rsidRPr="00C40278" w:rsidRDefault="000B3334" w:rsidP="002773FB">
            <w:pPr>
              <w:spacing w:after="0" w:line="240" w:lineRule="auto"/>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 xml:space="preserve">  Imobilizado em serviço</w:t>
            </w:r>
          </w:p>
        </w:tc>
        <w:tc>
          <w:tcPr>
            <w:tcW w:w="591" w:type="dxa"/>
            <w:tcBorders>
              <w:top w:val="nil"/>
              <w:left w:val="nil"/>
              <w:bottom w:val="nil"/>
              <w:right w:val="nil"/>
            </w:tcBorders>
            <w:shd w:val="clear" w:color="auto" w:fill="auto"/>
            <w:noWrap/>
            <w:vAlign w:val="center"/>
            <w:hideMark/>
          </w:tcPr>
          <w:p w14:paraId="0AAF8227" w14:textId="77777777" w:rsidR="000B3334" w:rsidRPr="00C40278" w:rsidRDefault="000B3334" w:rsidP="002773FB">
            <w:pPr>
              <w:spacing w:after="0" w:line="240" w:lineRule="auto"/>
              <w:rPr>
                <w:rFonts w:ascii="Verdana" w:eastAsia="Times New Roman" w:hAnsi="Verdana" w:cs="Calibri"/>
                <w:b/>
                <w:bCs/>
                <w:sz w:val="17"/>
                <w:szCs w:val="17"/>
                <w:lang w:eastAsia="pt-BR"/>
              </w:rPr>
            </w:pPr>
          </w:p>
        </w:tc>
        <w:tc>
          <w:tcPr>
            <w:tcW w:w="2009" w:type="dxa"/>
            <w:tcBorders>
              <w:top w:val="nil"/>
              <w:left w:val="nil"/>
              <w:bottom w:val="nil"/>
              <w:right w:val="nil"/>
            </w:tcBorders>
            <w:shd w:val="clear" w:color="auto" w:fill="auto"/>
            <w:noWrap/>
            <w:vAlign w:val="bottom"/>
            <w:hideMark/>
          </w:tcPr>
          <w:p w14:paraId="0A20C38D" w14:textId="77777777" w:rsidR="000B3334" w:rsidRPr="00C40278" w:rsidRDefault="000B3334" w:rsidP="002773FB">
            <w:pPr>
              <w:spacing w:after="0" w:line="240" w:lineRule="auto"/>
              <w:ind w:left="209" w:hanging="209"/>
              <w:rPr>
                <w:rFonts w:ascii="Times New Roman" w:eastAsia="Times New Roman" w:hAnsi="Times New Roman" w:cs="Times New Roman"/>
                <w:sz w:val="17"/>
                <w:szCs w:val="17"/>
                <w:lang w:eastAsia="pt-BR"/>
              </w:rPr>
            </w:pPr>
          </w:p>
        </w:tc>
      </w:tr>
      <w:tr w:rsidR="000B3334" w:rsidRPr="00C40278" w14:paraId="1ECEC961" w14:textId="77777777" w:rsidTr="000B3334">
        <w:trPr>
          <w:trHeight w:val="23"/>
        </w:trPr>
        <w:tc>
          <w:tcPr>
            <w:tcW w:w="6472" w:type="dxa"/>
            <w:tcBorders>
              <w:top w:val="nil"/>
              <w:left w:val="nil"/>
              <w:bottom w:val="nil"/>
              <w:right w:val="nil"/>
            </w:tcBorders>
            <w:shd w:val="clear" w:color="auto" w:fill="auto"/>
            <w:noWrap/>
            <w:vAlign w:val="center"/>
            <w:hideMark/>
          </w:tcPr>
          <w:p w14:paraId="1AE1F77D" w14:textId="77777777" w:rsidR="000B3334" w:rsidRPr="00C40278" w:rsidRDefault="000B3334" w:rsidP="002773FB">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Edificações, obras civis e benfeitorias</w:t>
            </w:r>
          </w:p>
        </w:tc>
        <w:tc>
          <w:tcPr>
            <w:tcW w:w="591" w:type="dxa"/>
            <w:tcBorders>
              <w:top w:val="nil"/>
              <w:left w:val="nil"/>
              <w:bottom w:val="nil"/>
              <w:right w:val="nil"/>
            </w:tcBorders>
            <w:shd w:val="clear" w:color="auto" w:fill="auto"/>
            <w:noWrap/>
            <w:vAlign w:val="center"/>
            <w:hideMark/>
          </w:tcPr>
          <w:p w14:paraId="69E03A25" w14:textId="77777777" w:rsidR="000B3334" w:rsidRPr="00C40278" w:rsidRDefault="000B3334" w:rsidP="002773FB">
            <w:pPr>
              <w:spacing w:after="0" w:line="240" w:lineRule="auto"/>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 </w:t>
            </w:r>
          </w:p>
        </w:tc>
        <w:tc>
          <w:tcPr>
            <w:tcW w:w="2009" w:type="dxa"/>
            <w:tcBorders>
              <w:top w:val="nil"/>
              <w:left w:val="nil"/>
              <w:bottom w:val="nil"/>
              <w:right w:val="nil"/>
            </w:tcBorders>
            <w:shd w:val="clear" w:color="auto" w:fill="auto"/>
            <w:noWrap/>
            <w:vAlign w:val="center"/>
            <w:hideMark/>
          </w:tcPr>
          <w:p w14:paraId="5A237F12" w14:textId="77777777" w:rsidR="000B3334" w:rsidRPr="00C40278" w:rsidRDefault="000B3334" w:rsidP="002773FB">
            <w:pPr>
              <w:spacing w:after="0" w:line="240" w:lineRule="auto"/>
              <w:ind w:left="209" w:hanging="209"/>
              <w:jc w:val="right"/>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8.508 </w:t>
            </w:r>
          </w:p>
        </w:tc>
      </w:tr>
      <w:tr w:rsidR="000B3334" w:rsidRPr="00C40278" w14:paraId="204570EF" w14:textId="77777777" w:rsidTr="000B3334">
        <w:trPr>
          <w:trHeight w:val="23"/>
        </w:trPr>
        <w:tc>
          <w:tcPr>
            <w:tcW w:w="6472" w:type="dxa"/>
            <w:tcBorders>
              <w:top w:val="nil"/>
              <w:left w:val="nil"/>
              <w:bottom w:val="nil"/>
              <w:right w:val="nil"/>
            </w:tcBorders>
            <w:shd w:val="clear" w:color="auto" w:fill="auto"/>
            <w:noWrap/>
            <w:vAlign w:val="bottom"/>
            <w:hideMark/>
          </w:tcPr>
          <w:p w14:paraId="7E106108" w14:textId="77777777" w:rsidR="000B3334" w:rsidRPr="00C40278" w:rsidRDefault="000B3334" w:rsidP="002773FB">
            <w:pPr>
              <w:spacing w:after="0" w:line="240" w:lineRule="auto"/>
              <w:jc w:val="right"/>
              <w:rPr>
                <w:rFonts w:ascii="Verdana" w:eastAsia="Times New Roman" w:hAnsi="Verdana" w:cs="Calibri"/>
                <w:sz w:val="17"/>
                <w:szCs w:val="17"/>
                <w:lang w:eastAsia="pt-BR"/>
              </w:rPr>
            </w:pPr>
          </w:p>
        </w:tc>
        <w:tc>
          <w:tcPr>
            <w:tcW w:w="591" w:type="dxa"/>
            <w:tcBorders>
              <w:top w:val="nil"/>
              <w:left w:val="nil"/>
              <w:bottom w:val="nil"/>
              <w:right w:val="nil"/>
            </w:tcBorders>
            <w:shd w:val="clear" w:color="auto" w:fill="auto"/>
            <w:noWrap/>
            <w:vAlign w:val="bottom"/>
            <w:hideMark/>
          </w:tcPr>
          <w:p w14:paraId="55676518" w14:textId="77777777" w:rsidR="000B3334" w:rsidRPr="00C40278" w:rsidRDefault="000B3334" w:rsidP="002773FB">
            <w:pPr>
              <w:spacing w:after="0" w:line="240" w:lineRule="auto"/>
              <w:rPr>
                <w:rFonts w:ascii="Times New Roman" w:eastAsia="Times New Roman" w:hAnsi="Times New Roman" w:cs="Times New Roman"/>
                <w:sz w:val="17"/>
                <w:szCs w:val="17"/>
                <w:lang w:eastAsia="pt-BR"/>
              </w:rPr>
            </w:pPr>
          </w:p>
        </w:tc>
        <w:tc>
          <w:tcPr>
            <w:tcW w:w="2009" w:type="dxa"/>
            <w:tcBorders>
              <w:top w:val="single" w:sz="4" w:space="0" w:color="auto"/>
              <w:left w:val="nil"/>
              <w:bottom w:val="double" w:sz="6" w:space="0" w:color="auto"/>
              <w:right w:val="nil"/>
            </w:tcBorders>
            <w:shd w:val="clear" w:color="auto" w:fill="auto"/>
            <w:noWrap/>
            <w:vAlign w:val="center"/>
            <w:hideMark/>
          </w:tcPr>
          <w:p w14:paraId="7A9E26DA" w14:textId="77777777" w:rsidR="000B3334" w:rsidRPr="00C40278" w:rsidRDefault="000B3334" w:rsidP="002773FB">
            <w:pPr>
              <w:spacing w:after="0" w:line="240" w:lineRule="auto"/>
              <w:ind w:left="209" w:hanging="209"/>
              <w:jc w:val="right"/>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 xml:space="preserve">             8.508 </w:t>
            </w:r>
          </w:p>
        </w:tc>
      </w:tr>
    </w:tbl>
    <w:p w14:paraId="230A3E7E" w14:textId="7939D06C" w:rsidR="003072B4" w:rsidRDefault="003072B4" w:rsidP="00872054">
      <w:pPr>
        <w:tabs>
          <w:tab w:val="left" w:pos="1134"/>
          <w:tab w:val="left" w:pos="1418"/>
          <w:tab w:val="left" w:pos="1701"/>
          <w:tab w:val="left" w:pos="1985"/>
          <w:tab w:val="left" w:pos="2268"/>
        </w:tabs>
        <w:jc w:val="both"/>
        <w:rPr>
          <w:rFonts w:ascii="Verdana" w:hAnsi="Verdana" w:cstheme="minorHAnsi"/>
        </w:rPr>
      </w:pPr>
    </w:p>
    <w:p w14:paraId="39FDC3B5" w14:textId="77777777" w:rsidR="003072B4" w:rsidRDefault="003072B4">
      <w:pPr>
        <w:rPr>
          <w:rFonts w:ascii="Verdana" w:hAnsi="Verdana" w:cstheme="minorHAnsi"/>
        </w:rPr>
      </w:pPr>
      <w:r>
        <w:rPr>
          <w:rFonts w:ascii="Verdana" w:hAnsi="Verdana" w:cstheme="minorHAnsi"/>
        </w:rPr>
        <w:br w:type="page"/>
      </w:r>
    </w:p>
    <w:tbl>
      <w:tblPr>
        <w:tblW w:w="9050" w:type="dxa"/>
        <w:tblCellMar>
          <w:left w:w="70" w:type="dxa"/>
          <w:right w:w="70" w:type="dxa"/>
        </w:tblCellMar>
        <w:tblLook w:val="04A0" w:firstRow="1" w:lastRow="0" w:firstColumn="1" w:lastColumn="0" w:noHBand="0" w:noVBand="1"/>
      </w:tblPr>
      <w:tblGrid>
        <w:gridCol w:w="6709"/>
        <w:gridCol w:w="282"/>
        <w:gridCol w:w="2059"/>
      </w:tblGrid>
      <w:tr w:rsidR="00A978AF" w:rsidRPr="00C40278" w14:paraId="444666BF" w14:textId="77777777" w:rsidTr="00DE1EA6">
        <w:trPr>
          <w:trHeight w:val="17"/>
        </w:trPr>
        <w:tc>
          <w:tcPr>
            <w:tcW w:w="6709" w:type="dxa"/>
            <w:tcBorders>
              <w:top w:val="nil"/>
              <w:left w:val="nil"/>
              <w:bottom w:val="nil"/>
              <w:right w:val="nil"/>
            </w:tcBorders>
            <w:shd w:val="clear" w:color="auto" w:fill="auto"/>
            <w:noWrap/>
            <w:vAlign w:val="bottom"/>
            <w:hideMark/>
          </w:tcPr>
          <w:p w14:paraId="5B0C2E0E" w14:textId="77777777" w:rsidR="00A978AF" w:rsidRPr="00C40278" w:rsidRDefault="007B7A68" w:rsidP="00A978AF">
            <w:pPr>
              <w:spacing w:after="0" w:line="240" w:lineRule="auto"/>
              <w:rPr>
                <w:rFonts w:ascii="Times New Roman" w:eastAsia="Times New Roman" w:hAnsi="Times New Roman" w:cs="Times New Roman"/>
                <w:sz w:val="17"/>
                <w:szCs w:val="17"/>
                <w:lang w:eastAsia="pt-BR"/>
              </w:rPr>
            </w:pPr>
            <w:r w:rsidRPr="00C40278">
              <w:rPr>
                <w:rFonts w:ascii="Verdana" w:hAnsi="Verdana" w:cstheme="minorHAnsi"/>
                <w:noProof/>
                <w:sz w:val="17"/>
                <w:szCs w:val="17"/>
                <w:lang w:eastAsia="pt-BR"/>
              </w:rPr>
              <w:lastRenderedPageBreak/>
              <w:br w:type="page"/>
            </w:r>
          </w:p>
        </w:tc>
        <w:tc>
          <w:tcPr>
            <w:tcW w:w="282" w:type="dxa"/>
            <w:tcBorders>
              <w:top w:val="nil"/>
              <w:left w:val="nil"/>
              <w:bottom w:val="nil"/>
              <w:right w:val="nil"/>
            </w:tcBorders>
            <w:shd w:val="clear" w:color="auto" w:fill="auto"/>
            <w:noWrap/>
            <w:vAlign w:val="bottom"/>
            <w:hideMark/>
          </w:tcPr>
          <w:p w14:paraId="7D4FB775" w14:textId="77777777" w:rsidR="00A978AF" w:rsidRPr="00C40278" w:rsidRDefault="00A978AF" w:rsidP="00A978AF">
            <w:pPr>
              <w:spacing w:after="0" w:line="240" w:lineRule="auto"/>
              <w:rPr>
                <w:rFonts w:ascii="Times New Roman" w:eastAsia="Times New Roman" w:hAnsi="Times New Roman" w:cs="Times New Roman"/>
                <w:sz w:val="17"/>
                <w:szCs w:val="17"/>
                <w:lang w:eastAsia="pt-BR"/>
              </w:rPr>
            </w:pPr>
          </w:p>
        </w:tc>
        <w:tc>
          <w:tcPr>
            <w:tcW w:w="2059" w:type="dxa"/>
            <w:tcBorders>
              <w:top w:val="nil"/>
              <w:left w:val="nil"/>
              <w:bottom w:val="single" w:sz="4" w:space="0" w:color="auto"/>
              <w:right w:val="nil"/>
            </w:tcBorders>
            <w:shd w:val="clear" w:color="auto" w:fill="auto"/>
            <w:noWrap/>
            <w:vAlign w:val="bottom"/>
            <w:hideMark/>
          </w:tcPr>
          <w:p w14:paraId="763E04AD" w14:textId="77777777" w:rsidR="00A978AF" w:rsidRPr="00C40278" w:rsidRDefault="00A978AF" w:rsidP="00A978AF">
            <w:pPr>
              <w:spacing w:after="0" w:line="240" w:lineRule="auto"/>
              <w:jc w:val="center"/>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 xml:space="preserve"> Consolidado </w:t>
            </w:r>
          </w:p>
        </w:tc>
      </w:tr>
      <w:tr w:rsidR="00A978AF" w:rsidRPr="00C40278" w14:paraId="0A020590" w14:textId="77777777" w:rsidTr="00DE1EA6">
        <w:trPr>
          <w:trHeight w:val="17"/>
        </w:trPr>
        <w:tc>
          <w:tcPr>
            <w:tcW w:w="6709" w:type="dxa"/>
            <w:tcBorders>
              <w:top w:val="nil"/>
              <w:left w:val="nil"/>
              <w:bottom w:val="nil"/>
              <w:right w:val="nil"/>
            </w:tcBorders>
            <w:shd w:val="clear" w:color="auto" w:fill="auto"/>
            <w:vAlign w:val="center"/>
            <w:hideMark/>
          </w:tcPr>
          <w:p w14:paraId="5BE077A4" w14:textId="77777777" w:rsidR="00A978AF" w:rsidRPr="00C40278" w:rsidRDefault="00A978AF" w:rsidP="00A978AF">
            <w:pPr>
              <w:spacing w:after="0" w:line="240" w:lineRule="auto"/>
              <w:jc w:val="center"/>
              <w:rPr>
                <w:rFonts w:ascii="Verdana" w:eastAsia="Times New Roman" w:hAnsi="Verdana" w:cs="Calibri"/>
                <w:b/>
                <w:bCs/>
                <w:sz w:val="17"/>
                <w:szCs w:val="17"/>
                <w:lang w:eastAsia="pt-BR"/>
              </w:rPr>
            </w:pPr>
          </w:p>
        </w:tc>
        <w:tc>
          <w:tcPr>
            <w:tcW w:w="282" w:type="dxa"/>
            <w:tcBorders>
              <w:top w:val="nil"/>
              <w:left w:val="nil"/>
              <w:bottom w:val="nil"/>
              <w:right w:val="nil"/>
            </w:tcBorders>
            <w:shd w:val="clear" w:color="auto" w:fill="auto"/>
            <w:vAlign w:val="center"/>
            <w:hideMark/>
          </w:tcPr>
          <w:p w14:paraId="4D5AA8A4" w14:textId="77777777" w:rsidR="00A978AF" w:rsidRPr="00C40278" w:rsidRDefault="00A978AF" w:rsidP="00A978AF">
            <w:pPr>
              <w:spacing w:after="0" w:line="240" w:lineRule="auto"/>
              <w:rPr>
                <w:rFonts w:ascii="Times New Roman" w:eastAsia="Times New Roman" w:hAnsi="Times New Roman" w:cs="Times New Roman"/>
                <w:sz w:val="17"/>
                <w:szCs w:val="17"/>
                <w:lang w:eastAsia="pt-BR"/>
              </w:rPr>
            </w:pPr>
          </w:p>
        </w:tc>
        <w:tc>
          <w:tcPr>
            <w:tcW w:w="2059" w:type="dxa"/>
            <w:tcBorders>
              <w:top w:val="nil"/>
              <w:left w:val="nil"/>
              <w:bottom w:val="single" w:sz="4" w:space="0" w:color="auto"/>
              <w:right w:val="nil"/>
            </w:tcBorders>
            <w:shd w:val="clear" w:color="auto" w:fill="auto"/>
            <w:vAlign w:val="center"/>
            <w:hideMark/>
          </w:tcPr>
          <w:p w14:paraId="2A048228" w14:textId="77777777" w:rsidR="00A978AF" w:rsidRPr="00C40278" w:rsidRDefault="00A978AF">
            <w:pPr>
              <w:spacing w:after="0" w:line="240" w:lineRule="auto"/>
              <w:jc w:val="center"/>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 xml:space="preserve"> 30/06/2022 </w:t>
            </w:r>
          </w:p>
        </w:tc>
      </w:tr>
      <w:tr w:rsidR="00A978AF" w:rsidRPr="00C40278" w14:paraId="0AE53CC9" w14:textId="77777777" w:rsidTr="00DE1EA6">
        <w:trPr>
          <w:trHeight w:val="17"/>
        </w:trPr>
        <w:tc>
          <w:tcPr>
            <w:tcW w:w="6991" w:type="dxa"/>
            <w:gridSpan w:val="2"/>
            <w:tcBorders>
              <w:top w:val="nil"/>
              <w:left w:val="nil"/>
              <w:bottom w:val="nil"/>
              <w:right w:val="nil"/>
            </w:tcBorders>
            <w:shd w:val="clear" w:color="auto" w:fill="auto"/>
            <w:noWrap/>
            <w:vAlign w:val="center"/>
            <w:hideMark/>
          </w:tcPr>
          <w:p w14:paraId="0A9C0E4D" w14:textId="77777777" w:rsidR="00A978AF" w:rsidRPr="00C40278" w:rsidRDefault="00A978AF" w:rsidP="00A978AF">
            <w:pPr>
              <w:spacing w:after="0" w:line="240" w:lineRule="auto"/>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Imobilizado em serviço - Angra 1 e Angra 2</w:t>
            </w:r>
          </w:p>
        </w:tc>
        <w:tc>
          <w:tcPr>
            <w:tcW w:w="2059" w:type="dxa"/>
            <w:tcBorders>
              <w:top w:val="nil"/>
              <w:left w:val="nil"/>
              <w:bottom w:val="nil"/>
              <w:right w:val="nil"/>
            </w:tcBorders>
            <w:shd w:val="clear" w:color="auto" w:fill="auto"/>
            <w:noWrap/>
            <w:vAlign w:val="center"/>
            <w:hideMark/>
          </w:tcPr>
          <w:p w14:paraId="1FDD612A" w14:textId="77777777" w:rsidR="00A978AF" w:rsidRPr="00C40278" w:rsidRDefault="00A978AF" w:rsidP="00A978AF">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w:t>
            </w:r>
          </w:p>
        </w:tc>
      </w:tr>
      <w:tr w:rsidR="00A978AF" w:rsidRPr="00C40278" w14:paraId="12CE7E5A" w14:textId="77777777" w:rsidTr="00DE1EA6">
        <w:trPr>
          <w:trHeight w:val="17"/>
        </w:trPr>
        <w:tc>
          <w:tcPr>
            <w:tcW w:w="6709" w:type="dxa"/>
            <w:tcBorders>
              <w:top w:val="nil"/>
              <w:left w:val="nil"/>
              <w:bottom w:val="nil"/>
              <w:right w:val="nil"/>
            </w:tcBorders>
            <w:shd w:val="clear" w:color="auto" w:fill="auto"/>
            <w:noWrap/>
            <w:vAlign w:val="center"/>
            <w:hideMark/>
          </w:tcPr>
          <w:p w14:paraId="1759AB29" w14:textId="77777777" w:rsidR="00A978AF" w:rsidRPr="00C40278" w:rsidRDefault="00A978AF" w:rsidP="00A978AF">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Terrenos</w:t>
            </w:r>
          </w:p>
        </w:tc>
        <w:tc>
          <w:tcPr>
            <w:tcW w:w="282" w:type="dxa"/>
            <w:tcBorders>
              <w:top w:val="nil"/>
              <w:left w:val="nil"/>
              <w:bottom w:val="nil"/>
              <w:right w:val="nil"/>
            </w:tcBorders>
            <w:shd w:val="clear" w:color="auto" w:fill="auto"/>
            <w:noWrap/>
            <w:vAlign w:val="center"/>
            <w:hideMark/>
          </w:tcPr>
          <w:p w14:paraId="660809F3" w14:textId="77777777" w:rsidR="00A978AF" w:rsidRPr="00C40278" w:rsidRDefault="00A978AF" w:rsidP="00A978AF">
            <w:pPr>
              <w:spacing w:after="0" w:line="240" w:lineRule="auto"/>
              <w:rPr>
                <w:rFonts w:ascii="Verdana" w:eastAsia="Times New Roman" w:hAnsi="Verdana" w:cs="Calibri"/>
                <w:sz w:val="17"/>
                <w:szCs w:val="17"/>
                <w:lang w:eastAsia="pt-BR"/>
              </w:rPr>
            </w:pPr>
          </w:p>
        </w:tc>
        <w:tc>
          <w:tcPr>
            <w:tcW w:w="2059" w:type="dxa"/>
            <w:tcBorders>
              <w:top w:val="nil"/>
              <w:left w:val="nil"/>
              <w:bottom w:val="nil"/>
              <w:right w:val="nil"/>
            </w:tcBorders>
            <w:shd w:val="clear" w:color="auto" w:fill="auto"/>
            <w:noWrap/>
            <w:vAlign w:val="center"/>
            <w:hideMark/>
          </w:tcPr>
          <w:p w14:paraId="5D72A91C" w14:textId="77777777" w:rsidR="00A978AF" w:rsidRPr="00C40278" w:rsidRDefault="00A978AF">
            <w:pPr>
              <w:spacing w:after="0" w:line="240" w:lineRule="auto"/>
              <w:jc w:val="right"/>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34.380 </w:t>
            </w:r>
          </w:p>
        </w:tc>
      </w:tr>
      <w:tr w:rsidR="00A978AF" w:rsidRPr="00C40278" w14:paraId="100C86D5" w14:textId="77777777" w:rsidTr="00DE1EA6">
        <w:trPr>
          <w:trHeight w:val="17"/>
        </w:trPr>
        <w:tc>
          <w:tcPr>
            <w:tcW w:w="6709" w:type="dxa"/>
            <w:tcBorders>
              <w:top w:val="nil"/>
              <w:left w:val="nil"/>
              <w:bottom w:val="nil"/>
              <w:right w:val="nil"/>
            </w:tcBorders>
            <w:shd w:val="clear" w:color="auto" w:fill="auto"/>
            <w:noWrap/>
            <w:vAlign w:val="center"/>
            <w:hideMark/>
          </w:tcPr>
          <w:p w14:paraId="16D1FABF" w14:textId="77777777" w:rsidR="00A978AF" w:rsidRPr="00C40278" w:rsidRDefault="00A978AF" w:rsidP="00A978AF">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Barragens, reservatórios e adutoras</w:t>
            </w:r>
          </w:p>
        </w:tc>
        <w:tc>
          <w:tcPr>
            <w:tcW w:w="282" w:type="dxa"/>
            <w:tcBorders>
              <w:top w:val="nil"/>
              <w:left w:val="nil"/>
              <w:bottom w:val="nil"/>
              <w:right w:val="nil"/>
            </w:tcBorders>
            <w:shd w:val="clear" w:color="auto" w:fill="auto"/>
            <w:noWrap/>
            <w:vAlign w:val="center"/>
            <w:hideMark/>
          </w:tcPr>
          <w:p w14:paraId="108D1FC5" w14:textId="77777777" w:rsidR="00A978AF" w:rsidRPr="00C40278" w:rsidRDefault="00A978AF" w:rsidP="00A978AF">
            <w:pPr>
              <w:spacing w:after="0" w:line="240" w:lineRule="auto"/>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 </w:t>
            </w:r>
          </w:p>
        </w:tc>
        <w:tc>
          <w:tcPr>
            <w:tcW w:w="2059" w:type="dxa"/>
            <w:tcBorders>
              <w:top w:val="nil"/>
              <w:left w:val="nil"/>
              <w:bottom w:val="nil"/>
              <w:right w:val="nil"/>
            </w:tcBorders>
            <w:shd w:val="clear" w:color="auto" w:fill="auto"/>
            <w:noWrap/>
            <w:vAlign w:val="center"/>
            <w:hideMark/>
          </w:tcPr>
          <w:p w14:paraId="11088CC1" w14:textId="77777777" w:rsidR="00A978AF" w:rsidRPr="00C40278" w:rsidRDefault="00A978AF" w:rsidP="00F7132F">
            <w:pPr>
              <w:spacing w:after="0" w:line="240" w:lineRule="auto"/>
              <w:jc w:val="right"/>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1.212 </w:t>
            </w:r>
          </w:p>
        </w:tc>
      </w:tr>
      <w:tr w:rsidR="00A978AF" w:rsidRPr="00C40278" w14:paraId="08DD277A" w14:textId="77777777" w:rsidTr="00DE1EA6">
        <w:trPr>
          <w:trHeight w:val="17"/>
        </w:trPr>
        <w:tc>
          <w:tcPr>
            <w:tcW w:w="6709" w:type="dxa"/>
            <w:tcBorders>
              <w:top w:val="nil"/>
              <w:left w:val="nil"/>
              <w:bottom w:val="nil"/>
              <w:right w:val="nil"/>
            </w:tcBorders>
            <w:shd w:val="clear" w:color="auto" w:fill="auto"/>
            <w:noWrap/>
            <w:vAlign w:val="center"/>
            <w:hideMark/>
          </w:tcPr>
          <w:p w14:paraId="4B9D4E21" w14:textId="77777777" w:rsidR="00A978AF" w:rsidRPr="00C40278" w:rsidRDefault="00A978AF" w:rsidP="00A978AF">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Edificações, obras civis e benfeitorias</w:t>
            </w:r>
          </w:p>
        </w:tc>
        <w:tc>
          <w:tcPr>
            <w:tcW w:w="282" w:type="dxa"/>
            <w:tcBorders>
              <w:top w:val="nil"/>
              <w:left w:val="nil"/>
              <w:bottom w:val="nil"/>
              <w:right w:val="nil"/>
            </w:tcBorders>
            <w:shd w:val="clear" w:color="auto" w:fill="auto"/>
            <w:noWrap/>
            <w:vAlign w:val="center"/>
            <w:hideMark/>
          </w:tcPr>
          <w:p w14:paraId="6CCB1D08" w14:textId="77777777" w:rsidR="00A978AF" w:rsidRPr="00C40278" w:rsidRDefault="00A978AF" w:rsidP="00A978AF">
            <w:pPr>
              <w:spacing w:after="0" w:line="240" w:lineRule="auto"/>
              <w:rPr>
                <w:rFonts w:ascii="Verdana" w:eastAsia="Times New Roman" w:hAnsi="Verdana" w:cs="Calibri"/>
                <w:sz w:val="17"/>
                <w:szCs w:val="17"/>
                <w:lang w:eastAsia="pt-BR"/>
              </w:rPr>
            </w:pPr>
          </w:p>
        </w:tc>
        <w:tc>
          <w:tcPr>
            <w:tcW w:w="2059" w:type="dxa"/>
            <w:tcBorders>
              <w:top w:val="nil"/>
              <w:left w:val="nil"/>
              <w:bottom w:val="nil"/>
              <w:right w:val="nil"/>
            </w:tcBorders>
            <w:shd w:val="clear" w:color="auto" w:fill="auto"/>
            <w:noWrap/>
            <w:vAlign w:val="center"/>
            <w:hideMark/>
          </w:tcPr>
          <w:p w14:paraId="47259BF7" w14:textId="77777777" w:rsidR="00A978AF" w:rsidRPr="00C40278" w:rsidRDefault="00A978AF">
            <w:pPr>
              <w:spacing w:after="0" w:line="240" w:lineRule="auto"/>
              <w:jc w:val="right"/>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472.143 </w:t>
            </w:r>
          </w:p>
        </w:tc>
      </w:tr>
      <w:tr w:rsidR="00A978AF" w:rsidRPr="00C40278" w14:paraId="225B3ACE" w14:textId="77777777" w:rsidTr="00DE1EA6">
        <w:trPr>
          <w:trHeight w:val="17"/>
        </w:trPr>
        <w:tc>
          <w:tcPr>
            <w:tcW w:w="6709" w:type="dxa"/>
            <w:tcBorders>
              <w:top w:val="nil"/>
              <w:left w:val="nil"/>
              <w:bottom w:val="nil"/>
              <w:right w:val="nil"/>
            </w:tcBorders>
            <w:shd w:val="clear" w:color="auto" w:fill="auto"/>
            <w:noWrap/>
            <w:vAlign w:val="center"/>
            <w:hideMark/>
          </w:tcPr>
          <w:p w14:paraId="27403782" w14:textId="77777777" w:rsidR="00A978AF" w:rsidRPr="00C40278" w:rsidRDefault="00A978AF" w:rsidP="00A978AF">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Máquinas e equipamentos</w:t>
            </w:r>
          </w:p>
        </w:tc>
        <w:tc>
          <w:tcPr>
            <w:tcW w:w="282" w:type="dxa"/>
            <w:tcBorders>
              <w:top w:val="nil"/>
              <w:left w:val="nil"/>
              <w:bottom w:val="nil"/>
              <w:right w:val="nil"/>
            </w:tcBorders>
            <w:shd w:val="clear" w:color="auto" w:fill="auto"/>
            <w:noWrap/>
            <w:vAlign w:val="center"/>
            <w:hideMark/>
          </w:tcPr>
          <w:p w14:paraId="659E34F1" w14:textId="77777777" w:rsidR="00A978AF" w:rsidRPr="00C40278" w:rsidRDefault="00A978AF" w:rsidP="00A978AF">
            <w:pPr>
              <w:spacing w:after="0" w:line="240" w:lineRule="auto"/>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 </w:t>
            </w:r>
          </w:p>
        </w:tc>
        <w:tc>
          <w:tcPr>
            <w:tcW w:w="2059" w:type="dxa"/>
            <w:tcBorders>
              <w:top w:val="nil"/>
              <w:left w:val="nil"/>
              <w:bottom w:val="nil"/>
              <w:right w:val="nil"/>
            </w:tcBorders>
            <w:shd w:val="clear" w:color="auto" w:fill="auto"/>
            <w:noWrap/>
            <w:vAlign w:val="center"/>
            <w:hideMark/>
          </w:tcPr>
          <w:p w14:paraId="0161DCAB" w14:textId="77777777" w:rsidR="00A978AF" w:rsidRPr="00C40278" w:rsidRDefault="00A978AF" w:rsidP="00F7132F">
            <w:pPr>
              <w:spacing w:after="0" w:line="240" w:lineRule="auto"/>
              <w:jc w:val="right"/>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2.867.768 </w:t>
            </w:r>
          </w:p>
        </w:tc>
      </w:tr>
      <w:tr w:rsidR="00A978AF" w:rsidRPr="00C40278" w14:paraId="720C7035" w14:textId="77777777" w:rsidTr="00DE1EA6">
        <w:trPr>
          <w:trHeight w:val="17"/>
        </w:trPr>
        <w:tc>
          <w:tcPr>
            <w:tcW w:w="6709" w:type="dxa"/>
            <w:tcBorders>
              <w:top w:val="nil"/>
              <w:left w:val="nil"/>
              <w:bottom w:val="nil"/>
              <w:right w:val="nil"/>
            </w:tcBorders>
            <w:shd w:val="clear" w:color="auto" w:fill="auto"/>
            <w:noWrap/>
            <w:vAlign w:val="center"/>
            <w:hideMark/>
          </w:tcPr>
          <w:p w14:paraId="20EBAA89" w14:textId="77777777" w:rsidR="00A978AF" w:rsidRPr="00C40278" w:rsidRDefault="00A978AF" w:rsidP="00A978AF">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Veículos </w:t>
            </w:r>
          </w:p>
        </w:tc>
        <w:tc>
          <w:tcPr>
            <w:tcW w:w="282" w:type="dxa"/>
            <w:tcBorders>
              <w:top w:val="nil"/>
              <w:left w:val="nil"/>
              <w:bottom w:val="nil"/>
              <w:right w:val="nil"/>
            </w:tcBorders>
            <w:shd w:val="clear" w:color="auto" w:fill="auto"/>
            <w:noWrap/>
            <w:vAlign w:val="center"/>
            <w:hideMark/>
          </w:tcPr>
          <w:p w14:paraId="0BFA0381" w14:textId="77777777" w:rsidR="00A978AF" w:rsidRPr="00C40278" w:rsidRDefault="00A978AF" w:rsidP="00A978AF">
            <w:pPr>
              <w:spacing w:after="0" w:line="240" w:lineRule="auto"/>
              <w:rPr>
                <w:rFonts w:ascii="Verdana" w:eastAsia="Times New Roman" w:hAnsi="Verdana" w:cs="Calibri"/>
                <w:sz w:val="17"/>
                <w:szCs w:val="17"/>
                <w:lang w:eastAsia="pt-BR"/>
              </w:rPr>
            </w:pPr>
          </w:p>
        </w:tc>
        <w:tc>
          <w:tcPr>
            <w:tcW w:w="2059" w:type="dxa"/>
            <w:tcBorders>
              <w:top w:val="nil"/>
              <w:left w:val="nil"/>
              <w:bottom w:val="nil"/>
              <w:right w:val="nil"/>
            </w:tcBorders>
            <w:shd w:val="clear" w:color="auto" w:fill="auto"/>
            <w:noWrap/>
            <w:vAlign w:val="center"/>
            <w:hideMark/>
          </w:tcPr>
          <w:p w14:paraId="116530C3" w14:textId="77777777" w:rsidR="00A978AF" w:rsidRPr="00C40278" w:rsidRDefault="00A978AF">
            <w:pPr>
              <w:spacing w:after="0" w:line="240" w:lineRule="auto"/>
              <w:jc w:val="right"/>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1.162 </w:t>
            </w:r>
          </w:p>
        </w:tc>
      </w:tr>
      <w:tr w:rsidR="00A978AF" w:rsidRPr="00C40278" w14:paraId="1722D53E" w14:textId="77777777" w:rsidTr="00DE1EA6">
        <w:trPr>
          <w:trHeight w:val="17"/>
        </w:trPr>
        <w:tc>
          <w:tcPr>
            <w:tcW w:w="6709" w:type="dxa"/>
            <w:tcBorders>
              <w:top w:val="nil"/>
              <w:left w:val="nil"/>
              <w:bottom w:val="nil"/>
              <w:right w:val="nil"/>
            </w:tcBorders>
            <w:shd w:val="clear" w:color="auto" w:fill="auto"/>
            <w:noWrap/>
            <w:vAlign w:val="center"/>
            <w:hideMark/>
          </w:tcPr>
          <w:p w14:paraId="62398EC3" w14:textId="77777777" w:rsidR="00A978AF" w:rsidRPr="00C40278" w:rsidRDefault="00A978AF" w:rsidP="00A978AF">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Móveis e utensílios</w:t>
            </w:r>
          </w:p>
        </w:tc>
        <w:tc>
          <w:tcPr>
            <w:tcW w:w="282" w:type="dxa"/>
            <w:tcBorders>
              <w:top w:val="nil"/>
              <w:left w:val="nil"/>
              <w:bottom w:val="nil"/>
              <w:right w:val="nil"/>
            </w:tcBorders>
            <w:shd w:val="clear" w:color="auto" w:fill="auto"/>
            <w:noWrap/>
            <w:vAlign w:val="center"/>
            <w:hideMark/>
          </w:tcPr>
          <w:p w14:paraId="5526A77B" w14:textId="77777777" w:rsidR="00A978AF" w:rsidRPr="00C40278" w:rsidRDefault="00A978AF" w:rsidP="00A978AF">
            <w:pPr>
              <w:spacing w:after="0" w:line="240" w:lineRule="auto"/>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 </w:t>
            </w:r>
          </w:p>
        </w:tc>
        <w:tc>
          <w:tcPr>
            <w:tcW w:w="2059" w:type="dxa"/>
            <w:tcBorders>
              <w:top w:val="nil"/>
              <w:left w:val="nil"/>
              <w:bottom w:val="nil"/>
              <w:right w:val="nil"/>
            </w:tcBorders>
            <w:shd w:val="clear" w:color="auto" w:fill="auto"/>
            <w:noWrap/>
            <w:vAlign w:val="center"/>
            <w:hideMark/>
          </w:tcPr>
          <w:p w14:paraId="46F3EEF4" w14:textId="77777777" w:rsidR="00A978AF" w:rsidRPr="00C40278" w:rsidRDefault="00A978AF" w:rsidP="00F7132F">
            <w:pPr>
              <w:spacing w:after="0" w:line="240" w:lineRule="auto"/>
              <w:jc w:val="right"/>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5.900 </w:t>
            </w:r>
          </w:p>
        </w:tc>
      </w:tr>
      <w:tr w:rsidR="00A978AF" w:rsidRPr="00C40278" w14:paraId="7EC0DEC3" w14:textId="77777777" w:rsidTr="00DE1EA6">
        <w:trPr>
          <w:trHeight w:val="17"/>
        </w:trPr>
        <w:tc>
          <w:tcPr>
            <w:tcW w:w="6709" w:type="dxa"/>
            <w:tcBorders>
              <w:top w:val="nil"/>
              <w:left w:val="nil"/>
              <w:bottom w:val="nil"/>
              <w:right w:val="nil"/>
            </w:tcBorders>
            <w:shd w:val="clear" w:color="auto" w:fill="auto"/>
            <w:noWrap/>
            <w:vAlign w:val="center"/>
            <w:hideMark/>
          </w:tcPr>
          <w:p w14:paraId="2E5B73C1" w14:textId="77777777" w:rsidR="00A978AF" w:rsidRPr="00C40278" w:rsidRDefault="00A978AF" w:rsidP="00A978AF">
            <w:pPr>
              <w:spacing w:after="0" w:line="240" w:lineRule="auto"/>
              <w:rPr>
                <w:rFonts w:ascii="Verdana" w:eastAsia="Times New Roman" w:hAnsi="Verdana" w:cs="Calibri"/>
                <w:sz w:val="17"/>
                <w:szCs w:val="17"/>
                <w:lang w:eastAsia="pt-BR"/>
              </w:rPr>
            </w:pPr>
          </w:p>
        </w:tc>
        <w:tc>
          <w:tcPr>
            <w:tcW w:w="282" w:type="dxa"/>
            <w:tcBorders>
              <w:top w:val="nil"/>
              <w:left w:val="nil"/>
              <w:bottom w:val="nil"/>
              <w:right w:val="nil"/>
            </w:tcBorders>
            <w:shd w:val="clear" w:color="auto" w:fill="auto"/>
            <w:noWrap/>
            <w:vAlign w:val="center"/>
            <w:hideMark/>
          </w:tcPr>
          <w:p w14:paraId="057490DA" w14:textId="77777777" w:rsidR="00A978AF" w:rsidRPr="00C40278" w:rsidRDefault="00A978AF" w:rsidP="00A978AF">
            <w:pPr>
              <w:spacing w:after="0" w:line="240" w:lineRule="auto"/>
              <w:rPr>
                <w:rFonts w:ascii="Times New Roman" w:eastAsia="Times New Roman" w:hAnsi="Times New Roman" w:cs="Times New Roman"/>
                <w:sz w:val="17"/>
                <w:szCs w:val="17"/>
                <w:lang w:eastAsia="pt-BR"/>
              </w:rPr>
            </w:pPr>
          </w:p>
        </w:tc>
        <w:tc>
          <w:tcPr>
            <w:tcW w:w="2059" w:type="dxa"/>
            <w:tcBorders>
              <w:top w:val="single" w:sz="4" w:space="0" w:color="auto"/>
              <w:left w:val="nil"/>
              <w:bottom w:val="nil"/>
              <w:right w:val="nil"/>
            </w:tcBorders>
            <w:shd w:val="clear" w:color="auto" w:fill="auto"/>
            <w:noWrap/>
            <w:vAlign w:val="center"/>
            <w:hideMark/>
          </w:tcPr>
          <w:p w14:paraId="63E5B796" w14:textId="77777777" w:rsidR="00A978AF" w:rsidRPr="00C40278" w:rsidRDefault="00A978AF" w:rsidP="00F7132F">
            <w:pPr>
              <w:spacing w:after="0" w:line="240" w:lineRule="auto"/>
              <w:jc w:val="right"/>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 xml:space="preserve">     3.382.565 </w:t>
            </w:r>
          </w:p>
        </w:tc>
      </w:tr>
      <w:tr w:rsidR="00A978AF" w:rsidRPr="00C40278" w14:paraId="11B6141C" w14:textId="77777777" w:rsidTr="00DE1EA6">
        <w:trPr>
          <w:trHeight w:val="17"/>
        </w:trPr>
        <w:tc>
          <w:tcPr>
            <w:tcW w:w="6709" w:type="dxa"/>
            <w:tcBorders>
              <w:top w:val="nil"/>
              <w:left w:val="nil"/>
              <w:bottom w:val="nil"/>
              <w:right w:val="nil"/>
            </w:tcBorders>
            <w:shd w:val="clear" w:color="auto" w:fill="auto"/>
            <w:noWrap/>
            <w:vAlign w:val="center"/>
            <w:hideMark/>
          </w:tcPr>
          <w:p w14:paraId="482EE6E9" w14:textId="77777777" w:rsidR="00A978AF" w:rsidRPr="00C40278" w:rsidRDefault="00A978AF" w:rsidP="00A978AF">
            <w:pPr>
              <w:spacing w:after="0" w:line="240" w:lineRule="auto"/>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Imobilizado em curso - Angra 1 e Angra 2</w:t>
            </w:r>
          </w:p>
        </w:tc>
        <w:tc>
          <w:tcPr>
            <w:tcW w:w="282" w:type="dxa"/>
            <w:tcBorders>
              <w:top w:val="nil"/>
              <w:left w:val="nil"/>
              <w:bottom w:val="nil"/>
              <w:right w:val="nil"/>
            </w:tcBorders>
            <w:shd w:val="clear" w:color="auto" w:fill="auto"/>
            <w:noWrap/>
            <w:vAlign w:val="center"/>
            <w:hideMark/>
          </w:tcPr>
          <w:p w14:paraId="4A5D4D17" w14:textId="77777777" w:rsidR="00A978AF" w:rsidRPr="00C40278" w:rsidRDefault="00A978AF" w:rsidP="00A978AF">
            <w:pPr>
              <w:spacing w:after="0" w:line="240" w:lineRule="auto"/>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 </w:t>
            </w:r>
          </w:p>
        </w:tc>
        <w:tc>
          <w:tcPr>
            <w:tcW w:w="2059" w:type="dxa"/>
            <w:tcBorders>
              <w:top w:val="nil"/>
              <w:left w:val="nil"/>
              <w:bottom w:val="nil"/>
              <w:right w:val="nil"/>
            </w:tcBorders>
            <w:shd w:val="clear" w:color="auto" w:fill="auto"/>
            <w:noWrap/>
            <w:vAlign w:val="center"/>
            <w:hideMark/>
          </w:tcPr>
          <w:p w14:paraId="78633A07" w14:textId="77777777" w:rsidR="00A978AF" w:rsidRPr="00C40278" w:rsidRDefault="00A978AF" w:rsidP="00F7132F">
            <w:pPr>
              <w:spacing w:after="0" w:line="240" w:lineRule="auto"/>
              <w:jc w:val="right"/>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w:t>
            </w:r>
          </w:p>
        </w:tc>
      </w:tr>
      <w:tr w:rsidR="00A978AF" w:rsidRPr="00C40278" w14:paraId="51D71B70" w14:textId="77777777" w:rsidTr="00DE1EA6">
        <w:trPr>
          <w:trHeight w:val="17"/>
        </w:trPr>
        <w:tc>
          <w:tcPr>
            <w:tcW w:w="6709" w:type="dxa"/>
            <w:tcBorders>
              <w:top w:val="nil"/>
              <w:left w:val="nil"/>
              <w:bottom w:val="nil"/>
              <w:right w:val="nil"/>
            </w:tcBorders>
            <w:shd w:val="clear" w:color="auto" w:fill="auto"/>
            <w:noWrap/>
            <w:vAlign w:val="center"/>
            <w:hideMark/>
          </w:tcPr>
          <w:p w14:paraId="112E2980" w14:textId="77777777" w:rsidR="00A978AF" w:rsidRPr="00C40278" w:rsidRDefault="00A978AF" w:rsidP="00A978AF">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Barragens, reservatórios e adutoras</w:t>
            </w:r>
          </w:p>
        </w:tc>
        <w:tc>
          <w:tcPr>
            <w:tcW w:w="282" w:type="dxa"/>
            <w:tcBorders>
              <w:top w:val="nil"/>
              <w:left w:val="nil"/>
              <w:bottom w:val="nil"/>
              <w:right w:val="nil"/>
            </w:tcBorders>
            <w:shd w:val="clear" w:color="auto" w:fill="auto"/>
            <w:noWrap/>
            <w:vAlign w:val="center"/>
            <w:hideMark/>
          </w:tcPr>
          <w:p w14:paraId="32FAD73C" w14:textId="77777777" w:rsidR="00A978AF" w:rsidRPr="00C40278" w:rsidRDefault="00A978AF" w:rsidP="00A978AF">
            <w:pPr>
              <w:spacing w:after="0" w:line="240" w:lineRule="auto"/>
              <w:rPr>
                <w:rFonts w:ascii="Verdana" w:eastAsia="Times New Roman" w:hAnsi="Verdana" w:cs="Calibri"/>
                <w:sz w:val="17"/>
                <w:szCs w:val="17"/>
                <w:lang w:eastAsia="pt-BR"/>
              </w:rPr>
            </w:pPr>
          </w:p>
        </w:tc>
        <w:tc>
          <w:tcPr>
            <w:tcW w:w="2059" w:type="dxa"/>
            <w:tcBorders>
              <w:top w:val="nil"/>
              <w:left w:val="nil"/>
              <w:bottom w:val="nil"/>
              <w:right w:val="nil"/>
            </w:tcBorders>
            <w:shd w:val="clear" w:color="auto" w:fill="auto"/>
            <w:noWrap/>
            <w:vAlign w:val="center"/>
            <w:hideMark/>
          </w:tcPr>
          <w:p w14:paraId="5C1FFA6D" w14:textId="77777777" w:rsidR="00A978AF" w:rsidRPr="00C40278" w:rsidRDefault="00A978AF">
            <w:pPr>
              <w:spacing w:after="0" w:line="240" w:lineRule="auto"/>
              <w:jc w:val="right"/>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27.702 </w:t>
            </w:r>
          </w:p>
        </w:tc>
      </w:tr>
      <w:tr w:rsidR="00A978AF" w:rsidRPr="00C40278" w14:paraId="5474782D" w14:textId="77777777" w:rsidTr="00DE1EA6">
        <w:trPr>
          <w:trHeight w:val="17"/>
        </w:trPr>
        <w:tc>
          <w:tcPr>
            <w:tcW w:w="6709" w:type="dxa"/>
            <w:tcBorders>
              <w:top w:val="nil"/>
              <w:left w:val="nil"/>
              <w:bottom w:val="nil"/>
              <w:right w:val="nil"/>
            </w:tcBorders>
            <w:shd w:val="clear" w:color="auto" w:fill="auto"/>
            <w:noWrap/>
            <w:vAlign w:val="center"/>
            <w:hideMark/>
          </w:tcPr>
          <w:p w14:paraId="44446A7C" w14:textId="77777777" w:rsidR="00A978AF" w:rsidRPr="00C40278" w:rsidRDefault="00A978AF" w:rsidP="00A978AF">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Edificações, obras civis e benfeitorias</w:t>
            </w:r>
          </w:p>
        </w:tc>
        <w:tc>
          <w:tcPr>
            <w:tcW w:w="282" w:type="dxa"/>
            <w:tcBorders>
              <w:top w:val="nil"/>
              <w:left w:val="nil"/>
              <w:bottom w:val="nil"/>
              <w:right w:val="nil"/>
            </w:tcBorders>
            <w:shd w:val="clear" w:color="auto" w:fill="auto"/>
            <w:noWrap/>
            <w:vAlign w:val="center"/>
            <w:hideMark/>
          </w:tcPr>
          <w:p w14:paraId="0FB5E5E0" w14:textId="77777777" w:rsidR="00A978AF" w:rsidRPr="00C40278" w:rsidRDefault="00A978AF" w:rsidP="00A978AF">
            <w:pPr>
              <w:spacing w:after="0" w:line="240" w:lineRule="auto"/>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 </w:t>
            </w:r>
          </w:p>
        </w:tc>
        <w:tc>
          <w:tcPr>
            <w:tcW w:w="2059" w:type="dxa"/>
            <w:tcBorders>
              <w:top w:val="nil"/>
              <w:left w:val="nil"/>
              <w:bottom w:val="nil"/>
              <w:right w:val="nil"/>
            </w:tcBorders>
            <w:shd w:val="clear" w:color="auto" w:fill="auto"/>
            <w:noWrap/>
            <w:vAlign w:val="center"/>
            <w:hideMark/>
          </w:tcPr>
          <w:p w14:paraId="50407926" w14:textId="77777777" w:rsidR="00A978AF" w:rsidRPr="00C40278" w:rsidRDefault="00A978AF" w:rsidP="00F7132F">
            <w:pPr>
              <w:spacing w:after="0" w:line="240" w:lineRule="auto"/>
              <w:jc w:val="right"/>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199.539 </w:t>
            </w:r>
          </w:p>
        </w:tc>
      </w:tr>
      <w:tr w:rsidR="00A978AF" w:rsidRPr="00C40278" w14:paraId="6554A7B5" w14:textId="77777777" w:rsidTr="00DE1EA6">
        <w:trPr>
          <w:trHeight w:val="17"/>
        </w:trPr>
        <w:tc>
          <w:tcPr>
            <w:tcW w:w="6709" w:type="dxa"/>
            <w:tcBorders>
              <w:top w:val="nil"/>
              <w:left w:val="nil"/>
              <w:bottom w:val="nil"/>
              <w:right w:val="nil"/>
            </w:tcBorders>
            <w:shd w:val="clear" w:color="auto" w:fill="auto"/>
            <w:noWrap/>
            <w:vAlign w:val="center"/>
            <w:hideMark/>
          </w:tcPr>
          <w:p w14:paraId="13333A3B" w14:textId="77777777" w:rsidR="00A978AF" w:rsidRPr="00C40278" w:rsidRDefault="00A978AF" w:rsidP="00A978AF">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Máquinas e equipamentos</w:t>
            </w:r>
          </w:p>
        </w:tc>
        <w:tc>
          <w:tcPr>
            <w:tcW w:w="282" w:type="dxa"/>
            <w:tcBorders>
              <w:top w:val="nil"/>
              <w:left w:val="nil"/>
              <w:bottom w:val="nil"/>
              <w:right w:val="nil"/>
            </w:tcBorders>
            <w:shd w:val="clear" w:color="auto" w:fill="auto"/>
            <w:noWrap/>
            <w:vAlign w:val="center"/>
            <w:hideMark/>
          </w:tcPr>
          <w:p w14:paraId="2F4DA1C8" w14:textId="77777777" w:rsidR="00A978AF" w:rsidRPr="00C40278" w:rsidRDefault="00A978AF" w:rsidP="00A978AF">
            <w:pPr>
              <w:spacing w:after="0" w:line="240" w:lineRule="auto"/>
              <w:rPr>
                <w:rFonts w:ascii="Verdana" w:eastAsia="Times New Roman" w:hAnsi="Verdana" w:cs="Calibri"/>
                <w:sz w:val="17"/>
                <w:szCs w:val="17"/>
                <w:lang w:eastAsia="pt-BR"/>
              </w:rPr>
            </w:pPr>
          </w:p>
        </w:tc>
        <w:tc>
          <w:tcPr>
            <w:tcW w:w="2059" w:type="dxa"/>
            <w:tcBorders>
              <w:top w:val="nil"/>
              <w:left w:val="nil"/>
              <w:bottom w:val="nil"/>
              <w:right w:val="nil"/>
            </w:tcBorders>
            <w:shd w:val="clear" w:color="auto" w:fill="auto"/>
            <w:noWrap/>
            <w:vAlign w:val="center"/>
            <w:hideMark/>
          </w:tcPr>
          <w:p w14:paraId="50443FE9" w14:textId="77777777" w:rsidR="00A978AF" w:rsidRPr="00C40278" w:rsidRDefault="00A978AF">
            <w:pPr>
              <w:spacing w:after="0" w:line="240" w:lineRule="auto"/>
              <w:jc w:val="right"/>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426.998 </w:t>
            </w:r>
          </w:p>
        </w:tc>
      </w:tr>
      <w:tr w:rsidR="00A978AF" w:rsidRPr="00C40278" w14:paraId="4B36750A" w14:textId="77777777" w:rsidTr="00DE1EA6">
        <w:trPr>
          <w:trHeight w:val="17"/>
        </w:trPr>
        <w:tc>
          <w:tcPr>
            <w:tcW w:w="6709" w:type="dxa"/>
            <w:tcBorders>
              <w:top w:val="nil"/>
              <w:left w:val="nil"/>
              <w:bottom w:val="nil"/>
              <w:right w:val="nil"/>
            </w:tcBorders>
            <w:shd w:val="clear" w:color="auto" w:fill="auto"/>
            <w:noWrap/>
            <w:vAlign w:val="center"/>
            <w:hideMark/>
          </w:tcPr>
          <w:p w14:paraId="7BB2B154" w14:textId="77777777" w:rsidR="00A978AF" w:rsidRPr="00C40278" w:rsidRDefault="00A978AF" w:rsidP="00A978AF">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Veículos </w:t>
            </w:r>
          </w:p>
        </w:tc>
        <w:tc>
          <w:tcPr>
            <w:tcW w:w="282" w:type="dxa"/>
            <w:tcBorders>
              <w:top w:val="nil"/>
              <w:left w:val="nil"/>
              <w:bottom w:val="nil"/>
              <w:right w:val="nil"/>
            </w:tcBorders>
            <w:shd w:val="clear" w:color="auto" w:fill="auto"/>
            <w:noWrap/>
            <w:vAlign w:val="center"/>
            <w:hideMark/>
          </w:tcPr>
          <w:p w14:paraId="1149D6E9" w14:textId="77777777" w:rsidR="00A978AF" w:rsidRPr="00C40278" w:rsidRDefault="00A978AF" w:rsidP="00A978AF">
            <w:pPr>
              <w:spacing w:after="0" w:line="240" w:lineRule="auto"/>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 </w:t>
            </w:r>
          </w:p>
        </w:tc>
        <w:tc>
          <w:tcPr>
            <w:tcW w:w="2059" w:type="dxa"/>
            <w:tcBorders>
              <w:top w:val="nil"/>
              <w:left w:val="nil"/>
              <w:bottom w:val="nil"/>
              <w:right w:val="nil"/>
            </w:tcBorders>
            <w:shd w:val="clear" w:color="auto" w:fill="auto"/>
            <w:noWrap/>
            <w:vAlign w:val="center"/>
            <w:hideMark/>
          </w:tcPr>
          <w:p w14:paraId="58C651A1" w14:textId="77777777" w:rsidR="00A978AF" w:rsidRPr="00C40278" w:rsidRDefault="00A978AF" w:rsidP="00F7132F">
            <w:pPr>
              <w:spacing w:after="0" w:line="240" w:lineRule="auto"/>
              <w:jc w:val="right"/>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65.897 </w:t>
            </w:r>
          </w:p>
        </w:tc>
      </w:tr>
      <w:tr w:rsidR="00A978AF" w:rsidRPr="00C40278" w14:paraId="1CCB81CF" w14:textId="77777777" w:rsidTr="00DE1EA6">
        <w:trPr>
          <w:trHeight w:val="17"/>
        </w:trPr>
        <w:tc>
          <w:tcPr>
            <w:tcW w:w="6709" w:type="dxa"/>
            <w:tcBorders>
              <w:top w:val="nil"/>
              <w:left w:val="nil"/>
              <w:bottom w:val="nil"/>
              <w:right w:val="nil"/>
            </w:tcBorders>
            <w:shd w:val="clear" w:color="auto" w:fill="auto"/>
            <w:noWrap/>
            <w:vAlign w:val="center"/>
            <w:hideMark/>
          </w:tcPr>
          <w:p w14:paraId="0334DB86" w14:textId="77777777" w:rsidR="00A978AF" w:rsidRPr="00C40278" w:rsidRDefault="00A978AF" w:rsidP="00A978AF">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Móveis e utensílios</w:t>
            </w:r>
          </w:p>
        </w:tc>
        <w:tc>
          <w:tcPr>
            <w:tcW w:w="282" w:type="dxa"/>
            <w:tcBorders>
              <w:top w:val="nil"/>
              <w:left w:val="nil"/>
              <w:bottom w:val="nil"/>
              <w:right w:val="nil"/>
            </w:tcBorders>
            <w:shd w:val="clear" w:color="auto" w:fill="auto"/>
            <w:noWrap/>
            <w:vAlign w:val="center"/>
            <w:hideMark/>
          </w:tcPr>
          <w:p w14:paraId="1DD663D2" w14:textId="77777777" w:rsidR="00A978AF" w:rsidRPr="00C40278" w:rsidRDefault="00A978AF" w:rsidP="00A978AF">
            <w:pPr>
              <w:spacing w:after="0" w:line="240" w:lineRule="auto"/>
              <w:rPr>
                <w:rFonts w:ascii="Verdana" w:eastAsia="Times New Roman" w:hAnsi="Verdana" w:cs="Calibri"/>
                <w:sz w:val="17"/>
                <w:szCs w:val="17"/>
                <w:lang w:eastAsia="pt-BR"/>
              </w:rPr>
            </w:pPr>
          </w:p>
        </w:tc>
        <w:tc>
          <w:tcPr>
            <w:tcW w:w="2059" w:type="dxa"/>
            <w:tcBorders>
              <w:top w:val="nil"/>
              <w:left w:val="nil"/>
              <w:bottom w:val="nil"/>
              <w:right w:val="nil"/>
            </w:tcBorders>
            <w:shd w:val="clear" w:color="auto" w:fill="auto"/>
            <w:noWrap/>
            <w:vAlign w:val="center"/>
            <w:hideMark/>
          </w:tcPr>
          <w:p w14:paraId="44C03559" w14:textId="77777777" w:rsidR="00A978AF" w:rsidRPr="00C40278" w:rsidRDefault="00A978AF">
            <w:pPr>
              <w:spacing w:after="0" w:line="240" w:lineRule="auto"/>
              <w:jc w:val="right"/>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1.744 </w:t>
            </w:r>
          </w:p>
        </w:tc>
      </w:tr>
      <w:tr w:rsidR="00A978AF" w:rsidRPr="00C40278" w14:paraId="17EF2B8A" w14:textId="77777777" w:rsidTr="00DE1EA6">
        <w:trPr>
          <w:trHeight w:val="17"/>
        </w:trPr>
        <w:tc>
          <w:tcPr>
            <w:tcW w:w="6709" w:type="dxa"/>
            <w:tcBorders>
              <w:top w:val="nil"/>
              <w:left w:val="nil"/>
              <w:bottom w:val="nil"/>
              <w:right w:val="nil"/>
            </w:tcBorders>
            <w:shd w:val="clear" w:color="auto" w:fill="auto"/>
            <w:noWrap/>
            <w:vAlign w:val="center"/>
            <w:hideMark/>
          </w:tcPr>
          <w:p w14:paraId="463F99F2" w14:textId="77777777" w:rsidR="00A978AF" w:rsidRPr="00C40278" w:rsidRDefault="00A978AF" w:rsidP="00A978AF">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A ratear</w:t>
            </w:r>
          </w:p>
        </w:tc>
        <w:tc>
          <w:tcPr>
            <w:tcW w:w="282" w:type="dxa"/>
            <w:tcBorders>
              <w:top w:val="nil"/>
              <w:left w:val="nil"/>
              <w:bottom w:val="nil"/>
              <w:right w:val="nil"/>
            </w:tcBorders>
            <w:shd w:val="clear" w:color="auto" w:fill="auto"/>
            <w:noWrap/>
            <w:vAlign w:val="center"/>
            <w:hideMark/>
          </w:tcPr>
          <w:p w14:paraId="1101B827" w14:textId="77777777" w:rsidR="00A978AF" w:rsidRPr="00C40278" w:rsidRDefault="00A978AF" w:rsidP="00A978AF">
            <w:pPr>
              <w:spacing w:after="0" w:line="240" w:lineRule="auto"/>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 </w:t>
            </w:r>
          </w:p>
        </w:tc>
        <w:tc>
          <w:tcPr>
            <w:tcW w:w="2059" w:type="dxa"/>
            <w:tcBorders>
              <w:top w:val="nil"/>
              <w:left w:val="nil"/>
              <w:bottom w:val="nil"/>
              <w:right w:val="nil"/>
            </w:tcBorders>
            <w:shd w:val="clear" w:color="auto" w:fill="auto"/>
            <w:noWrap/>
            <w:vAlign w:val="center"/>
            <w:hideMark/>
          </w:tcPr>
          <w:p w14:paraId="0A025E7A" w14:textId="77777777" w:rsidR="00A978AF" w:rsidRPr="00C40278" w:rsidRDefault="00A978AF" w:rsidP="00F7132F">
            <w:pPr>
              <w:spacing w:after="0" w:line="240" w:lineRule="auto"/>
              <w:jc w:val="right"/>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257.341 </w:t>
            </w:r>
          </w:p>
        </w:tc>
      </w:tr>
      <w:tr w:rsidR="00A978AF" w:rsidRPr="00C40278" w14:paraId="7E555836" w14:textId="77777777" w:rsidTr="00DE1EA6">
        <w:trPr>
          <w:trHeight w:val="17"/>
        </w:trPr>
        <w:tc>
          <w:tcPr>
            <w:tcW w:w="6709" w:type="dxa"/>
            <w:tcBorders>
              <w:top w:val="nil"/>
              <w:left w:val="nil"/>
              <w:bottom w:val="nil"/>
              <w:right w:val="nil"/>
            </w:tcBorders>
            <w:shd w:val="clear" w:color="auto" w:fill="auto"/>
            <w:noWrap/>
            <w:vAlign w:val="center"/>
            <w:hideMark/>
          </w:tcPr>
          <w:p w14:paraId="4D660FF8" w14:textId="77777777" w:rsidR="00A978AF" w:rsidRPr="00C40278" w:rsidRDefault="00A978AF" w:rsidP="00A978AF">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w:t>
            </w:r>
            <w:proofErr w:type="spellStart"/>
            <w:r w:rsidRPr="00C40278">
              <w:rPr>
                <w:rFonts w:ascii="Verdana" w:eastAsia="Times New Roman" w:hAnsi="Verdana" w:cs="Calibri"/>
                <w:sz w:val="17"/>
                <w:szCs w:val="17"/>
                <w:lang w:eastAsia="pt-BR"/>
              </w:rPr>
              <w:t>Transf</w:t>
            </w:r>
            <w:proofErr w:type="spellEnd"/>
            <w:r w:rsidRPr="00C40278">
              <w:rPr>
                <w:rFonts w:ascii="Verdana" w:eastAsia="Times New Roman" w:hAnsi="Verdana" w:cs="Calibri"/>
                <w:sz w:val="17"/>
                <w:szCs w:val="17"/>
                <w:lang w:eastAsia="pt-BR"/>
              </w:rPr>
              <w:t xml:space="preserve"> / </w:t>
            </w:r>
            <w:proofErr w:type="spellStart"/>
            <w:r w:rsidRPr="00C40278">
              <w:rPr>
                <w:rFonts w:ascii="Verdana" w:eastAsia="Times New Roman" w:hAnsi="Verdana" w:cs="Calibri"/>
                <w:sz w:val="17"/>
                <w:szCs w:val="17"/>
                <w:lang w:eastAsia="pt-BR"/>
              </w:rPr>
              <w:t>Fab</w:t>
            </w:r>
            <w:proofErr w:type="spellEnd"/>
            <w:r w:rsidRPr="00C40278">
              <w:rPr>
                <w:rFonts w:ascii="Verdana" w:eastAsia="Times New Roman" w:hAnsi="Verdana" w:cs="Calibri"/>
                <w:sz w:val="17"/>
                <w:szCs w:val="17"/>
                <w:lang w:eastAsia="pt-BR"/>
              </w:rPr>
              <w:t xml:space="preserve"> e Rep / </w:t>
            </w:r>
            <w:proofErr w:type="spellStart"/>
            <w:r w:rsidRPr="00C40278">
              <w:rPr>
                <w:rFonts w:ascii="Verdana" w:eastAsia="Times New Roman" w:hAnsi="Verdana" w:cs="Calibri"/>
                <w:sz w:val="17"/>
                <w:szCs w:val="17"/>
                <w:lang w:eastAsia="pt-BR"/>
              </w:rPr>
              <w:t>Mat</w:t>
            </w:r>
            <w:proofErr w:type="spellEnd"/>
            <w:r w:rsidRPr="00C40278">
              <w:rPr>
                <w:rFonts w:ascii="Verdana" w:eastAsia="Times New Roman" w:hAnsi="Verdana" w:cs="Calibri"/>
                <w:sz w:val="17"/>
                <w:szCs w:val="17"/>
                <w:lang w:eastAsia="pt-BR"/>
              </w:rPr>
              <w:t xml:space="preserve"> em processo</w:t>
            </w:r>
          </w:p>
        </w:tc>
        <w:tc>
          <w:tcPr>
            <w:tcW w:w="282" w:type="dxa"/>
            <w:tcBorders>
              <w:top w:val="nil"/>
              <w:left w:val="nil"/>
              <w:bottom w:val="nil"/>
              <w:right w:val="nil"/>
            </w:tcBorders>
            <w:shd w:val="clear" w:color="auto" w:fill="auto"/>
            <w:noWrap/>
            <w:vAlign w:val="center"/>
            <w:hideMark/>
          </w:tcPr>
          <w:p w14:paraId="5F7F77D5" w14:textId="77777777" w:rsidR="00A978AF" w:rsidRPr="00C40278" w:rsidRDefault="00A978AF" w:rsidP="00A978AF">
            <w:pPr>
              <w:spacing w:after="0" w:line="240" w:lineRule="auto"/>
              <w:rPr>
                <w:rFonts w:ascii="Verdana" w:eastAsia="Times New Roman" w:hAnsi="Verdana" w:cs="Calibri"/>
                <w:sz w:val="17"/>
                <w:szCs w:val="17"/>
                <w:lang w:eastAsia="pt-BR"/>
              </w:rPr>
            </w:pPr>
          </w:p>
        </w:tc>
        <w:tc>
          <w:tcPr>
            <w:tcW w:w="2059" w:type="dxa"/>
            <w:tcBorders>
              <w:top w:val="nil"/>
              <w:left w:val="nil"/>
              <w:bottom w:val="nil"/>
              <w:right w:val="nil"/>
            </w:tcBorders>
            <w:shd w:val="clear" w:color="auto" w:fill="auto"/>
            <w:noWrap/>
            <w:vAlign w:val="center"/>
            <w:hideMark/>
          </w:tcPr>
          <w:p w14:paraId="3824FEF2" w14:textId="77777777" w:rsidR="00A978AF" w:rsidRPr="00C40278" w:rsidRDefault="00A978AF" w:rsidP="00F7132F">
            <w:pPr>
              <w:spacing w:after="0" w:line="240" w:lineRule="auto"/>
              <w:jc w:val="right"/>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2.214 </w:t>
            </w:r>
          </w:p>
        </w:tc>
      </w:tr>
      <w:tr w:rsidR="00A978AF" w:rsidRPr="00C40278" w14:paraId="130BD798" w14:textId="77777777" w:rsidTr="00DE1EA6">
        <w:trPr>
          <w:trHeight w:val="17"/>
        </w:trPr>
        <w:tc>
          <w:tcPr>
            <w:tcW w:w="6709" w:type="dxa"/>
            <w:tcBorders>
              <w:top w:val="nil"/>
              <w:left w:val="nil"/>
              <w:bottom w:val="nil"/>
              <w:right w:val="nil"/>
            </w:tcBorders>
            <w:shd w:val="clear" w:color="auto" w:fill="auto"/>
            <w:noWrap/>
            <w:vAlign w:val="center"/>
            <w:hideMark/>
          </w:tcPr>
          <w:p w14:paraId="2B2608B4" w14:textId="77777777" w:rsidR="00A978AF" w:rsidRPr="00C40278" w:rsidRDefault="00A978AF" w:rsidP="00A978AF">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Adiantamento a fornecedores</w:t>
            </w:r>
          </w:p>
        </w:tc>
        <w:tc>
          <w:tcPr>
            <w:tcW w:w="282" w:type="dxa"/>
            <w:tcBorders>
              <w:top w:val="nil"/>
              <w:left w:val="nil"/>
              <w:bottom w:val="nil"/>
              <w:right w:val="nil"/>
            </w:tcBorders>
            <w:shd w:val="clear" w:color="auto" w:fill="auto"/>
            <w:noWrap/>
            <w:vAlign w:val="center"/>
            <w:hideMark/>
          </w:tcPr>
          <w:p w14:paraId="6D28A93F" w14:textId="77777777" w:rsidR="00A978AF" w:rsidRPr="00C40278" w:rsidRDefault="00A978AF" w:rsidP="00A978AF">
            <w:pPr>
              <w:spacing w:after="0" w:line="240" w:lineRule="auto"/>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 </w:t>
            </w:r>
          </w:p>
        </w:tc>
        <w:tc>
          <w:tcPr>
            <w:tcW w:w="2059" w:type="dxa"/>
            <w:tcBorders>
              <w:top w:val="nil"/>
              <w:left w:val="nil"/>
              <w:bottom w:val="nil"/>
              <w:right w:val="nil"/>
            </w:tcBorders>
            <w:shd w:val="clear" w:color="auto" w:fill="auto"/>
            <w:noWrap/>
            <w:vAlign w:val="center"/>
            <w:hideMark/>
          </w:tcPr>
          <w:p w14:paraId="4BF1B725" w14:textId="77777777" w:rsidR="00A978AF" w:rsidRPr="00C40278" w:rsidRDefault="00A978AF" w:rsidP="00F7132F">
            <w:pPr>
              <w:spacing w:after="0" w:line="240" w:lineRule="auto"/>
              <w:jc w:val="right"/>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27.350 </w:t>
            </w:r>
          </w:p>
        </w:tc>
      </w:tr>
      <w:tr w:rsidR="00A978AF" w:rsidRPr="00C40278" w14:paraId="6061CAAD" w14:textId="77777777" w:rsidTr="007B7A68">
        <w:trPr>
          <w:trHeight w:val="17"/>
        </w:trPr>
        <w:tc>
          <w:tcPr>
            <w:tcW w:w="6709" w:type="dxa"/>
            <w:tcBorders>
              <w:top w:val="nil"/>
              <w:left w:val="nil"/>
              <w:right w:val="nil"/>
            </w:tcBorders>
            <w:shd w:val="clear" w:color="auto" w:fill="auto"/>
            <w:noWrap/>
            <w:vAlign w:val="center"/>
            <w:hideMark/>
          </w:tcPr>
          <w:p w14:paraId="485A8AD4" w14:textId="77777777" w:rsidR="00A978AF" w:rsidRPr="00C40278" w:rsidRDefault="00A978AF" w:rsidP="00A978AF">
            <w:pPr>
              <w:spacing w:after="0" w:line="240" w:lineRule="auto"/>
              <w:rPr>
                <w:rFonts w:ascii="Verdana" w:eastAsia="Times New Roman" w:hAnsi="Verdana" w:cs="Calibri"/>
                <w:sz w:val="17"/>
                <w:szCs w:val="17"/>
                <w:lang w:eastAsia="pt-BR"/>
              </w:rPr>
            </w:pPr>
          </w:p>
        </w:tc>
        <w:tc>
          <w:tcPr>
            <w:tcW w:w="282" w:type="dxa"/>
            <w:tcBorders>
              <w:top w:val="nil"/>
              <w:left w:val="nil"/>
              <w:right w:val="nil"/>
            </w:tcBorders>
            <w:shd w:val="clear" w:color="auto" w:fill="auto"/>
            <w:noWrap/>
            <w:vAlign w:val="center"/>
            <w:hideMark/>
          </w:tcPr>
          <w:p w14:paraId="548CD216" w14:textId="77777777" w:rsidR="00A978AF" w:rsidRPr="00C40278" w:rsidRDefault="00A978AF" w:rsidP="00A978AF">
            <w:pPr>
              <w:spacing w:after="0" w:line="240" w:lineRule="auto"/>
              <w:rPr>
                <w:rFonts w:ascii="Times New Roman" w:eastAsia="Times New Roman" w:hAnsi="Times New Roman" w:cs="Times New Roman"/>
                <w:sz w:val="17"/>
                <w:szCs w:val="17"/>
                <w:lang w:eastAsia="pt-BR"/>
              </w:rPr>
            </w:pPr>
          </w:p>
        </w:tc>
        <w:tc>
          <w:tcPr>
            <w:tcW w:w="2059" w:type="dxa"/>
            <w:tcBorders>
              <w:top w:val="single" w:sz="4" w:space="0" w:color="auto"/>
              <w:left w:val="nil"/>
              <w:right w:val="nil"/>
            </w:tcBorders>
            <w:shd w:val="clear" w:color="auto" w:fill="auto"/>
            <w:noWrap/>
            <w:vAlign w:val="center"/>
            <w:hideMark/>
          </w:tcPr>
          <w:p w14:paraId="3964857C" w14:textId="77777777" w:rsidR="00A978AF" w:rsidRPr="00C40278" w:rsidRDefault="00A978AF" w:rsidP="00F7132F">
            <w:pPr>
              <w:spacing w:after="0" w:line="240" w:lineRule="auto"/>
              <w:jc w:val="right"/>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 xml:space="preserve">     1.008.785 </w:t>
            </w:r>
          </w:p>
        </w:tc>
      </w:tr>
      <w:tr w:rsidR="00A978AF" w:rsidRPr="00C40278" w14:paraId="14AF7129" w14:textId="77777777" w:rsidTr="00DE1EA6">
        <w:trPr>
          <w:trHeight w:val="17"/>
        </w:trPr>
        <w:tc>
          <w:tcPr>
            <w:tcW w:w="6709" w:type="dxa"/>
            <w:tcBorders>
              <w:top w:val="nil"/>
              <w:left w:val="nil"/>
              <w:bottom w:val="nil"/>
              <w:right w:val="nil"/>
            </w:tcBorders>
            <w:shd w:val="clear" w:color="auto" w:fill="auto"/>
            <w:noWrap/>
            <w:vAlign w:val="center"/>
            <w:hideMark/>
          </w:tcPr>
          <w:p w14:paraId="22A92684" w14:textId="77777777" w:rsidR="00A978AF" w:rsidRPr="00C40278" w:rsidRDefault="00A978AF" w:rsidP="00A978AF">
            <w:pPr>
              <w:spacing w:after="0" w:line="240" w:lineRule="auto"/>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Imobilizado em curso - Angra 3</w:t>
            </w:r>
          </w:p>
        </w:tc>
        <w:tc>
          <w:tcPr>
            <w:tcW w:w="282" w:type="dxa"/>
            <w:tcBorders>
              <w:top w:val="nil"/>
              <w:left w:val="nil"/>
              <w:bottom w:val="nil"/>
              <w:right w:val="nil"/>
            </w:tcBorders>
            <w:shd w:val="clear" w:color="auto" w:fill="auto"/>
            <w:noWrap/>
            <w:vAlign w:val="center"/>
            <w:hideMark/>
          </w:tcPr>
          <w:p w14:paraId="4E375D5C" w14:textId="77777777" w:rsidR="00A978AF" w:rsidRPr="00C40278" w:rsidRDefault="00A978AF" w:rsidP="00A978AF">
            <w:pPr>
              <w:spacing w:after="0" w:line="240" w:lineRule="auto"/>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 </w:t>
            </w:r>
          </w:p>
        </w:tc>
        <w:tc>
          <w:tcPr>
            <w:tcW w:w="2059" w:type="dxa"/>
            <w:tcBorders>
              <w:top w:val="nil"/>
              <w:left w:val="nil"/>
              <w:bottom w:val="nil"/>
              <w:right w:val="nil"/>
            </w:tcBorders>
            <w:shd w:val="clear" w:color="auto" w:fill="auto"/>
            <w:noWrap/>
            <w:vAlign w:val="center"/>
            <w:hideMark/>
          </w:tcPr>
          <w:p w14:paraId="3D05703C" w14:textId="77777777" w:rsidR="00A978AF" w:rsidRPr="00C40278" w:rsidRDefault="00A978AF" w:rsidP="00F7132F">
            <w:pPr>
              <w:spacing w:after="0" w:line="240" w:lineRule="auto"/>
              <w:jc w:val="right"/>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w:t>
            </w:r>
          </w:p>
        </w:tc>
      </w:tr>
      <w:tr w:rsidR="00A978AF" w:rsidRPr="00C40278" w14:paraId="6C983D12" w14:textId="77777777" w:rsidTr="00DE1EA6">
        <w:trPr>
          <w:trHeight w:val="17"/>
        </w:trPr>
        <w:tc>
          <w:tcPr>
            <w:tcW w:w="6709" w:type="dxa"/>
            <w:tcBorders>
              <w:top w:val="nil"/>
              <w:left w:val="nil"/>
              <w:bottom w:val="nil"/>
              <w:right w:val="nil"/>
            </w:tcBorders>
            <w:shd w:val="clear" w:color="auto" w:fill="auto"/>
            <w:noWrap/>
            <w:vAlign w:val="center"/>
            <w:hideMark/>
          </w:tcPr>
          <w:p w14:paraId="2994F0B0" w14:textId="77777777" w:rsidR="00A978AF" w:rsidRPr="00C40278" w:rsidRDefault="00A978AF" w:rsidP="00A978AF">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Terrenos</w:t>
            </w:r>
          </w:p>
        </w:tc>
        <w:tc>
          <w:tcPr>
            <w:tcW w:w="282" w:type="dxa"/>
            <w:tcBorders>
              <w:top w:val="nil"/>
              <w:left w:val="nil"/>
              <w:bottom w:val="nil"/>
              <w:right w:val="nil"/>
            </w:tcBorders>
            <w:shd w:val="clear" w:color="auto" w:fill="auto"/>
            <w:noWrap/>
            <w:vAlign w:val="center"/>
            <w:hideMark/>
          </w:tcPr>
          <w:p w14:paraId="51E24BA8" w14:textId="77777777" w:rsidR="00A978AF" w:rsidRPr="00C40278" w:rsidRDefault="00A978AF" w:rsidP="00A978AF">
            <w:pPr>
              <w:spacing w:after="0" w:line="240" w:lineRule="auto"/>
              <w:rPr>
                <w:rFonts w:ascii="Verdana" w:eastAsia="Times New Roman" w:hAnsi="Verdana" w:cs="Calibri"/>
                <w:sz w:val="17"/>
                <w:szCs w:val="17"/>
                <w:lang w:eastAsia="pt-BR"/>
              </w:rPr>
            </w:pPr>
          </w:p>
        </w:tc>
        <w:tc>
          <w:tcPr>
            <w:tcW w:w="2059" w:type="dxa"/>
            <w:tcBorders>
              <w:top w:val="nil"/>
              <w:left w:val="nil"/>
              <w:bottom w:val="nil"/>
              <w:right w:val="nil"/>
            </w:tcBorders>
            <w:shd w:val="clear" w:color="auto" w:fill="auto"/>
            <w:noWrap/>
            <w:vAlign w:val="center"/>
            <w:hideMark/>
          </w:tcPr>
          <w:p w14:paraId="717D3CF3" w14:textId="77777777" w:rsidR="00A978AF" w:rsidRPr="00C40278" w:rsidRDefault="00A978AF">
            <w:pPr>
              <w:spacing w:after="0" w:line="240" w:lineRule="auto"/>
              <w:jc w:val="right"/>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56.433 </w:t>
            </w:r>
          </w:p>
        </w:tc>
      </w:tr>
      <w:tr w:rsidR="00A978AF" w:rsidRPr="00C40278" w14:paraId="544108D4" w14:textId="77777777" w:rsidTr="00DE1EA6">
        <w:trPr>
          <w:trHeight w:val="17"/>
        </w:trPr>
        <w:tc>
          <w:tcPr>
            <w:tcW w:w="6709" w:type="dxa"/>
            <w:tcBorders>
              <w:top w:val="nil"/>
              <w:left w:val="nil"/>
              <w:bottom w:val="nil"/>
              <w:right w:val="nil"/>
            </w:tcBorders>
            <w:shd w:val="clear" w:color="auto" w:fill="auto"/>
            <w:noWrap/>
            <w:vAlign w:val="center"/>
            <w:hideMark/>
          </w:tcPr>
          <w:p w14:paraId="276BD30D" w14:textId="77777777" w:rsidR="00A978AF" w:rsidRPr="00C40278" w:rsidRDefault="00A978AF" w:rsidP="00A978AF">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Barragens, reservatórios e adutoras</w:t>
            </w:r>
          </w:p>
        </w:tc>
        <w:tc>
          <w:tcPr>
            <w:tcW w:w="282" w:type="dxa"/>
            <w:tcBorders>
              <w:top w:val="nil"/>
              <w:left w:val="nil"/>
              <w:bottom w:val="nil"/>
              <w:right w:val="nil"/>
            </w:tcBorders>
            <w:shd w:val="clear" w:color="auto" w:fill="auto"/>
            <w:noWrap/>
            <w:vAlign w:val="center"/>
            <w:hideMark/>
          </w:tcPr>
          <w:p w14:paraId="6E8C68C5" w14:textId="77777777" w:rsidR="00A978AF" w:rsidRPr="00C40278" w:rsidRDefault="00A978AF" w:rsidP="00A978AF">
            <w:pPr>
              <w:spacing w:after="0" w:line="240" w:lineRule="auto"/>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 </w:t>
            </w:r>
          </w:p>
        </w:tc>
        <w:tc>
          <w:tcPr>
            <w:tcW w:w="2059" w:type="dxa"/>
            <w:tcBorders>
              <w:top w:val="nil"/>
              <w:left w:val="nil"/>
              <w:bottom w:val="nil"/>
              <w:right w:val="nil"/>
            </w:tcBorders>
            <w:shd w:val="clear" w:color="auto" w:fill="auto"/>
            <w:noWrap/>
            <w:vAlign w:val="center"/>
            <w:hideMark/>
          </w:tcPr>
          <w:p w14:paraId="1B9C3F9C" w14:textId="77777777" w:rsidR="00A978AF" w:rsidRPr="00C40278" w:rsidRDefault="00A978AF" w:rsidP="00F7132F">
            <w:pPr>
              <w:spacing w:after="0" w:line="240" w:lineRule="auto"/>
              <w:jc w:val="right"/>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505.550 </w:t>
            </w:r>
          </w:p>
        </w:tc>
      </w:tr>
      <w:tr w:rsidR="00A978AF" w:rsidRPr="00C40278" w14:paraId="30D4E9CE" w14:textId="77777777" w:rsidTr="00DE1EA6">
        <w:trPr>
          <w:trHeight w:val="17"/>
        </w:trPr>
        <w:tc>
          <w:tcPr>
            <w:tcW w:w="6709" w:type="dxa"/>
            <w:tcBorders>
              <w:top w:val="nil"/>
              <w:left w:val="nil"/>
              <w:bottom w:val="nil"/>
              <w:right w:val="nil"/>
            </w:tcBorders>
            <w:shd w:val="clear" w:color="auto" w:fill="auto"/>
            <w:noWrap/>
            <w:vAlign w:val="center"/>
            <w:hideMark/>
          </w:tcPr>
          <w:p w14:paraId="5DFC9FF4" w14:textId="77777777" w:rsidR="00A978AF" w:rsidRPr="00C40278" w:rsidRDefault="00A978AF" w:rsidP="00A978AF">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Edificações, obras civis e benfeitorias</w:t>
            </w:r>
          </w:p>
        </w:tc>
        <w:tc>
          <w:tcPr>
            <w:tcW w:w="282" w:type="dxa"/>
            <w:tcBorders>
              <w:top w:val="nil"/>
              <w:left w:val="nil"/>
              <w:bottom w:val="nil"/>
              <w:right w:val="nil"/>
            </w:tcBorders>
            <w:shd w:val="clear" w:color="auto" w:fill="auto"/>
            <w:noWrap/>
            <w:vAlign w:val="center"/>
            <w:hideMark/>
          </w:tcPr>
          <w:p w14:paraId="3F9145E8" w14:textId="77777777" w:rsidR="00A978AF" w:rsidRPr="00C40278" w:rsidRDefault="00A978AF" w:rsidP="00A978AF">
            <w:pPr>
              <w:spacing w:after="0" w:line="240" w:lineRule="auto"/>
              <w:rPr>
                <w:rFonts w:ascii="Verdana" w:eastAsia="Times New Roman" w:hAnsi="Verdana" w:cs="Calibri"/>
                <w:sz w:val="17"/>
                <w:szCs w:val="17"/>
                <w:lang w:eastAsia="pt-BR"/>
              </w:rPr>
            </w:pPr>
          </w:p>
        </w:tc>
        <w:tc>
          <w:tcPr>
            <w:tcW w:w="2059" w:type="dxa"/>
            <w:tcBorders>
              <w:top w:val="nil"/>
              <w:left w:val="nil"/>
              <w:bottom w:val="nil"/>
              <w:right w:val="nil"/>
            </w:tcBorders>
            <w:shd w:val="clear" w:color="auto" w:fill="auto"/>
            <w:noWrap/>
            <w:vAlign w:val="center"/>
            <w:hideMark/>
          </w:tcPr>
          <w:p w14:paraId="4333AF32" w14:textId="77777777" w:rsidR="00A978AF" w:rsidRPr="00C40278" w:rsidRDefault="00A978AF">
            <w:pPr>
              <w:spacing w:after="0" w:line="240" w:lineRule="auto"/>
              <w:jc w:val="right"/>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2.017.569 </w:t>
            </w:r>
          </w:p>
        </w:tc>
      </w:tr>
      <w:tr w:rsidR="00A978AF" w:rsidRPr="00C40278" w14:paraId="374AFB7B" w14:textId="77777777" w:rsidTr="00DE1EA6">
        <w:trPr>
          <w:trHeight w:val="17"/>
        </w:trPr>
        <w:tc>
          <w:tcPr>
            <w:tcW w:w="6709" w:type="dxa"/>
            <w:tcBorders>
              <w:top w:val="nil"/>
              <w:left w:val="nil"/>
              <w:bottom w:val="nil"/>
              <w:right w:val="nil"/>
            </w:tcBorders>
            <w:shd w:val="clear" w:color="auto" w:fill="auto"/>
            <w:noWrap/>
            <w:vAlign w:val="center"/>
            <w:hideMark/>
          </w:tcPr>
          <w:p w14:paraId="731A591A" w14:textId="77777777" w:rsidR="00A978AF" w:rsidRPr="00C40278" w:rsidRDefault="00A978AF" w:rsidP="00A978AF">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Máquinas e equipamentos</w:t>
            </w:r>
          </w:p>
        </w:tc>
        <w:tc>
          <w:tcPr>
            <w:tcW w:w="282" w:type="dxa"/>
            <w:tcBorders>
              <w:top w:val="nil"/>
              <w:left w:val="nil"/>
              <w:bottom w:val="nil"/>
              <w:right w:val="nil"/>
            </w:tcBorders>
            <w:shd w:val="clear" w:color="auto" w:fill="auto"/>
            <w:noWrap/>
            <w:vAlign w:val="center"/>
            <w:hideMark/>
          </w:tcPr>
          <w:p w14:paraId="54D92F68" w14:textId="77777777" w:rsidR="00A978AF" w:rsidRPr="00C40278" w:rsidRDefault="00A978AF" w:rsidP="00A978AF">
            <w:pPr>
              <w:spacing w:after="0" w:line="240" w:lineRule="auto"/>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 </w:t>
            </w:r>
          </w:p>
        </w:tc>
        <w:tc>
          <w:tcPr>
            <w:tcW w:w="2059" w:type="dxa"/>
            <w:tcBorders>
              <w:top w:val="nil"/>
              <w:left w:val="nil"/>
              <w:bottom w:val="nil"/>
              <w:right w:val="nil"/>
            </w:tcBorders>
            <w:shd w:val="clear" w:color="auto" w:fill="auto"/>
            <w:noWrap/>
            <w:vAlign w:val="center"/>
            <w:hideMark/>
          </w:tcPr>
          <w:p w14:paraId="2AFC9774" w14:textId="77777777" w:rsidR="00A978AF" w:rsidRPr="00C40278" w:rsidRDefault="00A978AF" w:rsidP="00F7132F">
            <w:pPr>
              <w:spacing w:after="0" w:line="240" w:lineRule="auto"/>
              <w:jc w:val="right"/>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3.912.862 </w:t>
            </w:r>
          </w:p>
        </w:tc>
      </w:tr>
      <w:tr w:rsidR="00A978AF" w:rsidRPr="00C40278" w14:paraId="5F2C4E31" w14:textId="77777777" w:rsidTr="00DE1EA6">
        <w:trPr>
          <w:trHeight w:val="17"/>
        </w:trPr>
        <w:tc>
          <w:tcPr>
            <w:tcW w:w="6709" w:type="dxa"/>
            <w:tcBorders>
              <w:top w:val="nil"/>
              <w:left w:val="nil"/>
              <w:bottom w:val="nil"/>
              <w:right w:val="nil"/>
            </w:tcBorders>
            <w:shd w:val="clear" w:color="auto" w:fill="auto"/>
            <w:noWrap/>
            <w:vAlign w:val="center"/>
            <w:hideMark/>
          </w:tcPr>
          <w:p w14:paraId="529E7C51" w14:textId="77777777" w:rsidR="00A978AF" w:rsidRPr="00C40278" w:rsidRDefault="00A978AF" w:rsidP="00A978AF">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Veículos </w:t>
            </w:r>
          </w:p>
        </w:tc>
        <w:tc>
          <w:tcPr>
            <w:tcW w:w="282" w:type="dxa"/>
            <w:tcBorders>
              <w:top w:val="nil"/>
              <w:left w:val="nil"/>
              <w:bottom w:val="nil"/>
              <w:right w:val="nil"/>
            </w:tcBorders>
            <w:shd w:val="clear" w:color="auto" w:fill="auto"/>
            <w:noWrap/>
            <w:vAlign w:val="center"/>
            <w:hideMark/>
          </w:tcPr>
          <w:p w14:paraId="25141914" w14:textId="77777777" w:rsidR="00A978AF" w:rsidRPr="00C40278" w:rsidRDefault="00A978AF" w:rsidP="00A978AF">
            <w:pPr>
              <w:spacing w:after="0" w:line="240" w:lineRule="auto"/>
              <w:rPr>
                <w:rFonts w:ascii="Verdana" w:eastAsia="Times New Roman" w:hAnsi="Verdana" w:cs="Calibri"/>
                <w:sz w:val="17"/>
                <w:szCs w:val="17"/>
                <w:lang w:eastAsia="pt-BR"/>
              </w:rPr>
            </w:pPr>
          </w:p>
        </w:tc>
        <w:tc>
          <w:tcPr>
            <w:tcW w:w="2059" w:type="dxa"/>
            <w:tcBorders>
              <w:top w:val="nil"/>
              <w:left w:val="nil"/>
              <w:bottom w:val="nil"/>
              <w:right w:val="nil"/>
            </w:tcBorders>
            <w:shd w:val="clear" w:color="auto" w:fill="auto"/>
            <w:noWrap/>
            <w:vAlign w:val="center"/>
            <w:hideMark/>
          </w:tcPr>
          <w:p w14:paraId="0F12CC17" w14:textId="77777777" w:rsidR="00A978AF" w:rsidRPr="00C40278" w:rsidRDefault="00A978AF">
            <w:pPr>
              <w:spacing w:after="0" w:line="240" w:lineRule="auto"/>
              <w:jc w:val="right"/>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2.988 </w:t>
            </w:r>
          </w:p>
        </w:tc>
      </w:tr>
      <w:tr w:rsidR="00A978AF" w:rsidRPr="00C40278" w14:paraId="04BD907B" w14:textId="77777777" w:rsidTr="00DE1EA6">
        <w:trPr>
          <w:trHeight w:val="17"/>
        </w:trPr>
        <w:tc>
          <w:tcPr>
            <w:tcW w:w="6709" w:type="dxa"/>
            <w:tcBorders>
              <w:top w:val="nil"/>
              <w:left w:val="nil"/>
              <w:bottom w:val="nil"/>
              <w:right w:val="nil"/>
            </w:tcBorders>
            <w:shd w:val="clear" w:color="auto" w:fill="auto"/>
            <w:noWrap/>
            <w:vAlign w:val="center"/>
            <w:hideMark/>
          </w:tcPr>
          <w:p w14:paraId="41C0A4B6" w14:textId="77777777" w:rsidR="00A978AF" w:rsidRPr="00C40278" w:rsidRDefault="00A978AF" w:rsidP="00A978AF">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Móveis e utensílios</w:t>
            </w:r>
          </w:p>
        </w:tc>
        <w:tc>
          <w:tcPr>
            <w:tcW w:w="282" w:type="dxa"/>
            <w:tcBorders>
              <w:top w:val="nil"/>
              <w:left w:val="nil"/>
              <w:bottom w:val="nil"/>
              <w:right w:val="nil"/>
            </w:tcBorders>
            <w:shd w:val="clear" w:color="auto" w:fill="auto"/>
            <w:noWrap/>
            <w:vAlign w:val="center"/>
            <w:hideMark/>
          </w:tcPr>
          <w:p w14:paraId="167BBE13" w14:textId="77777777" w:rsidR="00A978AF" w:rsidRPr="00C40278" w:rsidRDefault="00A978AF" w:rsidP="00A978AF">
            <w:pPr>
              <w:spacing w:after="0" w:line="240" w:lineRule="auto"/>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 </w:t>
            </w:r>
          </w:p>
        </w:tc>
        <w:tc>
          <w:tcPr>
            <w:tcW w:w="2059" w:type="dxa"/>
            <w:tcBorders>
              <w:top w:val="nil"/>
              <w:left w:val="nil"/>
              <w:bottom w:val="nil"/>
              <w:right w:val="nil"/>
            </w:tcBorders>
            <w:shd w:val="clear" w:color="auto" w:fill="auto"/>
            <w:noWrap/>
            <w:vAlign w:val="center"/>
            <w:hideMark/>
          </w:tcPr>
          <w:p w14:paraId="24379E38" w14:textId="77777777" w:rsidR="00A978AF" w:rsidRPr="00C40278" w:rsidRDefault="00A978AF" w:rsidP="00F7132F">
            <w:pPr>
              <w:spacing w:after="0" w:line="240" w:lineRule="auto"/>
              <w:jc w:val="right"/>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497 </w:t>
            </w:r>
          </w:p>
        </w:tc>
      </w:tr>
      <w:tr w:rsidR="00A978AF" w:rsidRPr="00C40278" w14:paraId="025EBFC5" w14:textId="77777777" w:rsidTr="00DE1EA6">
        <w:trPr>
          <w:trHeight w:val="17"/>
        </w:trPr>
        <w:tc>
          <w:tcPr>
            <w:tcW w:w="6709" w:type="dxa"/>
            <w:tcBorders>
              <w:top w:val="nil"/>
              <w:left w:val="nil"/>
              <w:bottom w:val="nil"/>
              <w:right w:val="nil"/>
            </w:tcBorders>
            <w:shd w:val="clear" w:color="auto" w:fill="auto"/>
            <w:noWrap/>
            <w:vAlign w:val="center"/>
            <w:hideMark/>
          </w:tcPr>
          <w:p w14:paraId="775C72C1" w14:textId="77777777" w:rsidR="00A978AF" w:rsidRPr="00C40278" w:rsidRDefault="00A978AF" w:rsidP="00A978AF">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A ratear</w:t>
            </w:r>
          </w:p>
        </w:tc>
        <w:tc>
          <w:tcPr>
            <w:tcW w:w="282" w:type="dxa"/>
            <w:tcBorders>
              <w:top w:val="nil"/>
              <w:left w:val="nil"/>
              <w:bottom w:val="nil"/>
              <w:right w:val="nil"/>
            </w:tcBorders>
            <w:shd w:val="clear" w:color="auto" w:fill="auto"/>
            <w:noWrap/>
            <w:vAlign w:val="center"/>
            <w:hideMark/>
          </w:tcPr>
          <w:p w14:paraId="30AB5F88" w14:textId="77777777" w:rsidR="00A978AF" w:rsidRPr="00C40278" w:rsidRDefault="00A978AF" w:rsidP="00A978AF">
            <w:pPr>
              <w:spacing w:after="0" w:line="240" w:lineRule="auto"/>
              <w:rPr>
                <w:rFonts w:ascii="Verdana" w:eastAsia="Times New Roman" w:hAnsi="Verdana" w:cs="Calibri"/>
                <w:sz w:val="17"/>
                <w:szCs w:val="17"/>
                <w:lang w:eastAsia="pt-BR"/>
              </w:rPr>
            </w:pPr>
          </w:p>
        </w:tc>
        <w:tc>
          <w:tcPr>
            <w:tcW w:w="2059" w:type="dxa"/>
            <w:tcBorders>
              <w:top w:val="nil"/>
              <w:left w:val="nil"/>
              <w:bottom w:val="nil"/>
              <w:right w:val="nil"/>
            </w:tcBorders>
            <w:shd w:val="clear" w:color="auto" w:fill="auto"/>
            <w:noWrap/>
            <w:vAlign w:val="center"/>
            <w:hideMark/>
          </w:tcPr>
          <w:p w14:paraId="397CC357" w14:textId="77777777" w:rsidR="00A978AF" w:rsidRPr="00C40278" w:rsidRDefault="00A978AF" w:rsidP="00F7132F">
            <w:pPr>
              <w:spacing w:after="0" w:line="240" w:lineRule="auto"/>
              <w:jc w:val="right"/>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6.895.045 </w:t>
            </w:r>
          </w:p>
        </w:tc>
      </w:tr>
      <w:tr w:rsidR="00A978AF" w:rsidRPr="00C40278" w14:paraId="3DFC3B48" w14:textId="77777777" w:rsidTr="00DE1EA6">
        <w:trPr>
          <w:trHeight w:val="17"/>
        </w:trPr>
        <w:tc>
          <w:tcPr>
            <w:tcW w:w="6709" w:type="dxa"/>
            <w:tcBorders>
              <w:top w:val="nil"/>
              <w:left w:val="nil"/>
              <w:bottom w:val="nil"/>
              <w:right w:val="nil"/>
            </w:tcBorders>
            <w:shd w:val="clear" w:color="auto" w:fill="auto"/>
            <w:noWrap/>
            <w:vAlign w:val="center"/>
            <w:hideMark/>
          </w:tcPr>
          <w:p w14:paraId="07EF8FE8" w14:textId="77777777" w:rsidR="00A978AF" w:rsidRPr="00C40278" w:rsidRDefault="00A978AF" w:rsidP="00A978AF">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w:t>
            </w:r>
            <w:proofErr w:type="spellStart"/>
            <w:r w:rsidRPr="00C40278">
              <w:rPr>
                <w:rFonts w:ascii="Verdana" w:eastAsia="Times New Roman" w:hAnsi="Verdana" w:cs="Calibri"/>
                <w:sz w:val="17"/>
                <w:szCs w:val="17"/>
                <w:lang w:eastAsia="pt-BR"/>
              </w:rPr>
              <w:t>Transf</w:t>
            </w:r>
            <w:proofErr w:type="spellEnd"/>
            <w:r w:rsidRPr="00C40278">
              <w:rPr>
                <w:rFonts w:ascii="Verdana" w:eastAsia="Times New Roman" w:hAnsi="Verdana" w:cs="Calibri"/>
                <w:sz w:val="17"/>
                <w:szCs w:val="17"/>
                <w:lang w:eastAsia="pt-BR"/>
              </w:rPr>
              <w:t xml:space="preserve"> / </w:t>
            </w:r>
            <w:proofErr w:type="spellStart"/>
            <w:r w:rsidRPr="00C40278">
              <w:rPr>
                <w:rFonts w:ascii="Verdana" w:eastAsia="Times New Roman" w:hAnsi="Verdana" w:cs="Calibri"/>
                <w:sz w:val="17"/>
                <w:szCs w:val="17"/>
                <w:lang w:eastAsia="pt-BR"/>
              </w:rPr>
              <w:t>Fab</w:t>
            </w:r>
            <w:proofErr w:type="spellEnd"/>
            <w:r w:rsidRPr="00C40278">
              <w:rPr>
                <w:rFonts w:ascii="Verdana" w:eastAsia="Times New Roman" w:hAnsi="Verdana" w:cs="Calibri"/>
                <w:sz w:val="17"/>
                <w:szCs w:val="17"/>
                <w:lang w:eastAsia="pt-BR"/>
              </w:rPr>
              <w:t xml:space="preserve"> e Rep / </w:t>
            </w:r>
            <w:proofErr w:type="spellStart"/>
            <w:r w:rsidRPr="00C40278">
              <w:rPr>
                <w:rFonts w:ascii="Verdana" w:eastAsia="Times New Roman" w:hAnsi="Verdana" w:cs="Calibri"/>
                <w:sz w:val="17"/>
                <w:szCs w:val="17"/>
                <w:lang w:eastAsia="pt-BR"/>
              </w:rPr>
              <w:t>Mat</w:t>
            </w:r>
            <w:proofErr w:type="spellEnd"/>
            <w:r w:rsidRPr="00C40278">
              <w:rPr>
                <w:rFonts w:ascii="Verdana" w:eastAsia="Times New Roman" w:hAnsi="Verdana" w:cs="Calibri"/>
                <w:sz w:val="17"/>
                <w:szCs w:val="17"/>
                <w:lang w:eastAsia="pt-BR"/>
              </w:rPr>
              <w:t xml:space="preserve"> em processo</w:t>
            </w:r>
          </w:p>
        </w:tc>
        <w:tc>
          <w:tcPr>
            <w:tcW w:w="282" w:type="dxa"/>
            <w:tcBorders>
              <w:top w:val="nil"/>
              <w:left w:val="nil"/>
              <w:bottom w:val="nil"/>
              <w:right w:val="nil"/>
            </w:tcBorders>
            <w:shd w:val="clear" w:color="auto" w:fill="auto"/>
            <w:noWrap/>
            <w:vAlign w:val="center"/>
            <w:hideMark/>
          </w:tcPr>
          <w:p w14:paraId="0C7078A0" w14:textId="77777777" w:rsidR="00A978AF" w:rsidRPr="00C40278" w:rsidRDefault="00A978AF" w:rsidP="00A978AF">
            <w:pPr>
              <w:spacing w:after="0" w:line="240" w:lineRule="auto"/>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 </w:t>
            </w:r>
          </w:p>
        </w:tc>
        <w:tc>
          <w:tcPr>
            <w:tcW w:w="2059" w:type="dxa"/>
            <w:tcBorders>
              <w:top w:val="nil"/>
              <w:left w:val="nil"/>
              <w:bottom w:val="nil"/>
              <w:right w:val="nil"/>
            </w:tcBorders>
            <w:shd w:val="clear" w:color="auto" w:fill="auto"/>
            <w:noWrap/>
            <w:vAlign w:val="center"/>
            <w:hideMark/>
          </w:tcPr>
          <w:p w14:paraId="51D04537" w14:textId="77777777" w:rsidR="00A978AF" w:rsidRPr="00C40278" w:rsidRDefault="00A978AF" w:rsidP="00F7132F">
            <w:pPr>
              <w:spacing w:after="0" w:line="240" w:lineRule="auto"/>
              <w:jc w:val="right"/>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2.860 </w:t>
            </w:r>
          </w:p>
        </w:tc>
      </w:tr>
      <w:tr w:rsidR="00A978AF" w:rsidRPr="00C40278" w14:paraId="3452EFB5" w14:textId="77777777" w:rsidTr="00DE1EA6">
        <w:trPr>
          <w:trHeight w:val="17"/>
        </w:trPr>
        <w:tc>
          <w:tcPr>
            <w:tcW w:w="6709" w:type="dxa"/>
            <w:tcBorders>
              <w:top w:val="nil"/>
              <w:left w:val="nil"/>
              <w:bottom w:val="nil"/>
              <w:right w:val="nil"/>
            </w:tcBorders>
            <w:shd w:val="clear" w:color="auto" w:fill="auto"/>
            <w:noWrap/>
            <w:vAlign w:val="center"/>
            <w:hideMark/>
          </w:tcPr>
          <w:p w14:paraId="107B061C" w14:textId="77777777" w:rsidR="00A978AF" w:rsidRPr="00C40278" w:rsidRDefault="00A978AF" w:rsidP="00A978AF">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Adiantamento a fornecedores</w:t>
            </w:r>
          </w:p>
        </w:tc>
        <w:tc>
          <w:tcPr>
            <w:tcW w:w="282" w:type="dxa"/>
            <w:tcBorders>
              <w:top w:val="nil"/>
              <w:left w:val="nil"/>
              <w:bottom w:val="nil"/>
              <w:right w:val="nil"/>
            </w:tcBorders>
            <w:shd w:val="clear" w:color="auto" w:fill="auto"/>
            <w:noWrap/>
            <w:vAlign w:val="center"/>
            <w:hideMark/>
          </w:tcPr>
          <w:p w14:paraId="5AA6288D" w14:textId="77777777" w:rsidR="00A978AF" w:rsidRPr="00C40278" w:rsidRDefault="00A978AF" w:rsidP="00A978AF">
            <w:pPr>
              <w:spacing w:after="0" w:line="240" w:lineRule="auto"/>
              <w:rPr>
                <w:rFonts w:ascii="Verdana" w:eastAsia="Times New Roman" w:hAnsi="Verdana" w:cs="Calibri"/>
                <w:sz w:val="17"/>
                <w:szCs w:val="17"/>
                <w:lang w:eastAsia="pt-BR"/>
              </w:rPr>
            </w:pPr>
          </w:p>
        </w:tc>
        <w:tc>
          <w:tcPr>
            <w:tcW w:w="2059" w:type="dxa"/>
            <w:tcBorders>
              <w:top w:val="nil"/>
              <w:left w:val="nil"/>
              <w:bottom w:val="nil"/>
              <w:right w:val="nil"/>
            </w:tcBorders>
            <w:shd w:val="clear" w:color="auto" w:fill="auto"/>
            <w:noWrap/>
            <w:vAlign w:val="center"/>
            <w:hideMark/>
          </w:tcPr>
          <w:p w14:paraId="336E94E5" w14:textId="77777777" w:rsidR="00A978AF" w:rsidRPr="00C40278" w:rsidRDefault="00A978AF" w:rsidP="00F7132F">
            <w:pPr>
              <w:spacing w:after="0" w:line="240" w:lineRule="auto"/>
              <w:jc w:val="right"/>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665.665 </w:t>
            </w:r>
          </w:p>
        </w:tc>
      </w:tr>
      <w:tr w:rsidR="00A978AF" w:rsidRPr="00C40278" w14:paraId="27D0F8BC" w14:textId="77777777" w:rsidTr="00DE1EA6">
        <w:trPr>
          <w:trHeight w:val="17"/>
        </w:trPr>
        <w:tc>
          <w:tcPr>
            <w:tcW w:w="6991" w:type="dxa"/>
            <w:gridSpan w:val="2"/>
            <w:tcBorders>
              <w:top w:val="nil"/>
              <w:left w:val="nil"/>
              <w:bottom w:val="nil"/>
              <w:right w:val="nil"/>
            </w:tcBorders>
            <w:shd w:val="clear" w:color="auto" w:fill="auto"/>
            <w:noWrap/>
            <w:vAlign w:val="center"/>
            <w:hideMark/>
          </w:tcPr>
          <w:p w14:paraId="6CC2B669" w14:textId="77777777" w:rsidR="00A978AF" w:rsidRPr="00C40278" w:rsidRDefault="00A978AF" w:rsidP="00A978AF">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Provisão para valor recuperável dos ativos (</w:t>
            </w:r>
            <w:proofErr w:type="spellStart"/>
            <w:r w:rsidRPr="00C40278">
              <w:rPr>
                <w:rFonts w:ascii="Verdana" w:eastAsia="Times New Roman" w:hAnsi="Verdana" w:cs="Calibri"/>
                <w:sz w:val="17"/>
                <w:szCs w:val="17"/>
                <w:lang w:eastAsia="pt-BR"/>
              </w:rPr>
              <w:t>Impairment</w:t>
            </w:r>
            <w:proofErr w:type="spellEnd"/>
            <w:r w:rsidRPr="00C40278">
              <w:rPr>
                <w:rFonts w:ascii="Verdana" w:eastAsia="Times New Roman" w:hAnsi="Verdana" w:cs="Calibri"/>
                <w:sz w:val="17"/>
                <w:szCs w:val="17"/>
                <w:lang w:eastAsia="pt-BR"/>
              </w:rPr>
              <w:t>)</w:t>
            </w:r>
          </w:p>
        </w:tc>
        <w:tc>
          <w:tcPr>
            <w:tcW w:w="2059" w:type="dxa"/>
            <w:tcBorders>
              <w:top w:val="nil"/>
              <w:left w:val="nil"/>
              <w:bottom w:val="nil"/>
              <w:right w:val="nil"/>
            </w:tcBorders>
            <w:shd w:val="clear" w:color="auto" w:fill="auto"/>
            <w:noWrap/>
            <w:vAlign w:val="center"/>
            <w:hideMark/>
          </w:tcPr>
          <w:p w14:paraId="04DCDB2D" w14:textId="77777777" w:rsidR="00A978AF" w:rsidRPr="00C40278" w:rsidRDefault="00A978AF">
            <w:pPr>
              <w:spacing w:after="0" w:line="240" w:lineRule="auto"/>
              <w:jc w:val="right"/>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(4.508.764)</w:t>
            </w:r>
          </w:p>
        </w:tc>
      </w:tr>
      <w:tr w:rsidR="00A978AF" w:rsidRPr="00C40278" w14:paraId="3950041C" w14:textId="77777777" w:rsidTr="00DE1EA6">
        <w:trPr>
          <w:trHeight w:val="17"/>
        </w:trPr>
        <w:tc>
          <w:tcPr>
            <w:tcW w:w="6709" w:type="dxa"/>
            <w:tcBorders>
              <w:top w:val="nil"/>
              <w:left w:val="nil"/>
              <w:bottom w:val="nil"/>
              <w:right w:val="nil"/>
            </w:tcBorders>
            <w:shd w:val="clear" w:color="auto" w:fill="auto"/>
            <w:noWrap/>
            <w:vAlign w:val="center"/>
            <w:hideMark/>
          </w:tcPr>
          <w:p w14:paraId="16E2FE4B" w14:textId="77777777" w:rsidR="00A978AF" w:rsidRPr="00C40278" w:rsidRDefault="00A978AF" w:rsidP="00A978AF">
            <w:pPr>
              <w:spacing w:after="0" w:line="240" w:lineRule="auto"/>
              <w:jc w:val="right"/>
              <w:rPr>
                <w:rFonts w:ascii="Verdana" w:eastAsia="Times New Roman" w:hAnsi="Verdana" w:cs="Calibri"/>
                <w:sz w:val="17"/>
                <w:szCs w:val="17"/>
                <w:lang w:eastAsia="pt-BR"/>
              </w:rPr>
            </w:pPr>
          </w:p>
        </w:tc>
        <w:tc>
          <w:tcPr>
            <w:tcW w:w="282" w:type="dxa"/>
            <w:tcBorders>
              <w:top w:val="nil"/>
              <w:left w:val="nil"/>
              <w:bottom w:val="nil"/>
              <w:right w:val="nil"/>
            </w:tcBorders>
            <w:shd w:val="clear" w:color="auto" w:fill="auto"/>
            <w:noWrap/>
            <w:vAlign w:val="center"/>
            <w:hideMark/>
          </w:tcPr>
          <w:p w14:paraId="1D424D5A" w14:textId="77777777" w:rsidR="00A978AF" w:rsidRPr="00C40278" w:rsidRDefault="00A978AF" w:rsidP="00A978AF">
            <w:pPr>
              <w:spacing w:after="0" w:line="240" w:lineRule="auto"/>
              <w:rPr>
                <w:rFonts w:ascii="Times New Roman" w:eastAsia="Times New Roman" w:hAnsi="Times New Roman" w:cs="Times New Roman"/>
                <w:sz w:val="17"/>
                <w:szCs w:val="17"/>
                <w:lang w:eastAsia="pt-BR"/>
              </w:rPr>
            </w:pPr>
          </w:p>
        </w:tc>
        <w:tc>
          <w:tcPr>
            <w:tcW w:w="2059" w:type="dxa"/>
            <w:tcBorders>
              <w:top w:val="single" w:sz="4" w:space="0" w:color="auto"/>
              <w:left w:val="nil"/>
              <w:bottom w:val="nil"/>
              <w:right w:val="nil"/>
            </w:tcBorders>
            <w:shd w:val="clear" w:color="auto" w:fill="auto"/>
            <w:noWrap/>
            <w:vAlign w:val="center"/>
            <w:hideMark/>
          </w:tcPr>
          <w:p w14:paraId="139E41D3" w14:textId="77777777" w:rsidR="00A978AF" w:rsidRPr="00C40278" w:rsidRDefault="00A978AF" w:rsidP="00F7132F">
            <w:pPr>
              <w:spacing w:after="0" w:line="240" w:lineRule="auto"/>
              <w:jc w:val="right"/>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 xml:space="preserve">     9.550.705 </w:t>
            </w:r>
          </w:p>
        </w:tc>
      </w:tr>
      <w:tr w:rsidR="00A978AF" w:rsidRPr="00C40278" w14:paraId="60585EF5" w14:textId="77777777" w:rsidTr="00DE1EA6">
        <w:trPr>
          <w:trHeight w:val="17"/>
        </w:trPr>
        <w:tc>
          <w:tcPr>
            <w:tcW w:w="6709" w:type="dxa"/>
            <w:tcBorders>
              <w:top w:val="nil"/>
              <w:left w:val="nil"/>
              <w:bottom w:val="nil"/>
              <w:right w:val="nil"/>
            </w:tcBorders>
            <w:shd w:val="clear" w:color="auto" w:fill="auto"/>
            <w:noWrap/>
            <w:vAlign w:val="center"/>
            <w:hideMark/>
          </w:tcPr>
          <w:p w14:paraId="4DBA7273" w14:textId="77777777" w:rsidR="00A978AF" w:rsidRPr="00C40278" w:rsidRDefault="00A978AF" w:rsidP="00A978AF">
            <w:pPr>
              <w:spacing w:after="0" w:line="240" w:lineRule="auto"/>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Direito de uso</w:t>
            </w:r>
          </w:p>
        </w:tc>
        <w:tc>
          <w:tcPr>
            <w:tcW w:w="282" w:type="dxa"/>
            <w:tcBorders>
              <w:top w:val="nil"/>
              <w:left w:val="nil"/>
              <w:bottom w:val="nil"/>
              <w:right w:val="nil"/>
            </w:tcBorders>
            <w:shd w:val="clear" w:color="auto" w:fill="auto"/>
            <w:noWrap/>
            <w:vAlign w:val="center"/>
            <w:hideMark/>
          </w:tcPr>
          <w:p w14:paraId="04C57C2C" w14:textId="77777777" w:rsidR="00A978AF" w:rsidRPr="00C40278" w:rsidRDefault="00A978AF" w:rsidP="00A978AF">
            <w:pPr>
              <w:spacing w:after="0" w:line="240" w:lineRule="auto"/>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 </w:t>
            </w:r>
          </w:p>
        </w:tc>
        <w:tc>
          <w:tcPr>
            <w:tcW w:w="2059" w:type="dxa"/>
            <w:tcBorders>
              <w:top w:val="nil"/>
              <w:left w:val="nil"/>
              <w:bottom w:val="nil"/>
              <w:right w:val="nil"/>
            </w:tcBorders>
            <w:shd w:val="clear" w:color="auto" w:fill="auto"/>
            <w:noWrap/>
            <w:vAlign w:val="center"/>
            <w:hideMark/>
          </w:tcPr>
          <w:p w14:paraId="27396805" w14:textId="77777777" w:rsidR="00A978AF" w:rsidRPr="00C40278" w:rsidRDefault="00A978AF" w:rsidP="00F7132F">
            <w:pPr>
              <w:spacing w:after="0" w:line="240" w:lineRule="auto"/>
              <w:jc w:val="right"/>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w:t>
            </w:r>
          </w:p>
        </w:tc>
      </w:tr>
      <w:tr w:rsidR="00A978AF" w:rsidRPr="00C40278" w14:paraId="32285792" w14:textId="77777777" w:rsidTr="00DE1EA6">
        <w:trPr>
          <w:trHeight w:val="17"/>
        </w:trPr>
        <w:tc>
          <w:tcPr>
            <w:tcW w:w="6709" w:type="dxa"/>
            <w:tcBorders>
              <w:top w:val="nil"/>
              <w:left w:val="nil"/>
              <w:bottom w:val="nil"/>
              <w:right w:val="nil"/>
            </w:tcBorders>
            <w:shd w:val="clear" w:color="auto" w:fill="auto"/>
            <w:noWrap/>
            <w:vAlign w:val="center"/>
            <w:hideMark/>
          </w:tcPr>
          <w:p w14:paraId="393FC05C" w14:textId="77777777" w:rsidR="00A978AF" w:rsidRPr="00C40278" w:rsidRDefault="00A978AF" w:rsidP="00A978AF">
            <w:pPr>
              <w:spacing w:after="0" w:line="240" w:lineRule="auto"/>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 xml:space="preserve">  Imobilizado em serviço</w:t>
            </w:r>
          </w:p>
        </w:tc>
        <w:tc>
          <w:tcPr>
            <w:tcW w:w="282" w:type="dxa"/>
            <w:tcBorders>
              <w:top w:val="nil"/>
              <w:left w:val="nil"/>
              <w:bottom w:val="nil"/>
              <w:right w:val="nil"/>
            </w:tcBorders>
            <w:shd w:val="clear" w:color="auto" w:fill="auto"/>
            <w:noWrap/>
            <w:vAlign w:val="center"/>
            <w:hideMark/>
          </w:tcPr>
          <w:p w14:paraId="5DC35DB7" w14:textId="77777777" w:rsidR="00A978AF" w:rsidRPr="00C40278" w:rsidRDefault="00A978AF" w:rsidP="00A978AF">
            <w:pPr>
              <w:spacing w:after="0" w:line="240" w:lineRule="auto"/>
              <w:rPr>
                <w:rFonts w:ascii="Verdana" w:eastAsia="Times New Roman" w:hAnsi="Verdana" w:cs="Calibri"/>
                <w:b/>
                <w:bCs/>
                <w:sz w:val="17"/>
                <w:szCs w:val="17"/>
                <w:lang w:eastAsia="pt-BR"/>
              </w:rPr>
            </w:pPr>
          </w:p>
        </w:tc>
        <w:tc>
          <w:tcPr>
            <w:tcW w:w="2059" w:type="dxa"/>
            <w:tcBorders>
              <w:top w:val="nil"/>
              <w:left w:val="nil"/>
              <w:bottom w:val="nil"/>
              <w:right w:val="nil"/>
            </w:tcBorders>
            <w:shd w:val="clear" w:color="auto" w:fill="auto"/>
            <w:noWrap/>
            <w:vAlign w:val="center"/>
            <w:hideMark/>
          </w:tcPr>
          <w:p w14:paraId="2AEF1C95" w14:textId="77777777" w:rsidR="00A978AF" w:rsidRPr="00C40278" w:rsidRDefault="00A978AF" w:rsidP="00F7132F">
            <w:pPr>
              <w:spacing w:after="0" w:line="240" w:lineRule="auto"/>
              <w:jc w:val="right"/>
              <w:rPr>
                <w:rFonts w:ascii="Times New Roman" w:eastAsia="Times New Roman" w:hAnsi="Times New Roman" w:cs="Times New Roman"/>
                <w:sz w:val="17"/>
                <w:szCs w:val="17"/>
                <w:lang w:eastAsia="pt-BR"/>
              </w:rPr>
            </w:pPr>
          </w:p>
        </w:tc>
      </w:tr>
      <w:tr w:rsidR="00A978AF" w:rsidRPr="00C40278" w14:paraId="765D9E5B" w14:textId="77777777" w:rsidTr="00DE1EA6">
        <w:trPr>
          <w:trHeight w:val="17"/>
        </w:trPr>
        <w:tc>
          <w:tcPr>
            <w:tcW w:w="6709" w:type="dxa"/>
            <w:tcBorders>
              <w:top w:val="nil"/>
              <w:left w:val="nil"/>
              <w:bottom w:val="nil"/>
              <w:right w:val="nil"/>
            </w:tcBorders>
            <w:shd w:val="clear" w:color="auto" w:fill="auto"/>
            <w:noWrap/>
            <w:vAlign w:val="center"/>
            <w:hideMark/>
          </w:tcPr>
          <w:p w14:paraId="50B454E7" w14:textId="77777777" w:rsidR="00A978AF" w:rsidRPr="00C40278" w:rsidRDefault="00A978AF" w:rsidP="00A978AF">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Edificações, obras civis e benfeitorias</w:t>
            </w:r>
          </w:p>
        </w:tc>
        <w:tc>
          <w:tcPr>
            <w:tcW w:w="282" w:type="dxa"/>
            <w:tcBorders>
              <w:top w:val="nil"/>
              <w:left w:val="nil"/>
              <w:bottom w:val="nil"/>
              <w:right w:val="nil"/>
            </w:tcBorders>
            <w:shd w:val="clear" w:color="auto" w:fill="auto"/>
            <w:noWrap/>
            <w:vAlign w:val="center"/>
            <w:hideMark/>
          </w:tcPr>
          <w:p w14:paraId="312A0C18" w14:textId="77777777" w:rsidR="00A978AF" w:rsidRPr="00C40278" w:rsidRDefault="00A978AF" w:rsidP="00A978AF">
            <w:pPr>
              <w:spacing w:after="0" w:line="240" w:lineRule="auto"/>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 </w:t>
            </w:r>
          </w:p>
        </w:tc>
        <w:tc>
          <w:tcPr>
            <w:tcW w:w="2059" w:type="dxa"/>
            <w:tcBorders>
              <w:top w:val="nil"/>
              <w:left w:val="nil"/>
              <w:bottom w:val="nil"/>
              <w:right w:val="nil"/>
            </w:tcBorders>
            <w:shd w:val="clear" w:color="auto" w:fill="auto"/>
            <w:noWrap/>
            <w:vAlign w:val="center"/>
            <w:hideMark/>
          </w:tcPr>
          <w:p w14:paraId="351EB6F5" w14:textId="77777777" w:rsidR="00A978AF" w:rsidRPr="00C40278" w:rsidRDefault="00A978AF" w:rsidP="00F7132F">
            <w:pPr>
              <w:spacing w:after="0" w:line="240" w:lineRule="auto"/>
              <w:jc w:val="right"/>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12.510 </w:t>
            </w:r>
          </w:p>
        </w:tc>
      </w:tr>
      <w:tr w:rsidR="00A978AF" w:rsidRPr="00C40278" w14:paraId="257CBF1C" w14:textId="77777777" w:rsidTr="00DE1EA6">
        <w:trPr>
          <w:trHeight w:val="17"/>
        </w:trPr>
        <w:tc>
          <w:tcPr>
            <w:tcW w:w="6709" w:type="dxa"/>
            <w:tcBorders>
              <w:top w:val="nil"/>
              <w:left w:val="nil"/>
              <w:bottom w:val="nil"/>
              <w:right w:val="nil"/>
            </w:tcBorders>
            <w:shd w:val="clear" w:color="auto" w:fill="auto"/>
            <w:noWrap/>
            <w:vAlign w:val="center"/>
            <w:hideMark/>
          </w:tcPr>
          <w:p w14:paraId="00910299" w14:textId="77777777" w:rsidR="00A978AF" w:rsidRPr="00C40278" w:rsidRDefault="00A978AF" w:rsidP="00A978AF">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Veículos </w:t>
            </w:r>
          </w:p>
        </w:tc>
        <w:tc>
          <w:tcPr>
            <w:tcW w:w="282" w:type="dxa"/>
            <w:tcBorders>
              <w:top w:val="nil"/>
              <w:left w:val="nil"/>
              <w:bottom w:val="nil"/>
              <w:right w:val="nil"/>
            </w:tcBorders>
            <w:shd w:val="clear" w:color="auto" w:fill="auto"/>
            <w:noWrap/>
            <w:vAlign w:val="center"/>
            <w:hideMark/>
          </w:tcPr>
          <w:p w14:paraId="561D4CAC" w14:textId="77777777" w:rsidR="00A978AF" w:rsidRPr="00C40278" w:rsidRDefault="00A978AF" w:rsidP="00A978AF">
            <w:pPr>
              <w:spacing w:after="0" w:line="240" w:lineRule="auto"/>
              <w:rPr>
                <w:rFonts w:ascii="Verdana" w:eastAsia="Times New Roman" w:hAnsi="Verdana" w:cs="Calibri"/>
                <w:sz w:val="17"/>
                <w:szCs w:val="17"/>
                <w:lang w:eastAsia="pt-BR"/>
              </w:rPr>
            </w:pPr>
          </w:p>
        </w:tc>
        <w:tc>
          <w:tcPr>
            <w:tcW w:w="2059" w:type="dxa"/>
            <w:tcBorders>
              <w:top w:val="nil"/>
              <w:left w:val="nil"/>
              <w:bottom w:val="nil"/>
              <w:right w:val="nil"/>
            </w:tcBorders>
            <w:shd w:val="clear" w:color="auto" w:fill="auto"/>
            <w:noWrap/>
            <w:vAlign w:val="center"/>
            <w:hideMark/>
          </w:tcPr>
          <w:p w14:paraId="3D1338F4" w14:textId="77777777" w:rsidR="00A978AF" w:rsidRPr="00C40278" w:rsidRDefault="00A978AF">
            <w:pPr>
              <w:spacing w:after="0" w:line="240" w:lineRule="auto"/>
              <w:jc w:val="right"/>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1.592 </w:t>
            </w:r>
          </w:p>
        </w:tc>
      </w:tr>
      <w:tr w:rsidR="00A978AF" w:rsidRPr="00C40278" w14:paraId="5808B696" w14:textId="77777777" w:rsidTr="00DE1EA6">
        <w:trPr>
          <w:trHeight w:val="17"/>
        </w:trPr>
        <w:tc>
          <w:tcPr>
            <w:tcW w:w="6709" w:type="dxa"/>
            <w:tcBorders>
              <w:top w:val="nil"/>
              <w:left w:val="nil"/>
              <w:bottom w:val="nil"/>
              <w:right w:val="nil"/>
            </w:tcBorders>
            <w:shd w:val="clear" w:color="auto" w:fill="auto"/>
            <w:noWrap/>
            <w:vAlign w:val="center"/>
            <w:hideMark/>
          </w:tcPr>
          <w:p w14:paraId="3DBC602D" w14:textId="77777777" w:rsidR="00A978AF" w:rsidRPr="00C40278" w:rsidRDefault="00A978AF" w:rsidP="00A978AF">
            <w:pPr>
              <w:spacing w:after="0" w:line="240" w:lineRule="auto"/>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 </w:t>
            </w:r>
          </w:p>
        </w:tc>
        <w:tc>
          <w:tcPr>
            <w:tcW w:w="282" w:type="dxa"/>
            <w:tcBorders>
              <w:top w:val="nil"/>
              <w:left w:val="nil"/>
              <w:bottom w:val="nil"/>
              <w:right w:val="nil"/>
            </w:tcBorders>
            <w:shd w:val="clear" w:color="auto" w:fill="auto"/>
            <w:noWrap/>
            <w:vAlign w:val="center"/>
            <w:hideMark/>
          </w:tcPr>
          <w:p w14:paraId="7EC2715D" w14:textId="77777777" w:rsidR="00A978AF" w:rsidRPr="00C40278" w:rsidRDefault="00A978AF" w:rsidP="00A978AF">
            <w:pPr>
              <w:spacing w:after="0" w:line="240" w:lineRule="auto"/>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 </w:t>
            </w:r>
          </w:p>
        </w:tc>
        <w:tc>
          <w:tcPr>
            <w:tcW w:w="2059" w:type="dxa"/>
            <w:tcBorders>
              <w:top w:val="single" w:sz="4" w:space="0" w:color="auto"/>
              <w:left w:val="nil"/>
              <w:bottom w:val="nil"/>
              <w:right w:val="nil"/>
            </w:tcBorders>
            <w:shd w:val="clear" w:color="auto" w:fill="auto"/>
            <w:noWrap/>
            <w:vAlign w:val="center"/>
            <w:hideMark/>
          </w:tcPr>
          <w:p w14:paraId="048406E2" w14:textId="77777777" w:rsidR="00A978AF" w:rsidRPr="00C40278" w:rsidRDefault="00A978AF" w:rsidP="00F7132F">
            <w:pPr>
              <w:spacing w:after="0" w:line="240" w:lineRule="auto"/>
              <w:jc w:val="right"/>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 xml:space="preserve">           14.102 </w:t>
            </w:r>
          </w:p>
        </w:tc>
      </w:tr>
      <w:tr w:rsidR="00A978AF" w:rsidRPr="00C40278" w14:paraId="05A84E40" w14:textId="77777777" w:rsidTr="00DE1EA6">
        <w:trPr>
          <w:trHeight w:val="17"/>
        </w:trPr>
        <w:tc>
          <w:tcPr>
            <w:tcW w:w="6709" w:type="dxa"/>
            <w:tcBorders>
              <w:top w:val="nil"/>
              <w:left w:val="nil"/>
              <w:bottom w:val="nil"/>
              <w:right w:val="nil"/>
            </w:tcBorders>
            <w:shd w:val="clear" w:color="auto" w:fill="auto"/>
            <w:noWrap/>
            <w:vAlign w:val="center"/>
            <w:hideMark/>
          </w:tcPr>
          <w:p w14:paraId="615171F4" w14:textId="77777777" w:rsidR="00A978AF" w:rsidRPr="00C40278" w:rsidRDefault="00A978AF" w:rsidP="00A978AF">
            <w:pPr>
              <w:spacing w:after="0" w:line="240" w:lineRule="auto"/>
              <w:rPr>
                <w:rFonts w:ascii="Verdana" w:eastAsia="Times New Roman" w:hAnsi="Verdana" w:cs="Calibri"/>
                <w:b/>
                <w:bCs/>
                <w:sz w:val="17"/>
                <w:szCs w:val="17"/>
                <w:lang w:eastAsia="pt-BR"/>
              </w:rPr>
            </w:pPr>
          </w:p>
        </w:tc>
        <w:tc>
          <w:tcPr>
            <w:tcW w:w="282" w:type="dxa"/>
            <w:tcBorders>
              <w:top w:val="nil"/>
              <w:left w:val="nil"/>
              <w:bottom w:val="nil"/>
              <w:right w:val="nil"/>
            </w:tcBorders>
            <w:shd w:val="clear" w:color="auto" w:fill="auto"/>
            <w:noWrap/>
            <w:vAlign w:val="center"/>
            <w:hideMark/>
          </w:tcPr>
          <w:p w14:paraId="0C8D9933" w14:textId="77777777" w:rsidR="00A978AF" w:rsidRPr="00C40278" w:rsidRDefault="00A978AF" w:rsidP="00A978AF">
            <w:pPr>
              <w:spacing w:after="0" w:line="240" w:lineRule="auto"/>
              <w:rPr>
                <w:rFonts w:ascii="Times New Roman" w:eastAsia="Times New Roman" w:hAnsi="Times New Roman" w:cs="Times New Roman"/>
                <w:sz w:val="17"/>
                <w:szCs w:val="17"/>
                <w:lang w:eastAsia="pt-BR"/>
              </w:rPr>
            </w:pPr>
          </w:p>
        </w:tc>
        <w:tc>
          <w:tcPr>
            <w:tcW w:w="2059" w:type="dxa"/>
            <w:tcBorders>
              <w:top w:val="nil"/>
              <w:left w:val="nil"/>
              <w:bottom w:val="nil"/>
              <w:right w:val="nil"/>
            </w:tcBorders>
            <w:shd w:val="clear" w:color="auto" w:fill="auto"/>
            <w:noWrap/>
            <w:vAlign w:val="center"/>
            <w:hideMark/>
          </w:tcPr>
          <w:p w14:paraId="2F3B0129" w14:textId="77777777" w:rsidR="00A978AF" w:rsidRPr="00C40278" w:rsidRDefault="00A978AF" w:rsidP="00F7132F">
            <w:pPr>
              <w:spacing w:after="0" w:line="240" w:lineRule="auto"/>
              <w:jc w:val="right"/>
              <w:rPr>
                <w:rFonts w:ascii="Times New Roman" w:eastAsia="Times New Roman" w:hAnsi="Times New Roman" w:cs="Times New Roman"/>
                <w:sz w:val="17"/>
                <w:szCs w:val="17"/>
                <w:lang w:eastAsia="pt-BR"/>
              </w:rPr>
            </w:pPr>
          </w:p>
        </w:tc>
      </w:tr>
      <w:tr w:rsidR="00A978AF" w:rsidRPr="00C40278" w14:paraId="481868C3" w14:textId="77777777" w:rsidTr="00DE1EA6">
        <w:trPr>
          <w:trHeight w:val="17"/>
        </w:trPr>
        <w:tc>
          <w:tcPr>
            <w:tcW w:w="6709" w:type="dxa"/>
            <w:tcBorders>
              <w:top w:val="nil"/>
              <w:left w:val="nil"/>
              <w:bottom w:val="nil"/>
              <w:right w:val="nil"/>
            </w:tcBorders>
            <w:shd w:val="clear" w:color="auto" w:fill="auto"/>
            <w:noWrap/>
            <w:vAlign w:val="center"/>
            <w:hideMark/>
          </w:tcPr>
          <w:p w14:paraId="24CEA440" w14:textId="77777777" w:rsidR="00A978AF" w:rsidRPr="00C40278" w:rsidRDefault="00A978AF" w:rsidP="00A978AF">
            <w:pPr>
              <w:spacing w:after="0" w:line="240" w:lineRule="auto"/>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 </w:t>
            </w:r>
          </w:p>
        </w:tc>
        <w:tc>
          <w:tcPr>
            <w:tcW w:w="282" w:type="dxa"/>
            <w:tcBorders>
              <w:top w:val="nil"/>
              <w:left w:val="nil"/>
              <w:bottom w:val="nil"/>
              <w:right w:val="nil"/>
            </w:tcBorders>
            <w:shd w:val="clear" w:color="auto" w:fill="auto"/>
            <w:noWrap/>
            <w:vAlign w:val="center"/>
            <w:hideMark/>
          </w:tcPr>
          <w:p w14:paraId="267FEB2A" w14:textId="77777777" w:rsidR="00A978AF" w:rsidRPr="00C40278" w:rsidRDefault="00A978AF" w:rsidP="00A978AF">
            <w:pPr>
              <w:spacing w:after="0" w:line="240" w:lineRule="auto"/>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 </w:t>
            </w:r>
          </w:p>
        </w:tc>
        <w:tc>
          <w:tcPr>
            <w:tcW w:w="2059" w:type="dxa"/>
            <w:tcBorders>
              <w:top w:val="single" w:sz="4" w:space="0" w:color="auto"/>
              <w:left w:val="nil"/>
              <w:bottom w:val="double" w:sz="6" w:space="0" w:color="auto"/>
              <w:right w:val="nil"/>
            </w:tcBorders>
            <w:shd w:val="clear" w:color="auto" w:fill="auto"/>
            <w:noWrap/>
            <w:vAlign w:val="center"/>
            <w:hideMark/>
          </w:tcPr>
          <w:p w14:paraId="146D81C7" w14:textId="77777777" w:rsidR="00A978AF" w:rsidRPr="00C40278" w:rsidRDefault="00A978AF">
            <w:pPr>
              <w:spacing w:after="0" w:line="240" w:lineRule="auto"/>
              <w:jc w:val="right"/>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 xml:space="preserve">   13.956.157 </w:t>
            </w:r>
          </w:p>
        </w:tc>
      </w:tr>
    </w:tbl>
    <w:p w14:paraId="6B77E6E4" w14:textId="77777777" w:rsidR="00DA30CF" w:rsidRDefault="00DA30CF" w:rsidP="000B3334">
      <w:pPr>
        <w:pStyle w:val="Texto"/>
        <w:ind w:left="0"/>
        <w:rPr>
          <w:rFonts w:ascii="Verdana" w:hAnsi="Verdana" w:cstheme="minorHAnsi"/>
        </w:rPr>
      </w:pPr>
    </w:p>
    <w:tbl>
      <w:tblPr>
        <w:tblW w:w="9225" w:type="dxa"/>
        <w:tblCellMar>
          <w:left w:w="70" w:type="dxa"/>
          <w:right w:w="70" w:type="dxa"/>
        </w:tblCellMar>
        <w:tblLook w:val="04A0" w:firstRow="1" w:lastRow="0" w:firstColumn="1" w:lastColumn="0" w:noHBand="0" w:noVBand="1"/>
      </w:tblPr>
      <w:tblGrid>
        <w:gridCol w:w="6757"/>
        <w:gridCol w:w="321"/>
        <w:gridCol w:w="2147"/>
      </w:tblGrid>
      <w:tr w:rsidR="000B3334" w:rsidRPr="00C40278" w14:paraId="399C43BC" w14:textId="77777777" w:rsidTr="002773FB">
        <w:trPr>
          <w:trHeight w:val="27"/>
        </w:trPr>
        <w:tc>
          <w:tcPr>
            <w:tcW w:w="6757" w:type="dxa"/>
            <w:tcBorders>
              <w:top w:val="nil"/>
              <w:left w:val="nil"/>
              <w:bottom w:val="nil"/>
              <w:right w:val="nil"/>
            </w:tcBorders>
            <w:shd w:val="clear" w:color="auto" w:fill="auto"/>
            <w:vAlign w:val="center"/>
            <w:hideMark/>
          </w:tcPr>
          <w:p w14:paraId="71E1A1CD" w14:textId="77777777" w:rsidR="000B3334" w:rsidRPr="00C40278" w:rsidRDefault="000B3334" w:rsidP="002773FB">
            <w:pPr>
              <w:spacing w:after="0" w:line="240" w:lineRule="auto"/>
              <w:rPr>
                <w:rFonts w:ascii="Verdana" w:eastAsia="Times New Roman" w:hAnsi="Verdana" w:cs="Times New Roman"/>
                <w:sz w:val="17"/>
                <w:szCs w:val="17"/>
                <w:lang w:eastAsia="pt-BR"/>
              </w:rPr>
            </w:pPr>
          </w:p>
        </w:tc>
        <w:tc>
          <w:tcPr>
            <w:tcW w:w="321" w:type="dxa"/>
            <w:tcBorders>
              <w:top w:val="nil"/>
              <w:left w:val="nil"/>
              <w:bottom w:val="nil"/>
              <w:right w:val="nil"/>
            </w:tcBorders>
            <w:shd w:val="clear" w:color="auto" w:fill="auto"/>
            <w:vAlign w:val="center"/>
            <w:hideMark/>
          </w:tcPr>
          <w:p w14:paraId="780921BE" w14:textId="77777777" w:rsidR="000B3334" w:rsidRPr="00C40278" w:rsidRDefault="000B3334" w:rsidP="002773FB">
            <w:pPr>
              <w:spacing w:after="0" w:line="240" w:lineRule="auto"/>
              <w:rPr>
                <w:rFonts w:ascii="Verdana" w:eastAsia="Times New Roman" w:hAnsi="Verdana" w:cs="Times New Roman"/>
                <w:sz w:val="17"/>
                <w:szCs w:val="17"/>
                <w:lang w:eastAsia="pt-BR"/>
              </w:rPr>
            </w:pPr>
          </w:p>
        </w:tc>
        <w:tc>
          <w:tcPr>
            <w:tcW w:w="2147" w:type="dxa"/>
            <w:tcBorders>
              <w:top w:val="nil"/>
              <w:left w:val="nil"/>
              <w:bottom w:val="single" w:sz="4" w:space="0" w:color="auto"/>
              <w:right w:val="nil"/>
            </w:tcBorders>
            <w:shd w:val="clear" w:color="auto" w:fill="auto"/>
            <w:vAlign w:val="center"/>
            <w:hideMark/>
          </w:tcPr>
          <w:p w14:paraId="11606200" w14:textId="77777777" w:rsidR="000B3334" w:rsidRPr="00C40278" w:rsidRDefault="000B3334" w:rsidP="002773FB">
            <w:pPr>
              <w:spacing w:after="0" w:line="240" w:lineRule="auto"/>
              <w:jc w:val="center"/>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 xml:space="preserve"> Taxa média depreciação </w:t>
            </w:r>
          </w:p>
        </w:tc>
      </w:tr>
      <w:tr w:rsidR="000B3334" w:rsidRPr="00C40278" w14:paraId="0AAE4755" w14:textId="77777777" w:rsidTr="002773FB">
        <w:trPr>
          <w:trHeight w:val="27"/>
        </w:trPr>
        <w:tc>
          <w:tcPr>
            <w:tcW w:w="6757" w:type="dxa"/>
            <w:tcBorders>
              <w:top w:val="nil"/>
              <w:left w:val="nil"/>
              <w:bottom w:val="nil"/>
              <w:right w:val="nil"/>
            </w:tcBorders>
            <w:shd w:val="clear" w:color="auto" w:fill="auto"/>
            <w:noWrap/>
            <w:vAlign w:val="center"/>
            <w:hideMark/>
          </w:tcPr>
          <w:p w14:paraId="3ADF63CE" w14:textId="77777777" w:rsidR="000B3334" w:rsidRPr="00C40278" w:rsidRDefault="000B3334" w:rsidP="002773FB">
            <w:pPr>
              <w:spacing w:after="0" w:line="240" w:lineRule="auto"/>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Imobilizado em serviço</w:t>
            </w:r>
          </w:p>
        </w:tc>
        <w:tc>
          <w:tcPr>
            <w:tcW w:w="321" w:type="dxa"/>
            <w:tcBorders>
              <w:top w:val="nil"/>
              <w:left w:val="nil"/>
              <w:bottom w:val="nil"/>
              <w:right w:val="nil"/>
            </w:tcBorders>
            <w:shd w:val="clear" w:color="auto" w:fill="auto"/>
            <w:noWrap/>
            <w:vAlign w:val="center"/>
            <w:hideMark/>
          </w:tcPr>
          <w:p w14:paraId="2704ADE1" w14:textId="77777777" w:rsidR="000B3334" w:rsidRPr="00C40278" w:rsidRDefault="000B3334" w:rsidP="002773FB">
            <w:pPr>
              <w:spacing w:after="0" w:line="240" w:lineRule="auto"/>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 </w:t>
            </w:r>
          </w:p>
        </w:tc>
        <w:tc>
          <w:tcPr>
            <w:tcW w:w="2147" w:type="dxa"/>
            <w:tcBorders>
              <w:top w:val="nil"/>
              <w:left w:val="nil"/>
              <w:bottom w:val="nil"/>
              <w:right w:val="nil"/>
            </w:tcBorders>
            <w:shd w:val="clear" w:color="auto" w:fill="auto"/>
            <w:noWrap/>
            <w:vAlign w:val="center"/>
            <w:hideMark/>
          </w:tcPr>
          <w:p w14:paraId="798F549F" w14:textId="77777777" w:rsidR="000B3334" w:rsidRPr="00C40278" w:rsidRDefault="000B3334" w:rsidP="002773FB">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w:t>
            </w:r>
          </w:p>
        </w:tc>
      </w:tr>
      <w:tr w:rsidR="000B3334" w:rsidRPr="00C40278" w14:paraId="64400CA2" w14:textId="77777777" w:rsidTr="002773FB">
        <w:trPr>
          <w:trHeight w:val="27"/>
        </w:trPr>
        <w:tc>
          <w:tcPr>
            <w:tcW w:w="6757" w:type="dxa"/>
            <w:tcBorders>
              <w:top w:val="nil"/>
              <w:left w:val="nil"/>
              <w:bottom w:val="nil"/>
              <w:right w:val="nil"/>
            </w:tcBorders>
            <w:shd w:val="clear" w:color="auto" w:fill="auto"/>
            <w:noWrap/>
            <w:vAlign w:val="center"/>
            <w:hideMark/>
          </w:tcPr>
          <w:p w14:paraId="5AF34D30" w14:textId="77777777" w:rsidR="000B3334" w:rsidRPr="00C40278" w:rsidRDefault="000B3334" w:rsidP="002773FB">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Terrenos</w:t>
            </w:r>
          </w:p>
        </w:tc>
        <w:tc>
          <w:tcPr>
            <w:tcW w:w="321" w:type="dxa"/>
            <w:tcBorders>
              <w:top w:val="nil"/>
              <w:left w:val="nil"/>
              <w:bottom w:val="nil"/>
              <w:right w:val="nil"/>
            </w:tcBorders>
            <w:shd w:val="clear" w:color="auto" w:fill="auto"/>
            <w:noWrap/>
            <w:vAlign w:val="center"/>
            <w:hideMark/>
          </w:tcPr>
          <w:p w14:paraId="42E504F3" w14:textId="77777777" w:rsidR="000B3334" w:rsidRPr="00C40278" w:rsidRDefault="000B3334" w:rsidP="002773FB">
            <w:pPr>
              <w:spacing w:after="0" w:line="240" w:lineRule="auto"/>
              <w:rPr>
                <w:rFonts w:ascii="Verdana" w:eastAsia="Times New Roman" w:hAnsi="Verdana" w:cs="Calibri"/>
                <w:sz w:val="17"/>
                <w:szCs w:val="17"/>
                <w:lang w:eastAsia="pt-BR"/>
              </w:rPr>
            </w:pPr>
          </w:p>
        </w:tc>
        <w:tc>
          <w:tcPr>
            <w:tcW w:w="2147" w:type="dxa"/>
            <w:tcBorders>
              <w:top w:val="nil"/>
              <w:left w:val="nil"/>
              <w:bottom w:val="nil"/>
              <w:right w:val="nil"/>
            </w:tcBorders>
            <w:shd w:val="clear" w:color="auto" w:fill="auto"/>
            <w:noWrap/>
            <w:vAlign w:val="center"/>
            <w:hideMark/>
          </w:tcPr>
          <w:p w14:paraId="66FBC84C" w14:textId="77777777" w:rsidR="000B3334" w:rsidRPr="00C40278" w:rsidRDefault="000B3334" w:rsidP="002773FB">
            <w:pPr>
              <w:spacing w:after="0" w:line="240" w:lineRule="auto"/>
              <w:jc w:val="right"/>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0,00%</w:t>
            </w:r>
          </w:p>
        </w:tc>
      </w:tr>
      <w:tr w:rsidR="000B3334" w:rsidRPr="00C40278" w14:paraId="6847E4A4" w14:textId="77777777" w:rsidTr="002773FB">
        <w:trPr>
          <w:trHeight w:val="27"/>
        </w:trPr>
        <w:tc>
          <w:tcPr>
            <w:tcW w:w="6757" w:type="dxa"/>
            <w:tcBorders>
              <w:top w:val="nil"/>
              <w:left w:val="nil"/>
              <w:bottom w:val="nil"/>
              <w:right w:val="nil"/>
            </w:tcBorders>
            <w:shd w:val="clear" w:color="auto" w:fill="auto"/>
            <w:noWrap/>
            <w:vAlign w:val="center"/>
            <w:hideMark/>
          </w:tcPr>
          <w:p w14:paraId="08319AD1" w14:textId="77777777" w:rsidR="000B3334" w:rsidRPr="00C40278" w:rsidRDefault="000B3334" w:rsidP="002773FB">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Barragens, reservatórios e adutoras</w:t>
            </w:r>
          </w:p>
        </w:tc>
        <w:tc>
          <w:tcPr>
            <w:tcW w:w="321" w:type="dxa"/>
            <w:tcBorders>
              <w:top w:val="nil"/>
              <w:left w:val="nil"/>
              <w:bottom w:val="nil"/>
              <w:right w:val="nil"/>
            </w:tcBorders>
            <w:shd w:val="clear" w:color="auto" w:fill="auto"/>
            <w:noWrap/>
            <w:vAlign w:val="center"/>
            <w:hideMark/>
          </w:tcPr>
          <w:p w14:paraId="720CEFFB" w14:textId="77777777" w:rsidR="000B3334" w:rsidRPr="00C40278" w:rsidRDefault="000B3334" w:rsidP="002773FB">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w:t>
            </w:r>
          </w:p>
        </w:tc>
        <w:tc>
          <w:tcPr>
            <w:tcW w:w="2147" w:type="dxa"/>
            <w:tcBorders>
              <w:top w:val="nil"/>
              <w:left w:val="nil"/>
              <w:bottom w:val="nil"/>
              <w:right w:val="nil"/>
            </w:tcBorders>
            <w:shd w:val="clear" w:color="auto" w:fill="auto"/>
            <w:noWrap/>
            <w:vAlign w:val="center"/>
            <w:hideMark/>
          </w:tcPr>
          <w:p w14:paraId="755F68E4" w14:textId="77777777" w:rsidR="000B3334" w:rsidRPr="00C40278" w:rsidRDefault="000B3334" w:rsidP="002773FB">
            <w:pPr>
              <w:spacing w:after="0" w:line="240" w:lineRule="auto"/>
              <w:jc w:val="right"/>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7,27%</w:t>
            </w:r>
          </w:p>
        </w:tc>
      </w:tr>
      <w:tr w:rsidR="000B3334" w:rsidRPr="00C40278" w14:paraId="6584B995" w14:textId="77777777" w:rsidTr="002773FB">
        <w:trPr>
          <w:trHeight w:val="27"/>
        </w:trPr>
        <w:tc>
          <w:tcPr>
            <w:tcW w:w="6757" w:type="dxa"/>
            <w:tcBorders>
              <w:top w:val="nil"/>
              <w:left w:val="nil"/>
              <w:bottom w:val="nil"/>
              <w:right w:val="nil"/>
            </w:tcBorders>
            <w:shd w:val="clear" w:color="auto" w:fill="auto"/>
            <w:noWrap/>
            <w:vAlign w:val="center"/>
            <w:hideMark/>
          </w:tcPr>
          <w:p w14:paraId="291B647C" w14:textId="77777777" w:rsidR="000B3334" w:rsidRPr="00C40278" w:rsidRDefault="000B3334" w:rsidP="002773FB">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Edificações, obras civis e benfeitorias</w:t>
            </w:r>
          </w:p>
        </w:tc>
        <w:tc>
          <w:tcPr>
            <w:tcW w:w="321" w:type="dxa"/>
            <w:tcBorders>
              <w:top w:val="nil"/>
              <w:left w:val="nil"/>
              <w:bottom w:val="nil"/>
              <w:right w:val="nil"/>
            </w:tcBorders>
            <w:shd w:val="clear" w:color="auto" w:fill="auto"/>
            <w:noWrap/>
            <w:vAlign w:val="center"/>
            <w:hideMark/>
          </w:tcPr>
          <w:p w14:paraId="1AEABB05" w14:textId="77777777" w:rsidR="000B3334" w:rsidRPr="00C40278" w:rsidRDefault="000B3334" w:rsidP="002773FB">
            <w:pPr>
              <w:spacing w:after="0" w:line="240" w:lineRule="auto"/>
              <w:rPr>
                <w:rFonts w:ascii="Verdana" w:eastAsia="Times New Roman" w:hAnsi="Verdana" w:cs="Calibri"/>
                <w:sz w:val="17"/>
                <w:szCs w:val="17"/>
                <w:lang w:eastAsia="pt-BR"/>
              </w:rPr>
            </w:pPr>
          </w:p>
        </w:tc>
        <w:tc>
          <w:tcPr>
            <w:tcW w:w="2147" w:type="dxa"/>
            <w:tcBorders>
              <w:top w:val="nil"/>
              <w:left w:val="nil"/>
              <w:bottom w:val="nil"/>
              <w:right w:val="nil"/>
            </w:tcBorders>
            <w:shd w:val="clear" w:color="auto" w:fill="auto"/>
            <w:noWrap/>
            <w:vAlign w:val="center"/>
            <w:hideMark/>
          </w:tcPr>
          <w:p w14:paraId="3A157DB7" w14:textId="77777777" w:rsidR="000B3334" w:rsidRPr="00C40278" w:rsidRDefault="000B3334" w:rsidP="002773FB">
            <w:pPr>
              <w:spacing w:after="0" w:line="240" w:lineRule="auto"/>
              <w:jc w:val="right"/>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3,11%</w:t>
            </w:r>
          </w:p>
        </w:tc>
      </w:tr>
      <w:tr w:rsidR="000B3334" w:rsidRPr="00C40278" w14:paraId="3384B046" w14:textId="77777777" w:rsidTr="002773FB">
        <w:trPr>
          <w:trHeight w:val="27"/>
        </w:trPr>
        <w:tc>
          <w:tcPr>
            <w:tcW w:w="6757" w:type="dxa"/>
            <w:tcBorders>
              <w:top w:val="nil"/>
              <w:left w:val="nil"/>
              <w:bottom w:val="nil"/>
              <w:right w:val="nil"/>
            </w:tcBorders>
            <w:shd w:val="clear" w:color="auto" w:fill="auto"/>
            <w:noWrap/>
            <w:vAlign w:val="center"/>
            <w:hideMark/>
          </w:tcPr>
          <w:p w14:paraId="2FD07CBF" w14:textId="77777777" w:rsidR="000B3334" w:rsidRPr="00C40278" w:rsidRDefault="000B3334" w:rsidP="002773FB">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Máquinas e equipamentos</w:t>
            </w:r>
          </w:p>
        </w:tc>
        <w:tc>
          <w:tcPr>
            <w:tcW w:w="321" w:type="dxa"/>
            <w:tcBorders>
              <w:top w:val="nil"/>
              <w:left w:val="nil"/>
              <w:bottom w:val="nil"/>
              <w:right w:val="nil"/>
            </w:tcBorders>
            <w:shd w:val="clear" w:color="auto" w:fill="auto"/>
            <w:noWrap/>
            <w:vAlign w:val="center"/>
            <w:hideMark/>
          </w:tcPr>
          <w:p w14:paraId="6C4E6946" w14:textId="77777777" w:rsidR="000B3334" w:rsidRPr="00C40278" w:rsidRDefault="000B3334" w:rsidP="002773FB">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w:t>
            </w:r>
          </w:p>
        </w:tc>
        <w:tc>
          <w:tcPr>
            <w:tcW w:w="2147" w:type="dxa"/>
            <w:tcBorders>
              <w:top w:val="nil"/>
              <w:left w:val="nil"/>
              <w:bottom w:val="nil"/>
              <w:right w:val="nil"/>
            </w:tcBorders>
            <w:shd w:val="clear" w:color="auto" w:fill="auto"/>
            <w:noWrap/>
            <w:vAlign w:val="center"/>
            <w:hideMark/>
          </w:tcPr>
          <w:p w14:paraId="1729A3FC" w14:textId="77777777" w:rsidR="000B3334" w:rsidRPr="00C40278" w:rsidRDefault="000B3334" w:rsidP="002773FB">
            <w:pPr>
              <w:spacing w:after="0" w:line="240" w:lineRule="auto"/>
              <w:jc w:val="right"/>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6,05%</w:t>
            </w:r>
          </w:p>
        </w:tc>
      </w:tr>
      <w:tr w:rsidR="000B3334" w:rsidRPr="00C40278" w14:paraId="2C4408AB" w14:textId="77777777" w:rsidTr="002773FB">
        <w:trPr>
          <w:trHeight w:val="27"/>
        </w:trPr>
        <w:tc>
          <w:tcPr>
            <w:tcW w:w="6757" w:type="dxa"/>
            <w:tcBorders>
              <w:top w:val="nil"/>
              <w:left w:val="nil"/>
              <w:bottom w:val="nil"/>
              <w:right w:val="nil"/>
            </w:tcBorders>
            <w:shd w:val="clear" w:color="auto" w:fill="auto"/>
            <w:noWrap/>
            <w:vAlign w:val="center"/>
            <w:hideMark/>
          </w:tcPr>
          <w:p w14:paraId="046B29FA" w14:textId="77777777" w:rsidR="000B3334" w:rsidRPr="00C40278" w:rsidRDefault="000B3334" w:rsidP="002773FB">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Veículos </w:t>
            </w:r>
          </w:p>
        </w:tc>
        <w:tc>
          <w:tcPr>
            <w:tcW w:w="321" w:type="dxa"/>
            <w:tcBorders>
              <w:top w:val="nil"/>
              <w:left w:val="nil"/>
              <w:bottom w:val="nil"/>
              <w:right w:val="nil"/>
            </w:tcBorders>
            <w:shd w:val="clear" w:color="auto" w:fill="auto"/>
            <w:noWrap/>
            <w:vAlign w:val="center"/>
            <w:hideMark/>
          </w:tcPr>
          <w:p w14:paraId="1E36064F" w14:textId="77777777" w:rsidR="000B3334" w:rsidRPr="00C40278" w:rsidRDefault="000B3334" w:rsidP="002773FB">
            <w:pPr>
              <w:spacing w:after="0" w:line="240" w:lineRule="auto"/>
              <w:rPr>
                <w:rFonts w:ascii="Verdana" w:eastAsia="Times New Roman" w:hAnsi="Verdana" w:cs="Calibri"/>
                <w:sz w:val="17"/>
                <w:szCs w:val="17"/>
                <w:lang w:eastAsia="pt-BR"/>
              </w:rPr>
            </w:pPr>
          </w:p>
        </w:tc>
        <w:tc>
          <w:tcPr>
            <w:tcW w:w="2147" w:type="dxa"/>
            <w:tcBorders>
              <w:top w:val="nil"/>
              <w:left w:val="nil"/>
              <w:bottom w:val="nil"/>
              <w:right w:val="nil"/>
            </w:tcBorders>
            <w:shd w:val="clear" w:color="auto" w:fill="auto"/>
            <w:noWrap/>
            <w:vAlign w:val="center"/>
            <w:hideMark/>
          </w:tcPr>
          <w:p w14:paraId="199CB7CE" w14:textId="77777777" w:rsidR="000B3334" w:rsidRPr="00C40278" w:rsidRDefault="000B3334" w:rsidP="002773FB">
            <w:pPr>
              <w:spacing w:after="0" w:line="240" w:lineRule="auto"/>
              <w:jc w:val="right"/>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14,32%</w:t>
            </w:r>
          </w:p>
        </w:tc>
      </w:tr>
      <w:tr w:rsidR="000B3334" w:rsidRPr="00C40278" w14:paraId="5C4A3422" w14:textId="77777777" w:rsidTr="002773FB">
        <w:trPr>
          <w:trHeight w:val="27"/>
        </w:trPr>
        <w:tc>
          <w:tcPr>
            <w:tcW w:w="6757" w:type="dxa"/>
            <w:tcBorders>
              <w:top w:val="nil"/>
              <w:left w:val="nil"/>
              <w:bottom w:val="nil"/>
              <w:right w:val="nil"/>
            </w:tcBorders>
            <w:shd w:val="clear" w:color="auto" w:fill="auto"/>
            <w:noWrap/>
            <w:vAlign w:val="center"/>
            <w:hideMark/>
          </w:tcPr>
          <w:p w14:paraId="490D4FC1" w14:textId="77777777" w:rsidR="000B3334" w:rsidRPr="00C40278" w:rsidRDefault="000B3334" w:rsidP="002773FB">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Móveis e utensílios</w:t>
            </w:r>
          </w:p>
        </w:tc>
        <w:tc>
          <w:tcPr>
            <w:tcW w:w="321" w:type="dxa"/>
            <w:tcBorders>
              <w:top w:val="nil"/>
              <w:left w:val="nil"/>
              <w:bottom w:val="nil"/>
              <w:right w:val="nil"/>
            </w:tcBorders>
            <w:shd w:val="clear" w:color="auto" w:fill="auto"/>
            <w:noWrap/>
            <w:vAlign w:val="center"/>
            <w:hideMark/>
          </w:tcPr>
          <w:p w14:paraId="1EB96B78" w14:textId="77777777" w:rsidR="000B3334" w:rsidRPr="00C40278" w:rsidRDefault="000B3334" w:rsidP="002773FB">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w:t>
            </w:r>
          </w:p>
        </w:tc>
        <w:tc>
          <w:tcPr>
            <w:tcW w:w="2147" w:type="dxa"/>
            <w:tcBorders>
              <w:top w:val="nil"/>
              <w:left w:val="nil"/>
              <w:bottom w:val="nil"/>
              <w:right w:val="nil"/>
            </w:tcBorders>
            <w:shd w:val="clear" w:color="auto" w:fill="auto"/>
            <w:noWrap/>
            <w:vAlign w:val="center"/>
            <w:hideMark/>
          </w:tcPr>
          <w:p w14:paraId="4A5C9197" w14:textId="77777777" w:rsidR="000B3334" w:rsidRPr="00C40278" w:rsidRDefault="000B3334" w:rsidP="002773FB">
            <w:pPr>
              <w:spacing w:after="0" w:line="240" w:lineRule="auto"/>
              <w:jc w:val="right"/>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6,25%</w:t>
            </w:r>
          </w:p>
        </w:tc>
      </w:tr>
      <w:tr w:rsidR="000B3334" w:rsidRPr="00C40278" w14:paraId="1A62FC46" w14:textId="77777777" w:rsidTr="002773FB">
        <w:trPr>
          <w:trHeight w:val="27"/>
        </w:trPr>
        <w:tc>
          <w:tcPr>
            <w:tcW w:w="6757" w:type="dxa"/>
            <w:tcBorders>
              <w:top w:val="nil"/>
              <w:left w:val="nil"/>
              <w:bottom w:val="nil"/>
              <w:right w:val="nil"/>
            </w:tcBorders>
            <w:shd w:val="clear" w:color="auto" w:fill="auto"/>
            <w:noWrap/>
            <w:vAlign w:val="bottom"/>
            <w:hideMark/>
          </w:tcPr>
          <w:p w14:paraId="25BED3DF" w14:textId="77777777" w:rsidR="000B3334" w:rsidRPr="00C40278" w:rsidRDefault="000B3334" w:rsidP="002773FB">
            <w:pPr>
              <w:spacing w:after="0" w:line="240" w:lineRule="auto"/>
              <w:jc w:val="right"/>
              <w:rPr>
                <w:rFonts w:ascii="Verdana" w:eastAsia="Times New Roman" w:hAnsi="Verdana" w:cs="Calibri"/>
                <w:sz w:val="17"/>
                <w:szCs w:val="17"/>
                <w:lang w:eastAsia="pt-BR"/>
              </w:rPr>
            </w:pPr>
          </w:p>
        </w:tc>
        <w:tc>
          <w:tcPr>
            <w:tcW w:w="321" w:type="dxa"/>
            <w:tcBorders>
              <w:top w:val="nil"/>
              <w:left w:val="nil"/>
              <w:bottom w:val="nil"/>
              <w:right w:val="nil"/>
            </w:tcBorders>
            <w:shd w:val="clear" w:color="auto" w:fill="auto"/>
            <w:noWrap/>
            <w:vAlign w:val="bottom"/>
            <w:hideMark/>
          </w:tcPr>
          <w:p w14:paraId="24D2CB7C" w14:textId="77777777" w:rsidR="000B3334" w:rsidRPr="00C40278" w:rsidRDefault="000B3334" w:rsidP="002773FB">
            <w:pPr>
              <w:spacing w:after="0" w:line="240" w:lineRule="auto"/>
              <w:rPr>
                <w:rFonts w:ascii="Verdana" w:eastAsia="Times New Roman" w:hAnsi="Verdana" w:cs="Times New Roman"/>
                <w:sz w:val="17"/>
                <w:szCs w:val="17"/>
                <w:lang w:eastAsia="pt-BR"/>
              </w:rPr>
            </w:pPr>
          </w:p>
        </w:tc>
        <w:tc>
          <w:tcPr>
            <w:tcW w:w="2147" w:type="dxa"/>
            <w:tcBorders>
              <w:top w:val="nil"/>
              <w:left w:val="nil"/>
              <w:bottom w:val="nil"/>
              <w:right w:val="nil"/>
            </w:tcBorders>
            <w:shd w:val="clear" w:color="auto" w:fill="auto"/>
            <w:noWrap/>
            <w:vAlign w:val="bottom"/>
            <w:hideMark/>
          </w:tcPr>
          <w:p w14:paraId="45D513BC" w14:textId="77777777" w:rsidR="000B3334" w:rsidRPr="00C40278" w:rsidRDefault="000B3334" w:rsidP="002773FB">
            <w:pPr>
              <w:spacing w:after="0" w:line="240" w:lineRule="auto"/>
              <w:rPr>
                <w:rFonts w:ascii="Verdana" w:eastAsia="Times New Roman" w:hAnsi="Verdana" w:cs="Times New Roman"/>
                <w:sz w:val="17"/>
                <w:szCs w:val="17"/>
                <w:lang w:eastAsia="pt-BR"/>
              </w:rPr>
            </w:pPr>
          </w:p>
        </w:tc>
      </w:tr>
      <w:tr w:rsidR="000B3334" w:rsidRPr="00C40278" w14:paraId="314AEDCF" w14:textId="77777777" w:rsidTr="002773FB">
        <w:trPr>
          <w:trHeight w:val="27"/>
        </w:trPr>
        <w:tc>
          <w:tcPr>
            <w:tcW w:w="6757" w:type="dxa"/>
            <w:tcBorders>
              <w:top w:val="nil"/>
              <w:left w:val="nil"/>
              <w:bottom w:val="nil"/>
              <w:right w:val="nil"/>
            </w:tcBorders>
            <w:shd w:val="clear" w:color="auto" w:fill="auto"/>
            <w:noWrap/>
            <w:vAlign w:val="center"/>
            <w:hideMark/>
          </w:tcPr>
          <w:p w14:paraId="6274CF43" w14:textId="77777777" w:rsidR="000B3334" w:rsidRPr="00C40278" w:rsidRDefault="000B3334" w:rsidP="002773FB">
            <w:pPr>
              <w:spacing w:after="0" w:line="240" w:lineRule="auto"/>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Direito de uso</w:t>
            </w:r>
          </w:p>
        </w:tc>
        <w:tc>
          <w:tcPr>
            <w:tcW w:w="321" w:type="dxa"/>
            <w:tcBorders>
              <w:top w:val="nil"/>
              <w:left w:val="nil"/>
              <w:bottom w:val="nil"/>
              <w:right w:val="nil"/>
            </w:tcBorders>
            <w:shd w:val="clear" w:color="auto" w:fill="auto"/>
            <w:noWrap/>
            <w:vAlign w:val="center"/>
            <w:hideMark/>
          </w:tcPr>
          <w:p w14:paraId="36402245" w14:textId="77777777" w:rsidR="000B3334" w:rsidRPr="00C40278" w:rsidRDefault="000B3334" w:rsidP="002773FB">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w:t>
            </w:r>
          </w:p>
        </w:tc>
        <w:tc>
          <w:tcPr>
            <w:tcW w:w="2147" w:type="dxa"/>
            <w:tcBorders>
              <w:top w:val="nil"/>
              <w:left w:val="nil"/>
              <w:bottom w:val="nil"/>
              <w:right w:val="nil"/>
            </w:tcBorders>
            <w:shd w:val="clear" w:color="auto" w:fill="auto"/>
            <w:noWrap/>
            <w:vAlign w:val="center"/>
            <w:hideMark/>
          </w:tcPr>
          <w:p w14:paraId="556F7E3E" w14:textId="77777777" w:rsidR="000B3334" w:rsidRPr="00C40278" w:rsidRDefault="000B3334" w:rsidP="002773FB">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w:t>
            </w:r>
          </w:p>
        </w:tc>
      </w:tr>
      <w:tr w:rsidR="000B3334" w:rsidRPr="00C40278" w14:paraId="65CFC298" w14:textId="77777777" w:rsidTr="002773FB">
        <w:trPr>
          <w:trHeight w:val="27"/>
        </w:trPr>
        <w:tc>
          <w:tcPr>
            <w:tcW w:w="6757" w:type="dxa"/>
            <w:tcBorders>
              <w:top w:val="nil"/>
              <w:left w:val="nil"/>
              <w:bottom w:val="nil"/>
              <w:right w:val="nil"/>
            </w:tcBorders>
            <w:shd w:val="clear" w:color="auto" w:fill="auto"/>
            <w:noWrap/>
            <w:vAlign w:val="center"/>
            <w:hideMark/>
          </w:tcPr>
          <w:p w14:paraId="2291FD83" w14:textId="77777777" w:rsidR="000B3334" w:rsidRPr="00C40278" w:rsidRDefault="000B3334" w:rsidP="002773FB">
            <w:pPr>
              <w:spacing w:after="0" w:line="240" w:lineRule="auto"/>
              <w:rPr>
                <w:rFonts w:ascii="Verdana" w:eastAsia="Times New Roman" w:hAnsi="Verdana" w:cs="Calibri"/>
                <w:b/>
                <w:bCs/>
                <w:sz w:val="17"/>
                <w:szCs w:val="17"/>
                <w:lang w:eastAsia="pt-BR"/>
              </w:rPr>
            </w:pPr>
            <w:r w:rsidRPr="00C40278">
              <w:rPr>
                <w:rFonts w:ascii="Verdana" w:eastAsia="Times New Roman" w:hAnsi="Verdana" w:cs="Calibri"/>
                <w:b/>
                <w:bCs/>
                <w:sz w:val="17"/>
                <w:szCs w:val="17"/>
                <w:lang w:eastAsia="pt-BR"/>
              </w:rPr>
              <w:t xml:space="preserve">  Imobilizado em serviço</w:t>
            </w:r>
          </w:p>
        </w:tc>
        <w:tc>
          <w:tcPr>
            <w:tcW w:w="321" w:type="dxa"/>
            <w:tcBorders>
              <w:top w:val="nil"/>
              <w:left w:val="nil"/>
              <w:bottom w:val="nil"/>
              <w:right w:val="nil"/>
            </w:tcBorders>
            <w:shd w:val="clear" w:color="auto" w:fill="auto"/>
            <w:noWrap/>
            <w:vAlign w:val="center"/>
            <w:hideMark/>
          </w:tcPr>
          <w:p w14:paraId="55B73FDD" w14:textId="77777777" w:rsidR="000B3334" w:rsidRPr="00C40278" w:rsidRDefault="000B3334" w:rsidP="002773FB">
            <w:pPr>
              <w:spacing w:after="0" w:line="240" w:lineRule="auto"/>
              <w:rPr>
                <w:rFonts w:ascii="Verdana" w:eastAsia="Times New Roman" w:hAnsi="Verdana" w:cs="Calibri"/>
                <w:b/>
                <w:bCs/>
                <w:sz w:val="17"/>
                <w:szCs w:val="17"/>
                <w:lang w:eastAsia="pt-BR"/>
              </w:rPr>
            </w:pPr>
          </w:p>
        </w:tc>
        <w:tc>
          <w:tcPr>
            <w:tcW w:w="2147" w:type="dxa"/>
            <w:tcBorders>
              <w:top w:val="nil"/>
              <w:left w:val="nil"/>
              <w:bottom w:val="nil"/>
              <w:right w:val="nil"/>
            </w:tcBorders>
            <w:shd w:val="clear" w:color="auto" w:fill="auto"/>
            <w:noWrap/>
            <w:vAlign w:val="center"/>
            <w:hideMark/>
          </w:tcPr>
          <w:p w14:paraId="7219E0BE" w14:textId="77777777" w:rsidR="000B3334" w:rsidRPr="00C40278" w:rsidRDefault="000B3334" w:rsidP="002773FB">
            <w:pPr>
              <w:spacing w:after="0" w:line="240" w:lineRule="auto"/>
              <w:rPr>
                <w:rFonts w:ascii="Verdana" w:eastAsia="Times New Roman" w:hAnsi="Verdana" w:cs="Times New Roman"/>
                <w:sz w:val="17"/>
                <w:szCs w:val="17"/>
                <w:lang w:eastAsia="pt-BR"/>
              </w:rPr>
            </w:pPr>
          </w:p>
        </w:tc>
      </w:tr>
      <w:tr w:rsidR="000B3334" w:rsidRPr="00C40278" w14:paraId="45393BD1" w14:textId="77777777" w:rsidTr="002773FB">
        <w:trPr>
          <w:trHeight w:val="27"/>
        </w:trPr>
        <w:tc>
          <w:tcPr>
            <w:tcW w:w="6757" w:type="dxa"/>
            <w:tcBorders>
              <w:top w:val="nil"/>
              <w:left w:val="nil"/>
              <w:bottom w:val="nil"/>
              <w:right w:val="nil"/>
            </w:tcBorders>
            <w:shd w:val="clear" w:color="auto" w:fill="auto"/>
            <w:noWrap/>
            <w:vAlign w:val="center"/>
            <w:hideMark/>
          </w:tcPr>
          <w:p w14:paraId="6E693EDF" w14:textId="77777777" w:rsidR="000B3334" w:rsidRPr="00C40278" w:rsidRDefault="000B3334" w:rsidP="002773FB">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Edificações, obras civis e benfeitorias</w:t>
            </w:r>
          </w:p>
        </w:tc>
        <w:tc>
          <w:tcPr>
            <w:tcW w:w="321" w:type="dxa"/>
            <w:tcBorders>
              <w:top w:val="nil"/>
              <w:left w:val="nil"/>
              <w:bottom w:val="nil"/>
              <w:right w:val="nil"/>
            </w:tcBorders>
            <w:shd w:val="clear" w:color="auto" w:fill="auto"/>
            <w:noWrap/>
            <w:vAlign w:val="center"/>
            <w:hideMark/>
          </w:tcPr>
          <w:p w14:paraId="569DE24D" w14:textId="77777777" w:rsidR="000B3334" w:rsidRPr="00C40278" w:rsidRDefault="000B3334" w:rsidP="002773FB">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w:t>
            </w:r>
          </w:p>
        </w:tc>
        <w:tc>
          <w:tcPr>
            <w:tcW w:w="2147" w:type="dxa"/>
            <w:tcBorders>
              <w:top w:val="nil"/>
              <w:left w:val="nil"/>
              <w:bottom w:val="nil"/>
              <w:right w:val="nil"/>
            </w:tcBorders>
            <w:shd w:val="clear" w:color="auto" w:fill="auto"/>
            <w:noWrap/>
            <w:vAlign w:val="center"/>
            <w:hideMark/>
          </w:tcPr>
          <w:p w14:paraId="01FF9664" w14:textId="77777777" w:rsidR="000B3334" w:rsidRPr="00C40278" w:rsidRDefault="000B3334" w:rsidP="002773FB">
            <w:pPr>
              <w:spacing w:after="0" w:line="240" w:lineRule="auto"/>
              <w:jc w:val="right"/>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12,90%</w:t>
            </w:r>
          </w:p>
        </w:tc>
      </w:tr>
      <w:tr w:rsidR="000B3334" w:rsidRPr="00C40278" w14:paraId="2C1EE451" w14:textId="77777777" w:rsidTr="002773FB">
        <w:trPr>
          <w:trHeight w:val="27"/>
        </w:trPr>
        <w:tc>
          <w:tcPr>
            <w:tcW w:w="6757" w:type="dxa"/>
            <w:tcBorders>
              <w:top w:val="nil"/>
              <w:left w:val="nil"/>
              <w:bottom w:val="nil"/>
              <w:right w:val="nil"/>
            </w:tcBorders>
            <w:shd w:val="clear" w:color="auto" w:fill="auto"/>
            <w:noWrap/>
            <w:vAlign w:val="center"/>
            <w:hideMark/>
          </w:tcPr>
          <w:p w14:paraId="3FB89154" w14:textId="77777777" w:rsidR="000B3334" w:rsidRPr="00C40278" w:rsidRDefault="000B3334" w:rsidP="002773FB">
            <w:pPr>
              <w:spacing w:after="0" w:line="240" w:lineRule="auto"/>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 xml:space="preserve">    Veículos </w:t>
            </w:r>
          </w:p>
        </w:tc>
        <w:tc>
          <w:tcPr>
            <w:tcW w:w="321" w:type="dxa"/>
            <w:tcBorders>
              <w:top w:val="nil"/>
              <w:left w:val="nil"/>
              <w:bottom w:val="nil"/>
              <w:right w:val="nil"/>
            </w:tcBorders>
            <w:shd w:val="clear" w:color="auto" w:fill="auto"/>
            <w:noWrap/>
            <w:vAlign w:val="center"/>
            <w:hideMark/>
          </w:tcPr>
          <w:p w14:paraId="26AC0A2D" w14:textId="77777777" w:rsidR="000B3334" w:rsidRPr="00C40278" w:rsidRDefault="000B3334" w:rsidP="002773FB">
            <w:pPr>
              <w:spacing w:after="0" w:line="240" w:lineRule="auto"/>
              <w:rPr>
                <w:rFonts w:ascii="Verdana" w:eastAsia="Times New Roman" w:hAnsi="Verdana" w:cs="Calibri"/>
                <w:sz w:val="17"/>
                <w:szCs w:val="17"/>
                <w:lang w:eastAsia="pt-BR"/>
              </w:rPr>
            </w:pPr>
          </w:p>
        </w:tc>
        <w:tc>
          <w:tcPr>
            <w:tcW w:w="2147" w:type="dxa"/>
            <w:tcBorders>
              <w:top w:val="nil"/>
              <w:left w:val="nil"/>
              <w:bottom w:val="nil"/>
              <w:right w:val="nil"/>
            </w:tcBorders>
            <w:shd w:val="clear" w:color="auto" w:fill="auto"/>
            <w:noWrap/>
            <w:vAlign w:val="center"/>
            <w:hideMark/>
          </w:tcPr>
          <w:p w14:paraId="310F1ED7" w14:textId="77777777" w:rsidR="000B3334" w:rsidRPr="00C40278" w:rsidRDefault="000B3334" w:rsidP="002773FB">
            <w:pPr>
              <w:spacing w:after="0" w:line="240" w:lineRule="auto"/>
              <w:jc w:val="right"/>
              <w:rPr>
                <w:rFonts w:ascii="Verdana" w:eastAsia="Times New Roman" w:hAnsi="Verdana" w:cs="Calibri"/>
                <w:sz w:val="17"/>
                <w:szCs w:val="17"/>
                <w:lang w:eastAsia="pt-BR"/>
              </w:rPr>
            </w:pPr>
            <w:r w:rsidRPr="00C40278">
              <w:rPr>
                <w:rFonts w:ascii="Verdana" w:eastAsia="Times New Roman" w:hAnsi="Verdana" w:cs="Calibri"/>
                <w:sz w:val="17"/>
                <w:szCs w:val="17"/>
                <w:lang w:eastAsia="pt-BR"/>
              </w:rPr>
              <w:t>2,99%</w:t>
            </w:r>
          </w:p>
        </w:tc>
      </w:tr>
      <w:tr w:rsidR="003072B4" w:rsidRPr="00C40278" w14:paraId="626FD576" w14:textId="77777777" w:rsidTr="002773FB">
        <w:trPr>
          <w:trHeight w:val="27"/>
        </w:trPr>
        <w:tc>
          <w:tcPr>
            <w:tcW w:w="6757" w:type="dxa"/>
            <w:tcBorders>
              <w:top w:val="nil"/>
              <w:left w:val="nil"/>
              <w:bottom w:val="nil"/>
              <w:right w:val="nil"/>
            </w:tcBorders>
            <w:shd w:val="clear" w:color="auto" w:fill="auto"/>
            <w:noWrap/>
            <w:vAlign w:val="center"/>
          </w:tcPr>
          <w:p w14:paraId="439B299F" w14:textId="77777777" w:rsidR="003072B4" w:rsidRDefault="003072B4" w:rsidP="002773FB">
            <w:pPr>
              <w:spacing w:after="0" w:line="240" w:lineRule="auto"/>
              <w:rPr>
                <w:rFonts w:ascii="Verdana" w:eastAsia="Times New Roman" w:hAnsi="Verdana" w:cs="Calibri"/>
                <w:sz w:val="17"/>
                <w:szCs w:val="17"/>
                <w:lang w:eastAsia="pt-BR"/>
              </w:rPr>
            </w:pPr>
          </w:p>
          <w:p w14:paraId="1DF482FD" w14:textId="775CF11F" w:rsidR="003072B4" w:rsidRPr="00C40278" w:rsidRDefault="003072B4" w:rsidP="002773FB">
            <w:pPr>
              <w:spacing w:after="0" w:line="240" w:lineRule="auto"/>
              <w:rPr>
                <w:rFonts w:ascii="Verdana" w:eastAsia="Times New Roman" w:hAnsi="Verdana" w:cs="Calibri"/>
                <w:sz w:val="17"/>
                <w:szCs w:val="17"/>
                <w:lang w:eastAsia="pt-BR"/>
              </w:rPr>
            </w:pPr>
          </w:p>
        </w:tc>
        <w:tc>
          <w:tcPr>
            <w:tcW w:w="321" w:type="dxa"/>
            <w:tcBorders>
              <w:top w:val="nil"/>
              <w:left w:val="nil"/>
              <w:bottom w:val="nil"/>
              <w:right w:val="nil"/>
            </w:tcBorders>
            <w:shd w:val="clear" w:color="auto" w:fill="auto"/>
            <w:noWrap/>
            <w:vAlign w:val="center"/>
          </w:tcPr>
          <w:p w14:paraId="4851F236" w14:textId="77777777" w:rsidR="003072B4" w:rsidRPr="00C40278" w:rsidRDefault="003072B4" w:rsidP="002773FB">
            <w:pPr>
              <w:spacing w:after="0" w:line="240" w:lineRule="auto"/>
              <w:rPr>
                <w:rFonts w:ascii="Verdana" w:eastAsia="Times New Roman" w:hAnsi="Verdana" w:cs="Calibri"/>
                <w:sz w:val="17"/>
                <w:szCs w:val="17"/>
                <w:lang w:eastAsia="pt-BR"/>
              </w:rPr>
            </w:pPr>
          </w:p>
        </w:tc>
        <w:tc>
          <w:tcPr>
            <w:tcW w:w="2147" w:type="dxa"/>
            <w:tcBorders>
              <w:top w:val="nil"/>
              <w:left w:val="nil"/>
              <w:bottom w:val="nil"/>
              <w:right w:val="nil"/>
            </w:tcBorders>
            <w:shd w:val="clear" w:color="auto" w:fill="auto"/>
            <w:noWrap/>
            <w:vAlign w:val="center"/>
          </w:tcPr>
          <w:p w14:paraId="0AC5D457" w14:textId="77777777" w:rsidR="003072B4" w:rsidRPr="00C40278" w:rsidRDefault="003072B4" w:rsidP="002773FB">
            <w:pPr>
              <w:spacing w:after="0" w:line="240" w:lineRule="auto"/>
              <w:jc w:val="right"/>
              <w:rPr>
                <w:rFonts w:ascii="Verdana" w:eastAsia="Times New Roman" w:hAnsi="Verdana" w:cs="Calibri"/>
                <w:sz w:val="17"/>
                <w:szCs w:val="17"/>
                <w:lang w:eastAsia="pt-BR"/>
              </w:rPr>
            </w:pPr>
          </w:p>
        </w:tc>
      </w:tr>
    </w:tbl>
    <w:p w14:paraId="3829B278" w14:textId="5749D5FD" w:rsidR="002B1787" w:rsidRPr="00F7132F" w:rsidRDefault="00581D1F" w:rsidP="00CF5F07">
      <w:pPr>
        <w:tabs>
          <w:tab w:val="left" w:pos="567"/>
          <w:tab w:val="left" w:pos="1134"/>
          <w:tab w:val="left" w:pos="1701"/>
          <w:tab w:val="left" w:pos="2268"/>
          <w:tab w:val="left" w:pos="2835"/>
        </w:tabs>
        <w:jc w:val="both"/>
        <w:outlineLvl w:val="0"/>
        <w:rPr>
          <w:rFonts w:ascii="Verdana" w:hAnsi="Verdana" w:cstheme="minorHAnsi"/>
          <w:b/>
        </w:rPr>
      </w:pPr>
      <w:r>
        <w:rPr>
          <w:rFonts w:ascii="Verdana" w:hAnsi="Verdana" w:cstheme="minorHAnsi"/>
          <w:b/>
        </w:rPr>
        <w:t>13</w:t>
      </w:r>
      <w:r w:rsidR="00F4139F" w:rsidRPr="00F7132F">
        <w:rPr>
          <w:rFonts w:ascii="Verdana" w:hAnsi="Verdana" w:cstheme="minorHAnsi"/>
          <w:b/>
        </w:rPr>
        <w:t xml:space="preserve"> </w:t>
      </w:r>
      <w:r w:rsidR="002B1787" w:rsidRPr="00F7132F">
        <w:rPr>
          <w:rFonts w:ascii="Verdana" w:hAnsi="Verdana" w:cstheme="minorHAnsi"/>
          <w:b/>
        </w:rPr>
        <w:t>– INTANGÍVEL</w:t>
      </w:r>
    </w:p>
    <w:p w14:paraId="32B08487" w14:textId="77777777" w:rsidR="00D627C4" w:rsidRPr="00116729" w:rsidRDefault="00D627C4" w:rsidP="00D627C4">
      <w:pPr>
        <w:jc w:val="both"/>
        <w:rPr>
          <w:rFonts w:ascii="Verdana" w:hAnsi="Verdana" w:cstheme="minorHAnsi"/>
        </w:rPr>
      </w:pPr>
      <w:r w:rsidRPr="00116729">
        <w:rPr>
          <w:rFonts w:ascii="Verdana" w:hAnsi="Verdana" w:cstheme="minorHAnsi"/>
        </w:rPr>
        <w:t xml:space="preserve">O ativo intangível da </w:t>
      </w:r>
      <w:r w:rsidR="00872054" w:rsidRPr="00116729">
        <w:rPr>
          <w:rFonts w:ascii="Verdana" w:hAnsi="Verdana" w:cstheme="minorHAnsi"/>
        </w:rPr>
        <w:t>controlada Eletronuclear</w:t>
      </w:r>
      <w:r w:rsidRPr="00116729">
        <w:rPr>
          <w:rFonts w:ascii="Verdana" w:hAnsi="Verdana" w:cstheme="minorHAnsi"/>
        </w:rPr>
        <w:t xml:space="preserve"> compõe-se, basicamente: da aquisição de</w:t>
      </w:r>
      <w:r w:rsidRPr="00116729">
        <w:rPr>
          <w:rFonts w:ascii="Verdana" w:hAnsi="Verdana" w:cstheme="minorHAnsi"/>
          <w:bCs/>
        </w:rPr>
        <w:t xml:space="preserve"> licença de uso do software do seu </w:t>
      </w:r>
      <w:r w:rsidRPr="00116729">
        <w:rPr>
          <w:rFonts w:ascii="Verdana" w:hAnsi="Verdana" w:cstheme="minorHAnsi"/>
        </w:rPr>
        <w:t>sistema corporativo central, denominado SAP R/3, e de outros softwares aplicativos de uso específico e geral, de valores substanciais, estando os mesmos registrados pelo custo de aquisição.</w:t>
      </w:r>
    </w:p>
    <w:p w14:paraId="38D90E34" w14:textId="77777777" w:rsidR="007B7A68" w:rsidRDefault="00D627C4" w:rsidP="00D627C4">
      <w:pPr>
        <w:jc w:val="both"/>
        <w:rPr>
          <w:rFonts w:ascii="Verdana" w:hAnsi="Verdana" w:cstheme="minorHAnsi"/>
        </w:rPr>
      </w:pPr>
      <w:r w:rsidRPr="00116729">
        <w:rPr>
          <w:rFonts w:ascii="Verdana" w:hAnsi="Verdana" w:cstheme="minorHAnsi"/>
        </w:rPr>
        <w:lastRenderedPageBreak/>
        <w:t>Os intangíveis em serviço são amortizados a taxa anual de 20%.</w:t>
      </w:r>
    </w:p>
    <w:tbl>
      <w:tblPr>
        <w:tblW w:w="9122" w:type="dxa"/>
        <w:tblCellMar>
          <w:left w:w="70" w:type="dxa"/>
          <w:right w:w="70" w:type="dxa"/>
        </w:tblCellMar>
        <w:tblLook w:val="04A0" w:firstRow="1" w:lastRow="0" w:firstColumn="1" w:lastColumn="0" w:noHBand="0" w:noVBand="1"/>
      </w:tblPr>
      <w:tblGrid>
        <w:gridCol w:w="6345"/>
        <w:gridCol w:w="273"/>
        <w:gridCol w:w="273"/>
        <w:gridCol w:w="2231"/>
      </w:tblGrid>
      <w:tr w:rsidR="00FD0364" w:rsidRPr="00116729" w14:paraId="60C7B496" w14:textId="77777777" w:rsidTr="00FD0364">
        <w:trPr>
          <w:trHeight w:val="29"/>
        </w:trPr>
        <w:tc>
          <w:tcPr>
            <w:tcW w:w="6345" w:type="dxa"/>
            <w:tcBorders>
              <w:top w:val="nil"/>
              <w:left w:val="nil"/>
              <w:bottom w:val="nil"/>
              <w:right w:val="nil"/>
            </w:tcBorders>
            <w:shd w:val="clear" w:color="auto" w:fill="auto"/>
            <w:noWrap/>
            <w:vAlign w:val="bottom"/>
            <w:hideMark/>
          </w:tcPr>
          <w:p w14:paraId="7A02AE97" w14:textId="77777777" w:rsidR="00FD0364" w:rsidRPr="00116729" w:rsidRDefault="00FD0364" w:rsidP="00F23ABE">
            <w:pPr>
              <w:spacing w:after="0" w:line="240" w:lineRule="auto"/>
              <w:rPr>
                <w:rFonts w:ascii="Times New Roman" w:eastAsia="Times New Roman" w:hAnsi="Times New Roman" w:cs="Times New Roman"/>
                <w:sz w:val="24"/>
                <w:szCs w:val="24"/>
                <w:lang w:eastAsia="pt-BR"/>
              </w:rPr>
            </w:pPr>
          </w:p>
        </w:tc>
        <w:tc>
          <w:tcPr>
            <w:tcW w:w="273" w:type="dxa"/>
            <w:tcBorders>
              <w:top w:val="nil"/>
              <w:left w:val="nil"/>
              <w:bottom w:val="nil"/>
              <w:right w:val="nil"/>
            </w:tcBorders>
            <w:shd w:val="clear" w:color="auto" w:fill="auto"/>
            <w:noWrap/>
            <w:vAlign w:val="bottom"/>
            <w:hideMark/>
          </w:tcPr>
          <w:p w14:paraId="53F0BE8E" w14:textId="77777777" w:rsidR="00FD0364" w:rsidRPr="00116729" w:rsidRDefault="00FD0364" w:rsidP="00F23ABE">
            <w:pPr>
              <w:spacing w:after="0" w:line="240" w:lineRule="auto"/>
              <w:rPr>
                <w:rFonts w:ascii="Times New Roman" w:eastAsia="Times New Roman" w:hAnsi="Times New Roman" w:cs="Times New Roman"/>
                <w:sz w:val="20"/>
                <w:szCs w:val="20"/>
                <w:lang w:eastAsia="pt-BR"/>
              </w:rPr>
            </w:pPr>
          </w:p>
        </w:tc>
        <w:tc>
          <w:tcPr>
            <w:tcW w:w="273" w:type="dxa"/>
            <w:tcBorders>
              <w:top w:val="nil"/>
              <w:left w:val="nil"/>
              <w:bottom w:val="nil"/>
              <w:right w:val="nil"/>
            </w:tcBorders>
            <w:shd w:val="clear" w:color="auto" w:fill="auto"/>
            <w:noWrap/>
            <w:vAlign w:val="bottom"/>
            <w:hideMark/>
          </w:tcPr>
          <w:p w14:paraId="55CB3669" w14:textId="77777777" w:rsidR="00FD0364" w:rsidRPr="00F7132F" w:rsidRDefault="00FD0364" w:rsidP="00F23ABE">
            <w:pPr>
              <w:spacing w:after="0" w:line="240" w:lineRule="auto"/>
              <w:jc w:val="center"/>
              <w:rPr>
                <w:rFonts w:ascii="Verdana" w:eastAsia="Times New Roman" w:hAnsi="Verdana" w:cs="Calibri"/>
                <w:b/>
                <w:bCs/>
                <w:sz w:val="18"/>
                <w:szCs w:val="18"/>
                <w:lang w:eastAsia="pt-BR"/>
              </w:rPr>
            </w:pPr>
          </w:p>
        </w:tc>
        <w:tc>
          <w:tcPr>
            <w:tcW w:w="2231" w:type="dxa"/>
            <w:tcBorders>
              <w:top w:val="nil"/>
              <w:left w:val="nil"/>
              <w:bottom w:val="single" w:sz="4" w:space="0" w:color="auto"/>
              <w:right w:val="nil"/>
            </w:tcBorders>
            <w:shd w:val="clear" w:color="auto" w:fill="auto"/>
            <w:noWrap/>
            <w:vAlign w:val="bottom"/>
            <w:hideMark/>
          </w:tcPr>
          <w:p w14:paraId="6FF33867" w14:textId="77777777" w:rsidR="00FD0364" w:rsidRPr="00F7132F" w:rsidRDefault="00FD0364" w:rsidP="00F23ABE">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Consolidado</w:t>
            </w:r>
          </w:p>
        </w:tc>
      </w:tr>
      <w:tr w:rsidR="00FD0364" w:rsidRPr="00116729" w14:paraId="6B27DC48" w14:textId="77777777" w:rsidTr="00FD0364">
        <w:trPr>
          <w:trHeight w:val="29"/>
        </w:trPr>
        <w:tc>
          <w:tcPr>
            <w:tcW w:w="6345" w:type="dxa"/>
            <w:tcBorders>
              <w:top w:val="nil"/>
              <w:left w:val="nil"/>
              <w:bottom w:val="nil"/>
              <w:right w:val="nil"/>
            </w:tcBorders>
            <w:shd w:val="clear" w:color="auto" w:fill="auto"/>
            <w:noWrap/>
            <w:vAlign w:val="center"/>
            <w:hideMark/>
          </w:tcPr>
          <w:p w14:paraId="6867D15B" w14:textId="77777777" w:rsidR="00FD0364" w:rsidRPr="00F7132F" w:rsidRDefault="00FD0364" w:rsidP="00F23ABE">
            <w:pPr>
              <w:spacing w:after="0" w:line="240" w:lineRule="auto"/>
              <w:jc w:val="center"/>
              <w:rPr>
                <w:rFonts w:ascii="Verdana" w:eastAsia="Times New Roman" w:hAnsi="Verdana" w:cs="Calibri"/>
                <w:b/>
                <w:bCs/>
                <w:sz w:val="18"/>
                <w:szCs w:val="18"/>
                <w:lang w:eastAsia="pt-BR"/>
              </w:rPr>
            </w:pPr>
          </w:p>
        </w:tc>
        <w:tc>
          <w:tcPr>
            <w:tcW w:w="273" w:type="dxa"/>
            <w:tcBorders>
              <w:top w:val="nil"/>
              <w:left w:val="nil"/>
              <w:bottom w:val="nil"/>
              <w:right w:val="nil"/>
            </w:tcBorders>
            <w:shd w:val="clear" w:color="auto" w:fill="auto"/>
            <w:noWrap/>
            <w:vAlign w:val="center"/>
            <w:hideMark/>
          </w:tcPr>
          <w:p w14:paraId="71D77B5A" w14:textId="77777777" w:rsidR="00FD0364" w:rsidRPr="00116729" w:rsidRDefault="00FD0364" w:rsidP="00F23ABE">
            <w:pPr>
              <w:spacing w:after="0" w:line="240" w:lineRule="auto"/>
              <w:rPr>
                <w:rFonts w:ascii="Times New Roman" w:eastAsia="Times New Roman" w:hAnsi="Times New Roman" w:cs="Times New Roman"/>
                <w:sz w:val="20"/>
                <w:szCs w:val="20"/>
                <w:lang w:eastAsia="pt-BR"/>
              </w:rPr>
            </w:pPr>
          </w:p>
        </w:tc>
        <w:tc>
          <w:tcPr>
            <w:tcW w:w="273" w:type="dxa"/>
            <w:tcBorders>
              <w:top w:val="nil"/>
              <w:left w:val="nil"/>
              <w:bottom w:val="nil"/>
              <w:right w:val="nil"/>
            </w:tcBorders>
            <w:shd w:val="clear" w:color="auto" w:fill="auto"/>
            <w:noWrap/>
            <w:vAlign w:val="center"/>
            <w:hideMark/>
          </w:tcPr>
          <w:p w14:paraId="72A43017" w14:textId="77777777" w:rsidR="00FD0364" w:rsidRPr="00F7132F" w:rsidRDefault="00FD0364" w:rsidP="00F23ABE">
            <w:pPr>
              <w:spacing w:after="0" w:line="240" w:lineRule="auto"/>
              <w:jc w:val="center"/>
              <w:rPr>
                <w:rFonts w:ascii="Verdana" w:eastAsia="Times New Roman" w:hAnsi="Verdana" w:cs="Calibri"/>
                <w:b/>
                <w:bCs/>
                <w:sz w:val="18"/>
                <w:szCs w:val="18"/>
                <w:lang w:eastAsia="pt-BR"/>
              </w:rPr>
            </w:pPr>
          </w:p>
        </w:tc>
        <w:tc>
          <w:tcPr>
            <w:tcW w:w="2231" w:type="dxa"/>
            <w:tcBorders>
              <w:top w:val="nil"/>
              <w:left w:val="nil"/>
              <w:bottom w:val="single" w:sz="4" w:space="0" w:color="auto"/>
              <w:right w:val="nil"/>
            </w:tcBorders>
            <w:shd w:val="clear" w:color="auto" w:fill="auto"/>
            <w:noWrap/>
            <w:vAlign w:val="center"/>
            <w:hideMark/>
          </w:tcPr>
          <w:p w14:paraId="1FD5E110" w14:textId="77777777" w:rsidR="00FD0364" w:rsidRPr="00F7132F" w:rsidRDefault="00FD0364" w:rsidP="00F23ABE">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30/06/2022</w:t>
            </w:r>
          </w:p>
        </w:tc>
      </w:tr>
      <w:tr w:rsidR="00FD0364" w:rsidRPr="00116729" w14:paraId="57BBA253" w14:textId="77777777" w:rsidTr="00FD0364">
        <w:trPr>
          <w:trHeight w:val="29"/>
        </w:trPr>
        <w:tc>
          <w:tcPr>
            <w:tcW w:w="6345" w:type="dxa"/>
            <w:tcBorders>
              <w:top w:val="nil"/>
              <w:left w:val="nil"/>
              <w:bottom w:val="nil"/>
              <w:right w:val="nil"/>
            </w:tcBorders>
            <w:shd w:val="clear" w:color="auto" w:fill="auto"/>
            <w:noWrap/>
            <w:vAlign w:val="center"/>
            <w:hideMark/>
          </w:tcPr>
          <w:p w14:paraId="733A9C35" w14:textId="77777777" w:rsidR="00FD0364" w:rsidRPr="00F7132F" w:rsidRDefault="00FD0364" w:rsidP="00F23ABE">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Vida útil definida</w:t>
            </w:r>
          </w:p>
        </w:tc>
        <w:tc>
          <w:tcPr>
            <w:tcW w:w="273" w:type="dxa"/>
            <w:tcBorders>
              <w:top w:val="nil"/>
              <w:left w:val="nil"/>
              <w:bottom w:val="nil"/>
              <w:right w:val="nil"/>
            </w:tcBorders>
            <w:shd w:val="clear" w:color="auto" w:fill="auto"/>
            <w:noWrap/>
            <w:vAlign w:val="center"/>
            <w:hideMark/>
          </w:tcPr>
          <w:p w14:paraId="2A878661" w14:textId="77777777" w:rsidR="00FD0364" w:rsidRPr="00F7132F" w:rsidRDefault="00FD0364" w:rsidP="00F23ABE">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73" w:type="dxa"/>
            <w:tcBorders>
              <w:top w:val="nil"/>
              <w:left w:val="nil"/>
              <w:bottom w:val="nil"/>
              <w:right w:val="nil"/>
            </w:tcBorders>
            <w:shd w:val="clear" w:color="auto" w:fill="auto"/>
            <w:noWrap/>
            <w:vAlign w:val="center"/>
            <w:hideMark/>
          </w:tcPr>
          <w:p w14:paraId="2C3B0B16" w14:textId="77777777" w:rsidR="00FD0364" w:rsidRPr="00F7132F" w:rsidRDefault="00FD0364" w:rsidP="00F23ABE">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231" w:type="dxa"/>
            <w:tcBorders>
              <w:top w:val="nil"/>
              <w:left w:val="nil"/>
              <w:bottom w:val="nil"/>
              <w:right w:val="nil"/>
            </w:tcBorders>
            <w:shd w:val="clear" w:color="auto" w:fill="auto"/>
            <w:noWrap/>
            <w:vAlign w:val="center"/>
            <w:hideMark/>
          </w:tcPr>
          <w:p w14:paraId="70250848" w14:textId="77777777" w:rsidR="00FD0364" w:rsidRPr="00F7132F" w:rsidRDefault="00FD0364" w:rsidP="00F23ABE">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r>
      <w:tr w:rsidR="00FD0364" w:rsidRPr="00116729" w14:paraId="04CB6D71" w14:textId="77777777" w:rsidTr="00FD0364">
        <w:trPr>
          <w:trHeight w:val="29"/>
        </w:trPr>
        <w:tc>
          <w:tcPr>
            <w:tcW w:w="6345" w:type="dxa"/>
            <w:tcBorders>
              <w:top w:val="nil"/>
              <w:left w:val="nil"/>
              <w:bottom w:val="nil"/>
              <w:right w:val="nil"/>
            </w:tcBorders>
            <w:shd w:val="clear" w:color="auto" w:fill="auto"/>
            <w:noWrap/>
            <w:vAlign w:val="center"/>
            <w:hideMark/>
          </w:tcPr>
          <w:p w14:paraId="544F20D8" w14:textId="77777777" w:rsidR="00FD0364" w:rsidRPr="00F7132F" w:rsidRDefault="00FD0364" w:rsidP="00F23ABE">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xml:space="preserve">  Geração em serviço</w:t>
            </w:r>
          </w:p>
        </w:tc>
        <w:tc>
          <w:tcPr>
            <w:tcW w:w="273" w:type="dxa"/>
            <w:tcBorders>
              <w:top w:val="nil"/>
              <w:left w:val="nil"/>
              <w:bottom w:val="nil"/>
              <w:right w:val="nil"/>
            </w:tcBorders>
            <w:shd w:val="clear" w:color="auto" w:fill="auto"/>
            <w:noWrap/>
            <w:vAlign w:val="center"/>
            <w:hideMark/>
          </w:tcPr>
          <w:p w14:paraId="7AABDE60" w14:textId="77777777" w:rsidR="00FD0364" w:rsidRPr="00F7132F" w:rsidRDefault="00FD0364" w:rsidP="00F23ABE">
            <w:pPr>
              <w:spacing w:after="0" w:line="240" w:lineRule="auto"/>
              <w:rPr>
                <w:rFonts w:ascii="Verdana" w:eastAsia="Times New Roman" w:hAnsi="Verdana" w:cs="Calibri"/>
                <w:b/>
                <w:bCs/>
                <w:sz w:val="18"/>
                <w:szCs w:val="18"/>
                <w:lang w:eastAsia="pt-BR"/>
              </w:rPr>
            </w:pPr>
          </w:p>
        </w:tc>
        <w:tc>
          <w:tcPr>
            <w:tcW w:w="273" w:type="dxa"/>
            <w:tcBorders>
              <w:top w:val="nil"/>
              <w:left w:val="nil"/>
              <w:bottom w:val="nil"/>
              <w:right w:val="nil"/>
            </w:tcBorders>
            <w:shd w:val="clear" w:color="auto" w:fill="auto"/>
            <w:noWrap/>
            <w:vAlign w:val="center"/>
            <w:hideMark/>
          </w:tcPr>
          <w:p w14:paraId="2E7EF5E6" w14:textId="77777777" w:rsidR="00FD0364" w:rsidRPr="00116729" w:rsidRDefault="00FD0364" w:rsidP="00F23ABE">
            <w:pPr>
              <w:spacing w:after="0" w:line="240" w:lineRule="auto"/>
              <w:jc w:val="right"/>
              <w:rPr>
                <w:rFonts w:ascii="Times New Roman" w:eastAsia="Times New Roman" w:hAnsi="Times New Roman" w:cs="Times New Roman"/>
                <w:sz w:val="20"/>
                <w:szCs w:val="20"/>
                <w:lang w:eastAsia="pt-BR"/>
              </w:rPr>
            </w:pPr>
          </w:p>
        </w:tc>
        <w:tc>
          <w:tcPr>
            <w:tcW w:w="2231" w:type="dxa"/>
            <w:tcBorders>
              <w:top w:val="nil"/>
              <w:left w:val="nil"/>
              <w:bottom w:val="nil"/>
              <w:right w:val="nil"/>
            </w:tcBorders>
            <w:shd w:val="clear" w:color="auto" w:fill="auto"/>
            <w:noWrap/>
            <w:vAlign w:val="center"/>
            <w:hideMark/>
          </w:tcPr>
          <w:p w14:paraId="57AC371E" w14:textId="77777777" w:rsidR="00FD0364" w:rsidRPr="00116729" w:rsidRDefault="00FD0364" w:rsidP="00F23ABE">
            <w:pPr>
              <w:spacing w:after="0" w:line="240" w:lineRule="auto"/>
              <w:rPr>
                <w:rFonts w:ascii="Times New Roman" w:eastAsia="Times New Roman" w:hAnsi="Times New Roman" w:cs="Times New Roman"/>
                <w:sz w:val="20"/>
                <w:szCs w:val="20"/>
                <w:lang w:eastAsia="pt-BR"/>
              </w:rPr>
            </w:pPr>
          </w:p>
        </w:tc>
      </w:tr>
      <w:tr w:rsidR="00FD0364" w:rsidRPr="00116729" w14:paraId="0790EBE4" w14:textId="77777777" w:rsidTr="00FD0364">
        <w:trPr>
          <w:trHeight w:val="29"/>
        </w:trPr>
        <w:tc>
          <w:tcPr>
            <w:tcW w:w="6345" w:type="dxa"/>
            <w:tcBorders>
              <w:top w:val="nil"/>
              <w:left w:val="nil"/>
              <w:bottom w:val="nil"/>
              <w:right w:val="nil"/>
            </w:tcBorders>
            <w:shd w:val="clear" w:color="auto" w:fill="auto"/>
            <w:noWrap/>
            <w:vAlign w:val="center"/>
            <w:hideMark/>
          </w:tcPr>
          <w:p w14:paraId="0B323EFA" w14:textId="77777777" w:rsidR="00FD0364" w:rsidRPr="00F7132F" w:rsidRDefault="00FD0364"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Custo</w:t>
            </w:r>
          </w:p>
        </w:tc>
        <w:tc>
          <w:tcPr>
            <w:tcW w:w="273" w:type="dxa"/>
            <w:tcBorders>
              <w:top w:val="nil"/>
              <w:left w:val="nil"/>
              <w:bottom w:val="nil"/>
              <w:right w:val="nil"/>
            </w:tcBorders>
            <w:shd w:val="clear" w:color="auto" w:fill="auto"/>
            <w:noWrap/>
            <w:vAlign w:val="center"/>
            <w:hideMark/>
          </w:tcPr>
          <w:p w14:paraId="21A6B5C5" w14:textId="77777777" w:rsidR="00FD0364" w:rsidRPr="00F7132F" w:rsidRDefault="00FD0364"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73" w:type="dxa"/>
            <w:tcBorders>
              <w:top w:val="nil"/>
              <w:left w:val="nil"/>
              <w:bottom w:val="nil"/>
              <w:right w:val="nil"/>
            </w:tcBorders>
            <w:shd w:val="clear" w:color="auto" w:fill="auto"/>
            <w:noWrap/>
            <w:vAlign w:val="center"/>
            <w:hideMark/>
          </w:tcPr>
          <w:p w14:paraId="1397FBD8" w14:textId="77777777" w:rsidR="00FD0364" w:rsidRPr="00F7132F" w:rsidRDefault="00FD0364" w:rsidP="00F23ABE">
            <w:pPr>
              <w:spacing w:after="0" w:line="240" w:lineRule="auto"/>
              <w:rPr>
                <w:rFonts w:ascii="Verdana" w:eastAsia="Times New Roman" w:hAnsi="Verdana" w:cs="Calibri"/>
                <w:sz w:val="18"/>
                <w:szCs w:val="18"/>
                <w:lang w:eastAsia="pt-BR"/>
              </w:rPr>
            </w:pPr>
          </w:p>
        </w:tc>
        <w:tc>
          <w:tcPr>
            <w:tcW w:w="2231" w:type="dxa"/>
            <w:tcBorders>
              <w:top w:val="nil"/>
              <w:left w:val="nil"/>
              <w:bottom w:val="nil"/>
              <w:right w:val="nil"/>
            </w:tcBorders>
            <w:shd w:val="clear" w:color="auto" w:fill="auto"/>
            <w:noWrap/>
            <w:vAlign w:val="center"/>
            <w:hideMark/>
          </w:tcPr>
          <w:p w14:paraId="48A54690" w14:textId="77777777" w:rsidR="00FD0364" w:rsidRPr="00F7132F" w:rsidRDefault="00FD0364" w:rsidP="00F23AB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101.686</w:t>
            </w:r>
          </w:p>
        </w:tc>
      </w:tr>
      <w:tr w:rsidR="00FD0364" w:rsidRPr="00116729" w14:paraId="2D894B77" w14:textId="77777777" w:rsidTr="00FD0364">
        <w:trPr>
          <w:trHeight w:val="29"/>
        </w:trPr>
        <w:tc>
          <w:tcPr>
            <w:tcW w:w="6345" w:type="dxa"/>
            <w:tcBorders>
              <w:top w:val="nil"/>
              <w:left w:val="nil"/>
              <w:bottom w:val="nil"/>
              <w:right w:val="nil"/>
            </w:tcBorders>
            <w:shd w:val="clear" w:color="auto" w:fill="auto"/>
            <w:noWrap/>
            <w:vAlign w:val="center"/>
            <w:hideMark/>
          </w:tcPr>
          <w:p w14:paraId="5DB63AAE" w14:textId="77777777" w:rsidR="00FD0364" w:rsidRPr="00F7132F" w:rsidRDefault="00FD0364"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Amortização acumulada</w:t>
            </w:r>
          </w:p>
        </w:tc>
        <w:tc>
          <w:tcPr>
            <w:tcW w:w="273" w:type="dxa"/>
            <w:tcBorders>
              <w:top w:val="nil"/>
              <w:left w:val="nil"/>
              <w:bottom w:val="nil"/>
              <w:right w:val="nil"/>
            </w:tcBorders>
            <w:shd w:val="clear" w:color="auto" w:fill="auto"/>
            <w:noWrap/>
            <w:vAlign w:val="center"/>
            <w:hideMark/>
          </w:tcPr>
          <w:p w14:paraId="32F60F89" w14:textId="77777777" w:rsidR="00FD0364" w:rsidRPr="00F7132F" w:rsidRDefault="00FD0364" w:rsidP="00F23ABE">
            <w:pPr>
              <w:spacing w:after="0" w:line="240" w:lineRule="auto"/>
              <w:rPr>
                <w:rFonts w:ascii="Verdana" w:eastAsia="Times New Roman" w:hAnsi="Verdana" w:cs="Calibri"/>
                <w:sz w:val="18"/>
                <w:szCs w:val="18"/>
                <w:lang w:eastAsia="pt-BR"/>
              </w:rPr>
            </w:pPr>
          </w:p>
        </w:tc>
        <w:tc>
          <w:tcPr>
            <w:tcW w:w="273" w:type="dxa"/>
            <w:tcBorders>
              <w:top w:val="nil"/>
              <w:left w:val="nil"/>
              <w:bottom w:val="nil"/>
              <w:right w:val="nil"/>
            </w:tcBorders>
            <w:shd w:val="clear" w:color="auto" w:fill="auto"/>
            <w:noWrap/>
            <w:vAlign w:val="center"/>
            <w:hideMark/>
          </w:tcPr>
          <w:p w14:paraId="24BECAF2" w14:textId="77777777" w:rsidR="00FD0364" w:rsidRPr="00F7132F" w:rsidRDefault="00FD0364" w:rsidP="00F23ABE">
            <w:pPr>
              <w:spacing w:after="0" w:line="240" w:lineRule="auto"/>
              <w:jc w:val="right"/>
              <w:rPr>
                <w:rFonts w:ascii="Verdana" w:eastAsia="Times New Roman" w:hAnsi="Verdana" w:cs="Calibri"/>
                <w:sz w:val="18"/>
                <w:szCs w:val="18"/>
                <w:lang w:eastAsia="pt-BR"/>
              </w:rPr>
            </w:pPr>
          </w:p>
        </w:tc>
        <w:tc>
          <w:tcPr>
            <w:tcW w:w="2231" w:type="dxa"/>
            <w:tcBorders>
              <w:top w:val="nil"/>
              <w:left w:val="nil"/>
              <w:bottom w:val="nil"/>
              <w:right w:val="nil"/>
            </w:tcBorders>
            <w:shd w:val="clear" w:color="auto" w:fill="auto"/>
            <w:noWrap/>
            <w:vAlign w:val="center"/>
            <w:hideMark/>
          </w:tcPr>
          <w:p w14:paraId="467C6707" w14:textId="77777777" w:rsidR="00FD0364" w:rsidRPr="00F7132F" w:rsidRDefault="00FD0364" w:rsidP="00F23AB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(88.319)</w:t>
            </w:r>
          </w:p>
        </w:tc>
      </w:tr>
      <w:tr w:rsidR="00FD0364" w:rsidRPr="00116729" w14:paraId="384D9F20" w14:textId="77777777" w:rsidTr="00FD0364">
        <w:trPr>
          <w:trHeight w:val="29"/>
        </w:trPr>
        <w:tc>
          <w:tcPr>
            <w:tcW w:w="6345" w:type="dxa"/>
            <w:tcBorders>
              <w:top w:val="nil"/>
              <w:left w:val="nil"/>
              <w:bottom w:val="nil"/>
              <w:right w:val="nil"/>
            </w:tcBorders>
            <w:shd w:val="clear" w:color="auto" w:fill="auto"/>
            <w:noWrap/>
            <w:vAlign w:val="center"/>
            <w:hideMark/>
          </w:tcPr>
          <w:p w14:paraId="0720D87E" w14:textId="77777777" w:rsidR="00FD0364" w:rsidRPr="00F7132F" w:rsidRDefault="00FD0364" w:rsidP="00F23ABE">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xml:space="preserve">      Geração em curso</w:t>
            </w:r>
          </w:p>
        </w:tc>
        <w:tc>
          <w:tcPr>
            <w:tcW w:w="273" w:type="dxa"/>
            <w:tcBorders>
              <w:top w:val="nil"/>
              <w:left w:val="nil"/>
              <w:bottom w:val="nil"/>
              <w:right w:val="nil"/>
            </w:tcBorders>
            <w:shd w:val="clear" w:color="auto" w:fill="auto"/>
            <w:noWrap/>
            <w:vAlign w:val="center"/>
            <w:hideMark/>
          </w:tcPr>
          <w:p w14:paraId="121E1F76" w14:textId="77777777" w:rsidR="00FD0364" w:rsidRPr="00F7132F" w:rsidRDefault="00FD0364"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73" w:type="dxa"/>
            <w:tcBorders>
              <w:top w:val="nil"/>
              <w:left w:val="nil"/>
              <w:bottom w:val="nil"/>
              <w:right w:val="nil"/>
            </w:tcBorders>
            <w:shd w:val="clear" w:color="auto" w:fill="auto"/>
            <w:noWrap/>
            <w:vAlign w:val="center"/>
            <w:hideMark/>
          </w:tcPr>
          <w:p w14:paraId="28A9A27F" w14:textId="77777777" w:rsidR="00FD0364" w:rsidRPr="00F7132F" w:rsidRDefault="00FD0364" w:rsidP="00F23ABE">
            <w:pPr>
              <w:spacing w:after="0" w:line="240" w:lineRule="auto"/>
              <w:rPr>
                <w:rFonts w:ascii="Verdana" w:eastAsia="Times New Roman" w:hAnsi="Verdana" w:cs="Calibri"/>
                <w:sz w:val="18"/>
                <w:szCs w:val="18"/>
                <w:lang w:eastAsia="pt-BR"/>
              </w:rPr>
            </w:pPr>
          </w:p>
        </w:tc>
        <w:tc>
          <w:tcPr>
            <w:tcW w:w="2231" w:type="dxa"/>
            <w:tcBorders>
              <w:top w:val="nil"/>
              <w:left w:val="nil"/>
              <w:bottom w:val="nil"/>
              <w:right w:val="nil"/>
            </w:tcBorders>
            <w:shd w:val="clear" w:color="auto" w:fill="auto"/>
            <w:noWrap/>
            <w:vAlign w:val="center"/>
            <w:hideMark/>
          </w:tcPr>
          <w:p w14:paraId="0ECBB78F" w14:textId="77777777" w:rsidR="00FD0364" w:rsidRPr="00F7132F" w:rsidRDefault="00FD0364" w:rsidP="00F23ABE">
            <w:pPr>
              <w:spacing w:after="0" w:line="240" w:lineRule="auto"/>
              <w:jc w:val="right"/>
              <w:rPr>
                <w:rFonts w:ascii="Verdana" w:eastAsia="Times New Roman" w:hAnsi="Verdana" w:cs="Calibri"/>
                <w:sz w:val="18"/>
                <w:szCs w:val="18"/>
                <w:lang w:eastAsia="pt-BR"/>
              </w:rPr>
            </w:pPr>
          </w:p>
        </w:tc>
      </w:tr>
      <w:tr w:rsidR="00FD0364" w:rsidRPr="00116729" w14:paraId="298D3A8C" w14:textId="77777777" w:rsidTr="00FD0364">
        <w:trPr>
          <w:trHeight w:val="29"/>
        </w:trPr>
        <w:tc>
          <w:tcPr>
            <w:tcW w:w="6345" w:type="dxa"/>
            <w:tcBorders>
              <w:top w:val="nil"/>
              <w:left w:val="nil"/>
              <w:bottom w:val="nil"/>
              <w:right w:val="nil"/>
            </w:tcBorders>
            <w:shd w:val="clear" w:color="auto" w:fill="auto"/>
            <w:noWrap/>
            <w:vAlign w:val="center"/>
            <w:hideMark/>
          </w:tcPr>
          <w:p w14:paraId="14DE4E9E" w14:textId="77777777" w:rsidR="00FD0364" w:rsidRPr="00F7132F" w:rsidRDefault="00FD0364"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Custo</w:t>
            </w:r>
          </w:p>
        </w:tc>
        <w:tc>
          <w:tcPr>
            <w:tcW w:w="273" w:type="dxa"/>
            <w:tcBorders>
              <w:top w:val="nil"/>
              <w:left w:val="nil"/>
              <w:bottom w:val="nil"/>
              <w:right w:val="nil"/>
            </w:tcBorders>
            <w:shd w:val="clear" w:color="auto" w:fill="auto"/>
            <w:noWrap/>
            <w:vAlign w:val="center"/>
            <w:hideMark/>
          </w:tcPr>
          <w:p w14:paraId="2F7ABB85" w14:textId="77777777" w:rsidR="00FD0364" w:rsidRPr="00F7132F" w:rsidRDefault="00FD0364" w:rsidP="00F23ABE">
            <w:pPr>
              <w:spacing w:after="0" w:line="240" w:lineRule="auto"/>
              <w:rPr>
                <w:rFonts w:ascii="Verdana" w:eastAsia="Times New Roman" w:hAnsi="Verdana" w:cs="Calibri"/>
                <w:sz w:val="18"/>
                <w:szCs w:val="18"/>
                <w:lang w:eastAsia="pt-BR"/>
              </w:rPr>
            </w:pPr>
          </w:p>
        </w:tc>
        <w:tc>
          <w:tcPr>
            <w:tcW w:w="273" w:type="dxa"/>
            <w:tcBorders>
              <w:top w:val="nil"/>
              <w:left w:val="nil"/>
              <w:bottom w:val="nil"/>
              <w:right w:val="nil"/>
            </w:tcBorders>
            <w:shd w:val="clear" w:color="auto" w:fill="auto"/>
            <w:noWrap/>
            <w:vAlign w:val="center"/>
            <w:hideMark/>
          </w:tcPr>
          <w:p w14:paraId="1278B908" w14:textId="77777777" w:rsidR="00FD0364" w:rsidRPr="00F7132F" w:rsidRDefault="00FD0364" w:rsidP="00F23ABE">
            <w:pPr>
              <w:spacing w:after="0" w:line="240" w:lineRule="auto"/>
              <w:jc w:val="right"/>
              <w:rPr>
                <w:rFonts w:ascii="Verdana" w:eastAsia="Times New Roman" w:hAnsi="Verdana" w:cs="Calibri"/>
                <w:sz w:val="18"/>
                <w:szCs w:val="18"/>
                <w:lang w:eastAsia="pt-BR"/>
              </w:rPr>
            </w:pPr>
          </w:p>
        </w:tc>
        <w:tc>
          <w:tcPr>
            <w:tcW w:w="2231" w:type="dxa"/>
            <w:tcBorders>
              <w:top w:val="nil"/>
              <w:left w:val="nil"/>
              <w:bottom w:val="nil"/>
              <w:right w:val="nil"/>
            </w:tcBorders>
            <w:shd w:val="clear" w:color="auto" w:fill="auto"/>
            <w:noWrap/>
            <w:vAlign w:val="center"/>
            <w:hideMark/>
          </w:tcPr>
          <w:p w14:paraId="3C5F27F8" w14:textId="77777777" w:rsidR="00FD0364" w:rsidRPr="00F7132F" w:rsidRDefault="00FD0364" w:rsidP="00F23AB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50.489</w:t>
            </w:r>
          </w:p>
        </w:tc>
      </w:tr>
      <w:tr w:rsidR="00FD0364" w:rsidRPr="00116729" w14:paraId="6EE46EC3" w14:textId="77777777" w:rsidTr="00FD0364">
        <w:trPr>
          <w:trHeight w:val="29"/>
        </w:trPr>
        <w:tc>
          <w:tcPr>
            <w:tcW w:w="6345" w:type="dxa"/>
            <w:tcBorders>
              <w:top w:val="nil"/>
              <w:left w:val="nil"/>
              <w:bottom w:val="nil"/>
              <w:right w:val="nil"/>
            </w:tcBorders>
            <w:shd w:val="clear" w:color="auto" w:fill="auto"/>
            <w:noWrap/>
            <w:vAlign w:val="center"/>
            <w:hideMark/>
          </w:tcPr>
          <w:p w14:paraId="2A0BE474" w14:textId="77777777" w:rsidR="00FD0364" w:rsidRPr="00F7132F" w:rsidRDefault="00FD0364" w:rsidP="00F23ABE">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xml:space="preserve">  Administração em serviço</w:t>
            </w:r>
          </w:p>
        </w:tc>
        <w:tc>
          <w:tcPr>
            <w:tcW w:w="273" w:type="dxa"/>
            <w:tcBorders>
              <w:top w:val="nil"/>
              <w:left w:val="nil"/>
              <w:bottom w:val="nil"/>
              <w:right w:val="nil"/>
            </w:tcBorders>
            <w:shd w:val="clear" w:color="auto" w:fill="auto"/>
            <w:noWrap/>
            <w:vAlign w:val="center"/>
            <w:hideMark/>
          </w:tcPr>
          <w:p w14:paraId="2547F695" w14:textId="77777777" w:rsidR="00FD0364" w:rsidRPr="00F7132F" w:rsidRDefault="00FD0364"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73" w:type="dxa"/>
            <w:tcBorders>
              <w:top w:val="nil"/>
              <w:left w:val="nil"/>
              <w:bottom w:val="nil"/>
              <w:right w:val="nil"/>
            </w:tcBorders>
            <w:shd w:val="clear" w:color="auto" w:fill="auto"/>
            <w:noWrap/>
            <w:vAlign w:val="center"/>
            <w:hideMark/>
          </w:tcPr>
          <w:p w14:paraId="54CB6DB2" w14:textId="77777777" w:rsidR="00FD0364" w:rsidRPr="00F7132F" w:rsidRDefault="00FD0364" w:rsidP="00F23ABE">
            <w:pPr>
              <w:spacing w:after="0" w:line="240" w:lineRule="auto"/>
              <w:rPr>
                <w:rFonts w:ascii="Verdana" w:eastAsia="Times New Roman" w:hAnsi="Verdana" w:cs="Calibri"/>
                <w:sz w:val="18"/>
                <w:szCs w:val="18"/>
                <w:lang w:eastAsia="pt-BR"/>
              </w:rPr>
            </w:pPr>
          </w:p>
        </w:tc>
        <w:tc>
          <w:tcPr>
            <w:tcW w:w="2231" w:type="dxa"/>
            <w:tcBorders>
              <w:top w:val="nil"/>
              <w:left w:val="nil"/>
              <w:bottom w:val="nil"/>
              <w:right w:val="nil"/>
            </w:tcBorders>
            <w:shd w:val="clear" w:color="auto" w:fill="auto"/>
            <w:noWrap/>
            <w:vAlign w:val="center"/>
            <w:hideMark/>
          </w:tcPr>
          <w:p w14:paraId="1B3C2F04" w14:textId="77777777" w:rsidR="00FD0364" w:rsidRPr="00F7132F" w:rsidRDefault="00FD0364" w:rsidP="00F23ABE">
            <w:pPr>
              <w:spacing w:after="0" w:line="240" w:lineRule="auto"/>
              <w:jc w:val="right"/>
              <w:rPr>
                <w:rFonts w:ascii="Verdana" w:eastAsia="Times New Roman" w:hAnsi="Verdana" w:cs="Calibri"/>
                <w:sz w:val="18"/>
                <w:szCs w:val="18"/>
                <w:lang w:eastAsia="pt-BR"/>
              </w:rPr>
            </w:pPr>
          </w:p>
        </w:tc>
      </w:tr>
      <w:tr w:rsidR="00FD0364" w:rsidRPr="00116729" w14:paraId="5E174BD0" w14:textId="77777777" w:rsidTr="00FD0364">
        <w:trPr>
          <w:trHeight w:val="29"/>
        </w:trPr>
        <w:tc>
          <w:tcPr>
            <w:tcW w:w="6345" w:type="dxa"/>
            <w:tcBorders>
              <w:top w:val="nil"/>
              <w:left w:val="nil"/>
              <w:bottom w:val="nil"/>
              <w:right w:val="nil"/>
            </w:tcBorders>
            <w:shd w:val="clear" w:color="auto" w:fill="auto"/>
            <w:noWrap/>
            <w:vAlign w:val="center"/>
            <w:hideMark/>
          </w:tcPr>
          <w:p w14:paraId="4C7A2587" w14:textId="77777777" w:rsidR="00FD0364" w:rsidRPr="00F7132F" w:rsidRDefault="00FD0364"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Custo</w:t>
            </w:r>
          </w:p>
        </w:tc>
        <w:tc>
          <w:tcPr>
            <w:tcW w:w="273" w:type="dxa"/>
            <w:tcBorders>
              <w:top w:val="nil"/>
              <w:left w:val="nil"/>
              <w:bottom w:val="nil"/>
              <w:right w:val="nil"/>
            </w:tcBorders>
            <w:shd w:val="clear" w:color="auto" w:fill="auto"/>
            <w:noWrap/>
            <w:vAlign w:val="center"/>
            <w:hideMark/>
          </w:tcPr>
          <w:p w14:paraId="04FE7B19" w14:textId="77777777" w:rsidR="00FD0364" w:rsidRPr="00F7132F" w:rsidRDefault="00FD0364" w:rsidP="00F23ABE">
            <w:pPr>
              <w:spacing w:after="0" w:line="240" w:lineRule="auto"/>
              <w:rPr>
                <w:rFonts w:ascii="Verdana" w:eastAsia="Times New Roman" w:hAnsi="Verdana" w:cs="Calibri"/>
                <w:sz w:val="18"/>
                <w:szCs w:val="18"/>
                <w:lang w:eastAsia="pt-BR"/>
              </w:rPr>
            </w:pPr>
          </w:p>
        </w:tc>
        <w:tc>
          <w:tcPr>
            <w:tcW w:w="273" w:type="dxa"/>
            <w:tcBorders>
              <w:top w:val="nil"/>
              <w:left w:val="nil"/>
              <w:bottom w:val="nil"/>
              <w:right w:val="nil"/>
            </w:tcBorders>
            <w:shd w:val="clear" w:color="auto" w:fill="auto"/>
            <w:noWrap/>
            <w:vAlign w:val="center"/>
            <w:hideMark/>
          </w:tcPr>
          <w:p w14:paraId="31C51366" w14:textId="77777777" w:rsidR="00FD0364" w:rsidRPr="00F7132F" w:rsidRDefault="00FD0364" w:rsidP="00F23ABE">
            <w:pPr>
              <w:spacing w:after="0" w:line="240" w:lineRule="auto"/>
              <w:jc w:val="right"/>
              <w:rPr>
                <w:rFonts w:ascii="Verdana" w:eastAsia="Times New Roman" w:hAnsi="Verdana" w:cs="Calibri"/>
                <w:sz w:val="18"/>
                <w:szCs w:val="18"/>
                <w:lang w:eastAsia="pt-BR"/>
              </w:rPr>
            </w:pPr>
          </w:p>
        </w:tc>
        <w:tc>
          <w:tcPr>
            <w:tcW w:w="2231" w:type="dxa"/>
            <w:tcBorders>
              <w:top w:val="nil"/>
              <w:left w:val="nil"/>
              <w:bottom w:val="nil"/>
              <w:right w:val="nil"/>
            </w:tcBorders>
            <w:shd w:val="clear" w:color="auto" w:fill="auto"/>
            <w:noWrap/>
            <w:vAlign w:val="center"/>
            <w:hideMark/>
          </w:tcPr>
          <w:p w14:paraId="7085F510" w14:textId="77777777" w:rsidR="00FD0364" w:rsidRPr="00F7132F" w:rsidRDefault="00FD0364" w:rsidP="00F23AB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71.914</w:t>
            </w:r>
          </w:p>
        </w:tc>
      </w:tr>
      <w:tr w:rsidR="00FD0364" w:rsidRPr="00116729" w14:paraId="086464AC" w14:textId="77777777" w:rsidTr="00FD0364">
        <w:trPr>
          <w:trHeight w:val="29"/>
        </w:trPr>
        <w:tc>
          <w:tcPr>
            <w:tcW w:w="6345" w:type="dxa"/>
            <w:tcBorders>
              <w:top w:val="nil"/>
              <w:left w:val="nil"/>
              <w:bottom w:val="nil"/>
              <w:right w:val="nil"/>
            </w:tcBorders>
            <w:shd w:val="clear" w:color="auto" w:fill="auto"/>
            <w:noWrap/>
            <w:vAlign w:val="center"/>
            <w:hideMark/>
          </w:tcPr>
          <w:p w14:paraId="3EC46512" w14:textId="77777777" w:rsidR="00FD0364" w:rsidRPr="00F7132F" w:rsidRDefault="00FD0364"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Amortização acumulada</w:t>
            </w:r>
          </w:p>
        </w:tc>
        <w:tc>
          <w:tcPr>
            <w:tcW w:w="273" w:type="dxa"/>
            <w:tcBorders>
              <w:top w:val="nil"/>
              <w:left w:val="nil"/>
              <w:bottom w:val="nil"/>
              <w:right w:val="nil"/>
            </w:tcBorders>
            <w:shd w:val="clear" w:color="auto" w:fill="auto"/>
            <w:noWrap/>
            <w:vAlign w:val="center"/>
            <w:hideMark/>
          </w:tcPr>
          <w:p w14:paraId="0F663CB5" w14:textId="77777777" w:rsidR="00FD0364" w:rsidRPr="00F7132F" w:rsidRDefault="00FD0364" w:rsidP="00F23ABE">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73" w:type="dxa"/>
            <w:tcBorders>
              <w:top w:val="nil"/>
              <w:left w:val="nil"/>
              <w:bottom w:val="nil"/>
              <w:right w:val="nil"/>
            </w:tcBorders>
            <w:shd w:val="clear" w:color="auto" w:fill="auto"/>
            <w:noWrap/>
            <w:vAlign w:val="center"/>
            <w:hideMark/>
          </w:tcPr>
          <w:p w14:paraId="6033A513" w14:textId="77777777" w:rsidR="00FD0364" w:rsidRPr="00F7132F" w:rsidRDefault="00FD0364" w:rsidP="00F23ABE">
            <w:pPr>
              <w:spacing w:after="0" w:line="240" w:lineRule="auto"/>
              <w:jc w:val="center"/>
              <w:rPr>
                <w:rFonts w:ascii="Verdana" w:eastAsia="Times New Roman" w:hAnsi="Verdana" w:cs="Calibri"/>
                <w:sz w:val="18"/>
                <w:szCs w:val="18"/>
                <w:lang w:eastAsia="pt-BR"/>
              </w:rPr>
            </w:pPr>
          </w:p>
        </w:tc>
        <w:tc>
          <w:tcPr>
            <w:tcW w:w="2231" w:type="dxa"/>
            <w:tcBorders>
              <w:top w:val="nil"/>
              <w:left w:val="nil"/>
              <w:bottom w:val="nil"/>
              <w:right w:val="nil"/>
            </w:tcBorders>
            <w:shd w:val="clear" w:color="auto" w:fill="auto"/>
            <w:noWrap/>
            <w:vAlign w:val="center"/>
            <w:hideMark/>
          </w:tcPr>
          <w:p w14:paraId="3850A205" w14:textId="77777777" w:rsidR="00FD0364" w:rsidRPr="00F7132F" w:rsidRDefault="00FD0364" w:rsidP="00F23AB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(70.832)</w:t>
            </w:r>
          </w:p>
        </w:tc>
      </w:tr>
      <w:tr w:rsidR="00FD0364" w:rsidRPr="00116729" w14:paraId="1B962DC0" w14:textId="77777777" w:rsidTr="00FD0364">
        <w:trPr>
          <w:trHeight w:val="29"/>
        </w:trPr>
        <w:tc>
          <w:tcPr>
            <w:tcW w:w="6345" w:type="dxa"/>
            <w:tcBorders>
              <w:top w:val="nil"/>
              <w:left w:val="nil"/>
              <w:bottom w:val="nil"/>
              <w:right w:val="nil"/>
            </w:tcBorders>
            <w:shd w:val="clear" w:color="auto" w:fill="auto"/>
            <w:noWrap/>
            <w:vAlign w:val="center"/>
            <w:hideMark/>
          </w:tcPr>
          <w:p w14:paraId="0E76DF92" w14:textId="77777777" w:rsidR="00FD0364" w:rsidRPr="00F7132F" w:rsidRDefault="00FD0364" w:rsidP="00F23ABE">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xml:space="preserve">    Administração em curso</w:t>
            </w:r>
          </w:p>
        </w:tc>
        <w:tc>
          <w:tcPr>
            <w:tcW w:w="273" w:type="dxa"/>
            <w:tcBorders>
              <w:top w:val="nil"/>
              <w:left w:val="nil"/>
              <w:bottom w:val="nil"/>
              <w:right w:val="nil"/>
            </w:tcBorders>
            <w:shd w:val="clear" w:color="auto" w:fill="auto"/>
            <w:noWrap/>
            <w:vAlign w:val="center"/>
            <w:hideMark/>
          </w:tcPr>
          <w:p w14:paraId="016BA9A7" w14:textId="77777777" w:rsidR="00FD0364" w:rsidRPr="00F7132F" w:rsidRDefault="00FD0364" w:rsidP="00F23ABE">
            <w:pPr>
              <w:spacing w:after="0" w:line="240" w:lineRule="auto"/>
              <w:rPr>
                <w:rFonts w:ascii="Verdana" w:eastAsia="Times New Roman" w:hAnsi="Verdana" w:cs="Calibri"/>
                <w:b/>
                <w:bCs/>
                <w:sz w:val="18"/>
                <w:szCs w:val="18"/>
                <w:lang w:eastAsia="pt-BR"/>
              </w:rPr>
            </w:pPr>
          </w:p>
        </w:tc>
        <w:tc>
          <w:tcPr>
            <w:tcW w:w="273" w:type="dxa"/>
            <w:tcBorders>
              <w:top w:val="nil"/>
              <w:left w:val="nil"/>
              <w:bottom w:val="nil"/>
              <w:right w:val="nil"/>
            </w:tcBorders>
            <w:shd w:val="clear" w:color="auto" w:fill="auto"/>
            <w:noWrap/>
            <w:vAlign w:val="center"/>
            <w:hideMark/>
          </w:tcPr>
          <w:p w14:paraId="1A581555" w14:textId="77777777" w:rsidR="00FD0364" w:rsidRPr="00116729" w:rsidRDefault="00FD0364" w:rsidP="00F23ABE">
            <w:pPr>
              <w:spacing w:after="0" w:line="240" w:lineRule="auto"/>
              <w:jc w:val="right"/>
              <w:rPr>
                <w:rFonts w:ascii="Times New Roman" w:eastAsia="Times New Roman" w:hAnsi="Times New Roman" w:cs="Times New Roman"/>
                <w:sz w:val="20"/>
                <w:szCs w:val="20"/>
                <w:lang w:eastAsia="pt-BR"/>
              </w:rPr>
            </w:pPr>
          </w:p>
        </w:tc>
        <w:tc>
          <w:tcPr>
            <w:tcW w:w="2231" w:type="dxa"/>
            <w:tcBorders>
              <w:top w:val="nil"/>
              <w:left w:val="nil"/>
              <w:bottom w:val="nil"/>
              <w:right w:val="nil"/>
            </w:tcBorders>
            <w:shd w:val="clear" w:color="auto" w:fill="auto"/>
            <w:noWrap/>
            <w:vAlign w:val="center"/>
            <w:hideMark/>
          </w:tcPr>
          <w:p w14:paraId="4037110E" w14:textId="77777777" w:rsidR="00FD0364" w:rsidRPr="00116729" w:rsidRDefault="00FD0364" w:rsidP="00F23ABE">
            <w:pPr>
              <w:spacing w:after="0" w:line="240" w:lineRule="auto"/>
              <w:rPr>
                <w:rFonts w:ascii="Times New Roman" w:eastAsia="Times New Roman" w:hAnsi="Times New Roman" w:cs="Times New Roman"/>
                <w:sz w:val="20"/>
                <w:szCs w:val="20"/>
                <w:lang w:eastAsia="pt-BR"/>
              </w:rPr>
            </w:pPr>
          </w:p>
        </w:tc>
      </w:tr>
      <w:tr w:rsidR="00FD0364" w:rsidRPr="00116729" w14:paraId="1F88C603" w14:textId="77777777" w:rsidTr="00FD0364">
        <w:trPr>
          <w:trHeight w:val="29"/>
        </w:trPr>
        <w:tc>
          <w:tcPr>
            <w:tcW w:w="6345" w:type="dxa"/>
            <w:tcBorders>
              <w:top w:val="nil"/>
              <w:left w:val="nil"/>
              <w:bottom w:val="nil"/>
              <w:right w:val="nil"/>
            </w:tcBorders>
            <w:shd w:val="clear" w:color="auto" w:fill="auto"/>
            <w:noWrap/>
            <w:vAlign w:val="center"/>
            <w:hideMark/>
          </w:tcPr>
          <w:p w14:paraId="6B65F0DE" w14:textId="77777777" w:rsidR="00FD0364" w:rsidRPr="00F7132F" w:rsidRDefault="00FD0364"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Custo</w:t>
            </w:r>
          </w:p>
        </w:tc>
        <w:tc>
          <w:tcPr>
            <w:tcW w:w="273" w:type="dxa"/>
            <w:tcBorders>
              <w:top w:val="nil"/>
              <w:left w:val="nil"/>
              <w:bottom w:val="nil"/>
              <w:right w:val="nil"/>
            </w:tcBorders>
            <w:shd w:val="clear" w:color="auto" w:fill="auto"/>
            <w:noWrap/>
            <w:vAlign w:val="center"/>
            <w:hideMark/>
          </w:tcPr>
          <w:p w14:paraId="40D677D9" w14:textId="77777777" w:rsidR="00FD0364" w:rsidRPr="00F7132F" w:rsidRDefault="00FD0364"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73" w:type="dxa"/>
            <w:tcBorders>
              <w:top w:val="nil"/>
              <w:left w:val="nil"/>
              <w:bottom w:val="nil"/>
              <w:right w:val="nil"/>
            </w:tcBorders>
            <w:shd w:val="clear" w:color="auto" w:fill="auto"/>
            <w:noWrap/>
            <w:vAlign w:val="center"/>
            <w:hideMark/>
          </w:tcPr>
          <w:p w14:paraId="7EC09BC4" w14:textId="77777777" w:rsidR="00FD0364" w:rsidRPr="00F7132F" w:rsidRDefault="00FD0364" w:rsidP="00F23ABE">
            <w:pPr>
              <w:spacing w:after="0" w:line="240" w:lineRule="auto"/>
              <w:rPr>
                <w:rFonts w:ascii="Verdana" w:eastAsia="Times New Roman" w:hAnsi="Verdana" w:cs="Calibri"/>
                <w:sz w:val="18"/>
                <w:szCs w:val="18"/>
                <w:lang w:eastAsia="pt-BR"/>
              </w:rPr>
            </w:pPr>
          </w:p>
        </w:tc>
        <w:tc>
          <w:tcPr>
            <w:tcW w:w="2231" w:type="dxa"/>
            <w:tcBorders>
              <w:top w:val="nil"/>
              <w:left w:val="nil"/>
              <w:bottom w:val="nil"/>
              <w:right w:val="nil"/>
            </w:tcBorders>
            <w:shd w:val="clear" w:color="auto" w:fill="auto"/>
            <w:noWrap/>
            <w:vAlign w:val="center"/>
            <w:hideMark/>
          </w:tcPr>
          <w:p w14:paraId="3E24A989" w14:textId="77777777" w:rsidR="00FD0364" w:rsidRPr="00F7132F" w:rsidRDefault="00FD0364" w:rsidP="00F23AB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13.630</w:t>
            </w:r>
          </w:p>
        </w:tc>
      </w:tr>
      <w:tr w:rsidR="00FD0364" w:rsidRPr="00116729" w14:paraId="57AC4C2D" w14:textId="77777777" w:rsidTr="00FD0364">
        <w:trPr>
          <w:trHeight w:val="29"/>
        </w:trPr>
        <w:tc>
          <w:tcPr>
            <w:tcW w:w="6345" w:type="dxa"/>
            <w:tcBorders>
              <w:top w:val="nil"/>
              <w:left w:val="nil"/>
              <w:bottom w:val="nil"/>
              <w:right w:val="nil"/>
            </w:tcBorders>
            <w:shd w:val="clear" w:color="auto" w:fill="auto"/>
            <w:noWrap/>
            <w:vAlign w:val="center"/>
            <w:hideMark/>
          </w:tcPr>
          <w:p w14:paraId="5D212160" w14:textId="77777777" w:rsidR="00FD0364" w:rsidRPr="00F7132F" w:rsidRDefault="00FD0364" w:rsidP="00F23ABE">
            <w:pPr>
              <w:spacing w:after="0" w:line="240" w:lineRule="auto"/>
              <w:jc w:val="right"/>
              <w:rPr>
                <w:rFonts w:ascii="Verdana" w:eastAsia="Times New Roman" w:hAnsi="Verdana" w:cs="Calibri"/>
                <w:sz w:val="18"/>
                <w:szCs w:val="18"/>
                <w:lang w:eastAsia="pt-BR"/>
              </w:rPr>
            </w:pPr>
          </w:p>
        </w:tc>
        <w:tc>
          <w:tcPr>
            <w:tcW w:w="273" w:type="dxa"/>
            <w:tcBorders>
              <w:top w:val="nil"/>
              <w:left w:val="nil"/>
              <w:bottom w:val="nil"/>
              <w:right w:val="nil"/>
            </w:tcBorders>
            <w:shd w:val="clear" w:color="auto" w:fill="auto"/>
            <w:noWrap/>
            <w:vAlign w:val="center"/>
            <w:hideMark/>
          </w:tcPr>
          <w:p w14:paraId="5B0A5A3B" w14:textId="77777777" w:rsidR="00FD0364" w:rsidRPr="00116729" w:rsidRDefault="00FD0364" w:rsidP="00F23ABE">
            <w:pPr>
              <w:spacing w:after="0" w:line="240" w:lineRule="auto"/>
              <w:rPr>
                <w:rFonts w:ascii="Times New Roman" w:eastAsia="Times New Roman" w:hAnsi="Times New Roman" w:cs="Times New Roman"/>
                <w:sz w:val="20"/>
                <w:szCs w:val="20"/>
                <w:lang w:eastAsia="pt-BR"/>
              </w:rPr>
            </w:pPr>
          </w:p>
        </w:tc>
        <w:tc>
          <w:tcPr>
            <w:tcW w:w="273" w:type="dxa"/>
            <w:tcBorders>
              <w:top w:val="nil"/>
              <w:left w:val="nil"/>
              <w:bottom w:val="nil"/>
              <w:right w:val="nil"/>
            </w:tcBorders>
            <w:shd w:val="clear" w:color="auto" w:fill="auto"/>
            <w:noWrap/>
            <w:vAlign w:val="center"/>
            <w:hideMark/>
          </w:tcPr>
          <w:p w14:paraId="37347B07" w14:textId="77777777" w:rsidR="00FD0364" w:rsidRPr="00116729" w:rsidRDefault="00FD0364" w:rsidP="00F23ABE">
            <w:pPr>
              <w:spacing w:after="0" w:line="240" w:lineRule="auto"/>
              <w:jc w:val="right"/>
              <w:rPr>
                <w:rFonts w:ascii="Times New Roman" w:eastAsia="Times New Roman" w:hAnsi="Times New Roman" w:cs="Times New Roman"/>
                <w:sz w:val="20"/>
                <w:szCs w:val="20"/>
                <w:lang w:eastAsia="pt-BR"/>
              </w:rPr>
            </w:pPr>
          </w:p>
        </w:tc>
        <w:tc>
          <w:tcPr>
            <w:tcW w:w="2231" w:type="dxa"/>
            <w:tcBorders>
              <w:top w:val="nil"/>
              <w:left w:val="nil"/>
              <w:bottom w:val="nil"/>
              <w:right w:val="nil"/>
            </w:tcBorders>
            <w:shd w:val="clear" w:color="auto" w:fill="auto"/>
            <w:noWrap/>
            <w:vAlign w:val="center"/>
            <w:hideMark/>
          </w:tcPr>
          <w:p w14:paraId="73607D1A" w14:textId="77777777" w:rsidR="00FD0364" w:rsidRPr="00116729" w:rsidRDefault="00FD0364" w:rsidP="00F23ABE">
            <w:pPr>
              <w:spacing w:after="0" w:line="240" w:lineRule="auto"/>
              <w:rPr>
                <w:rFonts w:ascii="Times New Roman" w:eastAsia="Times New Roman" w:hAnsi="Times New Roman" w:cs="Times New Roman"/>
                <w:sz w:val="20"/>
                <w:szCs w:val="20"/>
                <w:lang w:eastAsia="pt-BR"/>
              </w:rPr>
            </w:pPr>
          </w:p>
        </w:tc>
      </w:tr>
      <w:tr w:rsidR="00FD0364" w:rsidRPr="00116729" w14:paraId="6489BB82" w14:textId="77777777" w:rsidTr="00FD0364">
        <w:trPr>
          <w:trHeight w:val="29"/>
        </w:trPr>
        <w:tc>
          <w:tcPr>
            <w:tcW w:w="6345" w:type="dxa"/>
            <w:tcBorders>
              <w:top w:val="nil"/>
              <w:left w:val="nil"/>
              <w:bottom w:val="nil"/>
              <w:right w:val="nil"/>
            </w:tcBorders>
            <w:shd w:val="clear" w:color="auto" w:fill="auto"/>
            <w:noWrap/>
            <w:vAlign w:val="center"/>
            <w:hideMark/>
          </w:tcPr>
          <w:p w14:paraId="07F32C66" w14:textId="77777777" w:rsidR="00FD0364" w:rsidRPr="00F7132F" w:rsidRDefault="00FD0364" w:rsidP="00F23ABE">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Vida útil indefinida</w:t>
            </w:r>
          </w:p>
        </w:tc>
        <w:tc>
          <w:tcPr>
            <w:tcW w:w="273" w:type="dxa"/>
            <w:tcBorders>
              <w:top w:val="nil"/>
              <w:left w:val="nil"/>
              <w:bottom w:val="nil"/>
              <w:right w:val="nil"/>
            </w:tcBorders>
            <w:shd w:val="clear" w:color="auto" w:fill="auto"/>
            <w:noWrap/>
            <w:vAlign w:val="center"/>
            <w:hideMark/>
          </w:tcPr>
          <w:p w14:paraId="16FAF490" w14:textId="77777777" w:rsidR="00FD0364" w:rsidRPr="00F7132F" w:rsidRDefault="00FD0364" w:rsidP="00F23ABE">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73" w:type="dxa"/>
            <w:tcBorders>
              <w:top w:val="nil"/>
              <w:left w:val="nil"/>
              <w:bottom w:val="nil"/>
              <w:right w:val="nil"/>
            </w:tcBorders>
            <w:shd w:val="clear" w:color="auto" w:fill="auto"/>
            <w:noWrap/>
            <w:vAlign w:val="center"/>
            <w:hideMark/>
          </w:tcPr>
          <w:p w14:paraId="3484F1EF" w14:textId="77777777" w:rsidR="00FD0364" w:rsidRPr="00F7132F" w:rsidRDefault="00FD0364" w:rsidP="00F23ABE">
            <w:pPr>
              <w:spacing w:after="0" w:line="240" w:lineRule="auto"/>
              <w:jc w:val="center"/>
              <w:rPr>
                <w:rFonts w:ascii="Verdana" w:eastAsia="Times New Roman" w:hAnsi="Verdana" w:cs="Calibri"/>
                <w:sz w:val="18"/>
                <w:szCs w:val="18"/>
                <w:lang w:eastAsia="pt-BR"/>
              </w:rPr>
            </w:pPr>
          </w:p>
        </w:tc>
        <w:tc>
          <w:tcPr>
            <w:tcW w:w="2231" w:type="dxa"/>
            <w:tcBorders>
              <w:top w:val="nil"/>
              <w:left w:val="nil"/>
              <w:bottom w:val="nil"/>
              <w:right w:val="nil"/>
            </w:tcBorders>
            <w:shd w:val="clear" w:color="auto" w:fill="auto"/>
            <w:noWrap/>
            <w:vAlign w:val="center"/>
            <w:hideMark/>
          </w:tcPr>
          <w:p w14:paraId="6B422B73" w14:textId="77777777" w:rsidR="00FD0364" w:rsidRPr="00F7132F" w:rsidRDefault="00FD0364" w:rsidP="00F23ABE">
            <w:pPr>
              <w:spacing w:after="0" w:line="240" w:lineRule="auto"/>
              <w:jc w:val="right"/>
              <w:rPr>
                <w:rFonts w:ascii="Verdana" w:eastAsia="Times New Roman" w:hAnsi="Verdana" w:cs="Calibri"/>
                <w:sz w:val="18"/>
                <w:szCs w:val="18"/>
                <w:lang w:eastAsia="pt-BR"/>
              </w:rPr>
            </w:pPr>
          </w:p>
        </w:tc>
      </w:tr>
      <w:tr w:rsidR="00FD0364" w:rsidRPr="00116729" w14:paraId="7E411609" w14:textId="77777777" w:rsidTr="00FD0364">
        <w:trPr>
          <w:trHeight w:val="29"/>
        </w:trPr>
        <w:tc>
          <w:tcPr>
            <w:tcW w:w="6345" w:type="dxa"/>
            <w:tcBorders>
              <w:top w:val="nil"/>
              <w:left w:val="nil"/>
              <w:bottom w:val="nil"/>
              <w:right w:val="nil"/>
            </w:tcBorders>
            <w:shd w:val="clear" w:color="auto" w:fill="auto"/>
            <w:noWrap/>
            <w:vAlign w:val="center"/>
            <w:hideMark/>
          </w:tcPr>
          <w:p w14:paraId="12EB5740" w14:textId="77777777" w:rsidR="00FD0364" w:rsidRPr="00F7132F" w:rsidRDefault="00FD0364"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Ágio por rentabilidade futura</w:t>
            </w:r>
          </w:p>
        </w:tc>
        <w:tc>
          <w:tcPr>
            <w:tcW w:w="273" w:type="dxa"/>
            <w:tcBorders>
              <w:top w:val="nil"/>
              <w:left w:val="nil"/>
              <w:bottom w:val="nil"/>
              <w:right w:val="nil"/>
            </w:tcBorders>
            <w:shd w:val="clear" w:color="auto" w:fill="auto"/>
            <w:noWrap/>
            <w:vAlign w:val="center"/>
            <w:hideMark/>
          </w:tcPr>
          <w:p w14:paraId="697EF0BD" w14:textId="77777777" w:rsidR="00FD0364" w:rsidRPr="00F7132F" w:rsidRDefault="00FD0364" w:rsidP="00F23ABE">
            <w:pPr>
              <w:spacing w:after="0" w:line="240" w:lineRule="auto"/>
              <w:rPr>
                <w:rFonts w:ascii="Verdana" w:eastAsia="Times New Roman" w:hAnsi="Verdana" w:cs="Calibri"/>
                <w:sz w:val="18"/>
                <w:szCs w:val="18"/>
                <w:lang w:eastAsia="pt-BR"/>
              </w:rPr>
            </w:pPr>
          </w:p>
        </w:tc>
        <w:tc>
          <w:tcPr>
            <w:tcW w:w="273" w:type="dxa"/>
            <w:tcBorders>
              <w:top w:val="nil"/>
              <w:left w:val="nil"/>
              <w:bottom w:val="nil"/>
              <w:right w:val="nil"/>
            </w:tcBorders>
            <w:shd w:val="clear" w:color="auto" w:fill="auto"/>
            <w:noWrap/>
            <w:vAlign w:val="center"/>
            <w:hideMark/>
          </w:tcPr>
          <w:p w14:paraId="45E66F3B" w14:textId="77777777" w:rsidR="00FD0364" w:rsidRPr="00F7132F" w:rsidRDefault="00FD0364" w:rsidP="00F23ABE">
            <w:pPr>
              <w:spacing w:after="0" w:line="240" w:lineRule="auto"/>
              <w:jc w:val="right"/>
              <w:rPr>
                <w:rFonts w:ascii="Verdana" w:eastAsia="Times New Roman" w:hAnsi="Verdana" w:cs="Calibri"/>
                <w:sz w:val="18"/>
                <w:szCs w:val="18"/>
                <w:lang w:eastAsia="pt-BR"/>
              </w:rPr>
            </w:pPr>
          </w:p>
        </w:tc>
        <w:tc>
          <w:tcPr>
            <w:tcW w:w="2231" w:type="dxa"/>
            <w:tcBorders>
              <w:top w:val="nil"/>
              <w:left w:val="nil"/>
              <w:bottom w:val="nil"/>
              <w:right w:val="nil"/>
            </w:tcBorders>
            <w:shd w:val="clear" w:color="auto" w:fill="auto"/>
            <w:noWrap/>
            <w:vAlign w:val="center"/>
            <w:hideMark/>
          </w:tcPr>
          <w:p w14:paraId="34460BD7" w14:textId="77777777" w:rsidR="00FD0364" w:rsidRPr="00F7132F" w:rsidRDefault="00FD0364" w:rsidP="00F23AB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392.626</w:t>
            </w:r>
          </w:p>
        </w:tc>
      </w:tr>
      <w:tr w:rsidR="00FD0364" w:rsidRPr="00116729" w14:paraId="4048C316" w14:textId="77777777" w:rsidTr="00FD0364">
        <w:trPr>
          <w:trHeight w:val="29"/>
        </w:trPr>
        <w:tc>
          <w:tcPr>
            <w:tcW w:w="6345" w:type="dxa"/>
            <w:tcBorders>
              <w:top w:val="nil"/>
              <w:left w:val="nil"/>
              <w:bottom w:val="nil"/>
              <w:right w:val="nil"/>
            </w:tcBorders>
            <w:shd w:val="clear" w:color="auto" w:fill="auto"/>
            <w:noWrap/>
            <w:vAlign w:val="center"/>
            <w:hideMark/>
          </w:tcPr>
          <w:p w14:paraId="21F75CCB" w14:textId="77777777" w:rsidR="00FD0364" w:rsidRPr="00F7132F" w:rsidRDefault="00FD0364"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73" w:type="dxa"/>
            <w:tcBorders>
              <w:top w:val="nil"/>
              <w:left w:val="nil"/>
              <w:bottom w:val="nil"/>
              <w:right w:val="nil"/>
            </w:tcBorders>
            <w:shd w:val="clear" w:color="auto" w:fill="auto"/>
            <w:noWrap/>
            <w:vAlign w:val="center"/>
            <w:hideMark/>
          </w:tcPr>
          <w:p w14:paraId="29AFA599" w14:textId="77777777" w:rsidR="00FD0364" w:rsidRPr="00F7132F" w:rsidRDefault="00FD0364" w:rsidP="00F23ABE">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73" w:type="dxa"/>
            <w:tcBorders>
              <w:top w:val="nil"/>
              <w:left w:val="nil"/>
              <w:bottom w:val="nil"/>
              <w:right w:val="nil"/>
            </w:tcBorders>
            <w:shd w:val="clear" w:color="auto" w:fill="auto"/>
            <w:noWrap/>
            <w:vAlign w:val="center"/>
            <w:hideMark/>
          </w:tcPr>
          <w:p w14:paraId="5270ADDB" w14:textId="77777777" w:rsidR="00FD0364" w:rsidRPr="00F7132F" w:rsidRDefault="00FD0364" w:rsidP="00F23ABE">
            <w:pPr>
              <w:spacing w:after="0" w:line="240" w:lineRule="auto"/>
              <w:jc w:val="center"/>
              <w:rPr>
                <w:rFonts w:ascii="Verdana" w:eastAsia="Times New Roman" w:hAnsi="Verdana" w:cs="Calibri"/>
                <w:sz w:val="18"/>
                <w:szCs w:val="18"/>
                <w:lang w:eastAsia="pt-BR"/>
              </w:rPr>
            </w:pPr>
          </w:p>
        </w:tc>
        <w:tc>
          <w:tcPr>
            <w:tcW w:w="2231" w:type="dxa"/>
            <w:tcBorders>
              <w:top w:val="nil"/>
              <w:left w:val="nil"/>
              <w:bottom w:val="nil"/>
              <w:right w:val="nil"/>
            </w:tcBorders>
            <w:shd w:val="clear" w:color="auto" w:fill="auto"/>
            <w:noWrap/>
            <w:vAlign w:val="center"/>
            <w:hideMark/>
          </w:tcPr>
          <w:p w14:paraId="47CA8B24" w14:textId="77777777" w:rsidR="00FD0364" w:rsidRPr="00F7132F" w:rsidRDefault="00FD0364" w:rsidP="00F23ABE">
            <w:pPr>
              <w:spacing w:after="0" w:line="240" w:lineRule="auto"/>
              <w:jc w:val="right"/>
              <w:rPr>
                <w:rFonts w:ascii="Verdana" w:eastAsia="Times New Roman" w:hAnsi="Verdana" w:cs="Calibri"/>
                <w:sz w:val="18"/>
                <w:szCs w:val="18"/>
                <w:lang w:eastAsia="pt-BR"/>
              </w:rPr>
            </w:pPr>
          </w:p>
        </w:tc>
      </w:tr>
      <w:tr w:rsidR="00FD0364" w:rsidRPr="00116729" w14:paraId="1076641C" w14:textId="77777777" w:rsidTr="00FD0364">
        <w:trPr>
          <w:trHeight w:val="29"/>
        </w:trPr>
        <w:tc>
          <w:tcPr>
            <w:tcW w:w="6345" w:type="dxa"/>
            <w:tcBorders>
              <w:top w:val="nil"/>
              <w:left w:val="nil"/>
              <w:bottom w:val="nil"/>
              <w:right w:val="nil"/>
            </w:tcBorders>
            <w:shd w:val="clear" w:color="auto" w:fill="auto"/>
            <w:noWrap/>
            <w:vAlign w:val="center"/>
            <w:hideMark/>
          </w:tcPr>
          <w:p w14:paraId="4271091F" w14:textId="77777777" w:rsidR="00FD0364" w:rsidRPr="00F7132F" w:rsidRDefault="00FD0364" w:rsidP="00F23ABE">
            <w:pPr>
              <w:spacing w:after="0" w:line="240" w:lineRule="auto"/>
              <w:jc w:val="right"/>
              <w:rPr>
                <w:rFonts w:ascii="Verdana" w:eastAsia="Times New Roman" w:hAnsi="Verdana" w:cs="Calibri"/>
                <w:sz w:val="18"/>
                <w:szCs w:val="18"/>
                <w:lang w:eastAsia="pt-BR"/>
              </w:rPr>
            </w:pPr>
          </w:p>
        </w:tc>
        <w:tc>
          <w:tcPr>
            <w:tcW w:w="273" w:type="dxa"/>
            <w:tcBorders>
              <w:top w:val="nil"/>
              <w:left w:val="nil"/>
              <w:bottom w:val="nil"/>
              <w:right w:val="nil"/>
            </w:tcBorders>
            <w:shd w:val="clear" w:color="auto" w:fill="auto"/>
            <w:noWrap/>
            <w:vAlign w:val="center"/>
            <w:hideMark/>
          </w:tcPr>
          <w:p w14:paraId="0577B3D8" w14:textId="77777777" w:rsidR="00FD0364" w:rsidRPr="00116729" w:rsidRDefault="00FD0364" w:rsidP="00F23ABE">
            <w:pPr>
              <w:spacing w:after="0" w:line="240" w:lineRule="auto"/>
              <w:rPr>
                <w:rFonts w:ascii="Times New Roman" w:eastAsia="Times New Roman" w:hAnsi="Times New Roman" w:cs="Times New Roman"/>
                <w:sz w:val="20"/>
                <w:szCs w:val="20"/>
                <w:lang w:eastAsia="pt-BR"/>
              </w:rPr>
            </w:pPr>
          </w:p>
        </w:tc>
        <w:tc>
          <w:tcPr>
            <w:tcW w:w="273" w:type="dxa"/>
            <w:tcBorders>
              <w:top w:val="nil"/>
              <w:left w:val="nil"/>
              <w:bottom w:val="nil"/>
              <w:right w:val="nil"/>
            </w:tcBorders>
            <w:shd w:val="clear" w:color="auto" w:fill="auto"/>
            <w:noWrap/>
            <w:vAlign w:val="center"/>
            <w:hideMark/>
          </w:tcPr>
          <w:p w14:paraId="5C3B272E" w14:textId="77777777" w:rsidR="00FD0364" w:rsidRPr="00F7132F" w:rsidRDefault="00FD0364" w:rsidP="00F23ABE">
            <w:pPr>
              <w:spacing w:after="0" w:line="240" w:lineRule="auto"/>
              <w:jc w:val="right"/>
              <w:rPr>
                <w:rFonts w:ascii="Verdana" w:eastAsia="Times New Roman" w:hAnsi="Verdana" w:cs="Calibri"/>
                <w:b/>
                <w:bCs/>
                <w:sz w:val="18"/>
                <w:szCs w:val="18"/>
                <w:lang w:eastAsia="pt-BR"/>
              </w:rPr>
            </w:pPr>
          </w:p>
        </w:tc>
        <w:tc>
          <w:tcPr>
            <w:tcW w:w="2231" w:type="dxa"/>
            <w:tcBorders>
              <w:top w:val="single" w:sz="4" w:space="0" w:color="auto"/>
              <w:left w:val="nil"/>
              <w:bottom w:val="double" w:sz="6" w:space="0" w:color="auto"/>
              <w:right w:val="nil"/>
            </w:tcBorders>
            <w:shd w:val="clear" w:color="auto" w:fill="auto"/>
            <w:noWrap/>
            <w:vAlign w:val="center"/>
            <w:hideMark/>
          </w:tcPr>
          <w:p w14:paraId="645AF503" w14:textId="77777777" w:rsidR="00FD0364" w:rsidRPr="00F7132F" w:rsidRDefault="00FD0364" w:rsidP="00F23ABE">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471.194</w:t>
            </w:r>
          </w:p>
        </w:tc>
      </w:tr>
    </w:tbl>
    <w:p w14:paraId="28EB4EDB" w14:textId="77777777" w:rsidR="0014614C" w:rsidRPr="00F7132F" w:rsidRDefault="00581D1F" w:rsidP="0014614C">
      <w:pPr>
        <w:tabs>
          <w:tab w:val="left" w:pos="567"/>
          <w:tab w:val="left" w:pos="1134"/>
          <w:tab w:val="left" w:pos="1701"/>
          <w:tab w:val="left" w:pos="2268"/>
          <w:tab w:val="left" w:pos="2835"/>
        </w:tabs>
        <w:jc w:val="both"/>
        <w:outlineLvl w:val="0"/>
        <w:rPr>
          <w:rFonts w:ascii="Verdana" w:hAnsi="Verdana" w:cstheme="minorHAnsi"/>
          <w:b/>
        </w:rPr>
      </w:pPr>
      <w:r>
        <w:rPr>
          <w:rFonts w:ascii="Verdana" w:hAnsi="Verdana" w:cstheme="minorHAnsi"/>
          <w:b/>
        </w:rPr>
        <w:t>14</w:t>
      </w:r>
      <w:r w:rsidR="00F4139F" w:rsidRPr="00F7132F">
        <w:rPr>
          <w:rFonts w:ascii="Verdana" w:hAnsi="Verdana" w:cstheme="minorHAnsi"/>
          <w:b/>
        </w:rPr>
        <w:t xml:space="preserve"> </w:t>
      </w:r>
      <w:r w:rsidR="0014614C" w:rsidRPr="00F7132F">
        <w:rPr>
          <w:rFonts w:ascii="Verdana" w:hAnsi="Verdana" w:cstheme="minorHAnsi"/>
          <w:b/>
        </w:rPr>
        <w:t xml:space="preserve">– FORNECEDORES </w:t>
      </w:r>
    </w:p>
    <w:tbl>
      <w:tblPr>
        <w:tblW w:w="9221" w:type="dxa"/>
        <w:tblCellMar>
          <w:left w:w="70" w:type="dxa"/>
          <w:right w:w="70" w:type="dxa"/>
        </w:tblCellMar>
        <w:tblLook w:val="04A0" w:firstRow="1" w:lastRow="0" w:firstColumn="1" w:lastColumn="0" w:noHBand="0" w:noVBand="1"/>
      </w:tblPr>
      <w:tblGrid>
        <w:gridCol w:w="5153"/>
        <w:gridCol w:w="222"/>
        <w:gridCol w:w="1812"/>
        <w:gridCol w:w="222"/>
        <w:gridCol w:w="1812"/>
      </w:tblGrid>
      <w:tr w:rsidR="00F23ABE" w:rsidRPr="00116729" w14:paraId="14D0F52C" w14:textId="77777777" w:rsidTr="00F7132F">
        <w:trPr>
          <w:trHeight w:val="17"/>
        </w:trPr>
        <w:tc>
          <w:tcPr>
            <w:tcW w:w="5153" w:type="dxa"/>
            <w:tcBorders>
              <w:top w:val="nil"/>
              <w:left w:val="nil"/>
              <w:bottom w:val="nil"/>
              <w:right w:val="nil"/>
            </w:tcBorders>
            <w:shd w:val="clear" w:color="auto" w:fill="auto"/>
            <w:noWrap/>
            <w:vAlign w:val="bottom"/>
            <w:hideMark/>
          </w:tcPr>
          <w:p w14:paraId="663CE260" w14:textId="77777777" w:rsidR="00F23ABE" w:rsidRPr="00116729" w:rsidRDefault="00F23ABE" w:rsidP="00F23ABE">
            <w:pPr>
              <w:spacing w:after="0" w:line="240" w:lineRule="auto"/>
              <w:rPr>
                <w:rFonts w:ascii="Times New Roman" w:eastAsia="Times New Roman" w:hAnsi="Times New Roman" w:cs="Times New Roman"/>
                <w:sz w:val="24"/>
                <w:szCs w:val="24"/>
                <w:lang w:eastAsia="pt-BR"/>
              </w:rPr>
            </w:pPr>
          </w:p>
        </w:tc>
        <w:tc>
          <w:tcPr>
            <w:tcW w:w="222" w:type="dxa"/>
            <w:tcBorders>
              <w:top w:val="nil"/>
              <w:left w:val="nil"/>
              <w:bottom w:val="nil"/>
              <w:right w:val="nil"/>
            </w:tcBorders>
            <w:shd w:val="clear" w:color="auto" w:fill="auto"/>
            <w:noWrap/>
            <w:vAlign w:val="bottom"/>
            <w:hideMark/>
          </w:tcPr>
          <w:p w14:paraId="48C56D44" w14:textId="77777777" w:rsidR="00F23ABE" w:rsidRPr="00116729" w:rsidRDefault="00F23ABE" w:rsidP="00F23ABE">
            <w:pPr>
              <w:spacing w:after="0" w:line="240" w:lineRule="auto"/>
              <w:rPr>
                <w:rFonts w:ascii="Times New Roman" w:eastAsia="Times New Roman" w:hAnsi="Times New Roman" w:cs="Times New Roman"/>
                <w:sz w:val="20"/>
                <w:szCs w:val="20"/>
                <w:lang w:eastAsia="pt-BR"/>
              </w:rPr>
            </w:pPr>
          </w:p>
        </w:tc>
        <w:tc>
          <w:tcPr>
            <w:tcW w:w="1812" w:type="dxa"/>
            <w:tcBorders>
              <w:top w:val="nil"/>
              <w:left w:val="nil"/>
              <w:bottom w:val="single" w:sz="4" w:space="0" w:color="auto"/>
              <w:right w:val="nil"/>
            </w:tcBorders>
            <w:shd w:val="clear" w:color="auto" w:fill="auto"/>
            <w:noWrap/>
            <w:vAlign w:val="bottom"/>
            <w:hideMark/>
          </w:tcPr>
          <w:p w14:paraId="58FDB539" w14:textId="77777777" w:rsidR="00F23ABE" w:rsidRPr="00F7132F" w:rsidRDefault="00F23ABE" w:rsidP="00F23ABE">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Controladora</w:t>
            </w:r>
          </w:p>
        </w:tc>
        <w:tc>
          <w:tcPr>
            <w:tcW w:w="222" w:type="dxa"/>
            <w:tcBorders>
              <w:top w:val="nil"/>
              <w:left w:val="nil"/>
              <w:bottom w:val="nil"/>
              <w:right w:val="nil"/>
            </w:tcBorders>
            <w:shd w:val="clear" w:color="auto" w:fill="auto"/>
            <w:noWrap/>
            <w:vAlign w:val="bottom"/>
            <w:hideMark/>
          </w:tcPr>
          <w:p w14:paraId="181E3EA6" w14:textId="77777777" w:rsidR="00F23ABE" w:rsidRPr="00F7132F" w:rsidRDefault="00F23ABE" w:rsidP="00F23ABE">
            <w:pPr>
              <w:spacing w:after="0" w:line="240" w:lineRule="auto"/>
              <w:jc w:val="center"/>
              <w:rPr>
                <w:rFonts w:ascii="Verdana" w:eastAsia="Times New Roman" w:hAnsi="Verdana" w:cs="Calibri"/>
                <w:b/>
                <w:bCs/>
                <w:sz w:val="18"/>
                <w:szCs w:val="18"/>
                <w:lang w:eastAsia="pt-BR"/>
              </w:rPr>
            </w:pPr>
          </w:p>
        </w:tc>
        <w:tc>
          <w:tcPr>
            <w:tcW w:w="1812" w:type="dxa"/>
            <w:tcBorders>
              <w:top w:val="nil"/>
              <w:left w:val="nil"/>
              <w:bottom w:val="single" w:sz="4" w:space="0" w:color="auto"/>
              <w:right w:val="nil"/>
            </w:tcBorders>
            <w:shd w:val="clear" w:color="auto" w:fill="auto"/>
            <w:noWrap/>
            <w:vAlign w:val="bottom"/>
            <w:hideMark/>
          </w:tcPr>
          <w:p w14:paraId="5B563235" w14:textId="77777777" w:rsidR="00F23ABE" w:rsidRPr="00F7132F" w:rsidRDefault="00F23ABE" w:rsidP="00F23ABE">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Consolidado</w:t>
            </w:r>
          </w:p>
        </w:tc>
      </w:tr>
      <w:tr w:rsidR="00F23ABE" w:rsidRPr="00116729" w14:paraId="6BEB37BE" w14:textId="77777777" w:rsidTr="00F7132F">
        <w:trPr>
          <w:trHeight w:val="17"/>
        </w:trPr>
        <w:tc>
          <w:tcPr>
            <w:tcW w:w="5153" w:type="dxa"/>
            <w:tcBorders>
              <w:top w:val="nil"/>
              <w:left w:val="nil"/>
              <w:bottom w:val="nil"/>
              <w:right w:val="nil"/>
            </w:tcBorders>
            <w:shd w:val="clear" w:color="auto" w:fill="auto"/>
            <w:noWrap/>
            <w:vAlign w:val="center"/>
            <w:hideMark/>
          </w:tcPr>
          <w:p w14:paraId="2F5A4B43" w14:textId="77777777" w:rsidR="00F23ABE" w:rsidRPr="00F7132F" w:rsidRDefault="00F23ABE" w:rsidP="00F23ABE">
            <w:pPr>
              <w:spacing w:after="0" w:line="240" w:lineRule="auto"/>
              <w:jc w:val="center"/>
              <w:rPr>
                <w:rFonts w:ascii="Verdana" w:eastAsia="Times New Roman" w:hAnsi="Verdana" w:cs="Calibri"/>
                <w:b/>
                <w:bCs/>
                <w:sz w:val="18"/>
                <w:szCs w:val="18"/>
                <w:lang w:eastAsia="pt-BR"/>
              </w:rPr>
            </w:pPr>
          </w:p>
        </w:tc>
        <w:tc>
          <w:tcPr>
            <w:tcW w:w="222" w:type="dxa"/>
            <w:tcBorders>
              <w:top w:val="nil"/>
              <w:left w:val="nil"/>
              <w:bottom w:val="nil"/>
              <w:right w:val="nil"/>
            </w:tcBorders>
            <w:shd w:val="clear" w:color="auto" w:fill="auto"/>
            <w:noWrap/>
            <w:vAlign w:val="center"/>
            <w:hideMark/>
          </w:tcPr>
          <w:p w14:paraId="36061E9C" w14:textId="77777777" w:rsidR="00F23ABE" w:rsidRPr="00116729" w:rsidRDefault="00F23ABE" w:rsidP="00F23ABE">
            <w:pPr>
              <w:spacing w:after="0" w:line="240" w:lineRule="auto"/>
              <w:rPr>
                <w:rFonts w:ascii="Times New Roman" w:eastAsia="Times New Roman" w:hAnsi="Times New Roman" w:cs="Times New Roman"/>
                <w:sz w:val="20"/>
                <w:szCs w:val="20"/>
                <w:lang w:eastAsia="pt-BR"/>
              </w:rPr>
            </w:pPr>
          </w:p>
        </w:tc>
        <w:tc>
          <w:tcPr>
            <w:tcW w:w="1812" w:type="dxa"/>
            <w:tcBorders>
              <w:top w:val="nil"/>
              <w:left w:val="nil"/>
              <w:bottom w:val="single" w:sz="4" w:space="0" w:color="auto"/>
              <w:right w:val="nil"/>
            </w:tcBorders>
            <w:shd w:val="clear" w:color="auto" w:fill="auto"/>
            <w:noWrap/>
            <w:vAlign w:val="center"/>
            <w:hideMark/>
          </w:tcPr>
          <w:p w14:paraId="23D11546" w14:textId="77777777" w:rsidR="00F23ABE" w:rsidRPr="00F7132F" w:rsidRDefault="00F23ABE" w:rsidP="00F23ABE">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30/06/2022</w:t>
            </w:r>
          </w:p>
        </w:tc>
        <w:tc>
          <w:tcPr>
            <w:tcW w:w="222" w:type="dxa"/>
            <w:tcBorders>
              <w:top w:val="nil"/>
              <w:left w:val="nil"/>
              <w:bottom w:val="nil"/>
              <w:right w:val="nil"/>
            </w:tcBorders>
            <w:shd w:val="clear" w:color="auto" w:fill="auto"/>
            <w:noWrap/>
            <w:vAlign w:val="center"/>
            <w:hideMark/>
          </w:tcPr>
          <w:p w14:paraId="2729E6AA" w14:textId="77777777" w:rsidR="00F23ABE" w:rsidRPr="00F7132F" w:rsidRDefault="00F23ABE" w:rsidP="00F23ABE">
            <w:pPr>
              <w:spacing w:after="0" w:line="240" w:lineRule="auto"/>
              <w:jc w:val="center"/>
              <w:rPr>
                <w:rFonts w:ascii="Verdana" w:eastAsia="Times New Roman" w:hAnsi="Verdana" w:cs="Calibri"/>
                <w:b/>
                <w:bCs/>
                <w:sz w:val="18"/>
                <w:szCs w:val="18"/>
                <w:lang w:eastAsia="pt-BR"/>
              </w:rPr>
            </w:pPr>
          </w:p>
        </w:tc>
        <w:tc>
          <w:tcPr>
            <w:tcW w:w="1812" w:type="dxa"/>
            <w:tcBorders>
              <w:top w:val="nil"/>
              <w:left w:val="nil"/>
              <w:bottom w:val="single" w:sz="4" w:space="0" w:color="auto"/>
              <w:right w:val="nil"/>
            </w:tcBorders>
            <w:shd w:val="clear" w:color="auto" w:fill="auto"/>
            <w:noWrap/>
            <w:vAlign w:val="center"/>
            <w:hideMark/>
          </w:tcPr>
          <w:p w14:paraId="0D82BF22" w14:textId="77777777" w:rsidR="00F23ABE" w:rsidRPr="00F7132F" w:rsidRDefault="00F23ABE" w:rsidP="00F23ABE">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30/06/2022</w:t>
            </w:r>
          </w:p>
        </w:tc>
      </w:tr>
      <w:tr w:rsidR="00F23ABE" w:rsidRPr="00116729" w14:paraId="4D4104B3" w14:textId="77777777" w:rsidTr="00F7132F">
        <w:trPr>
          <w:trHeight w:val="17"/>
        </w:trPr>
        <w:tc>
          <w:tcPr>
            <w:tcW w:w="5153" w:type="dxa"/>
            <w:tcBorders>
              <w:top w:val="nil"/>
              <w:left w:val="nil"/>
              <w:bottom w:val="nil"/>
              <w:right w:val="nil"/>
            </w:tcBorders>
            <w:shd w:val="clear" w:color="auto" w:fill="auto"/>
            <w:noWrap/>
            <w:vAlign w:val="center"/>
            <w:hideMark/>
          </w:tcPr>
          <w:p w14:paraId="39C65D4C" w14:textId="77777777" w:rsidR="00F23ABE" w:rsidRPr="00F7132F" w:rsidRDefault="00F23ABE"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Bens, materiais e serviços:</w:t>
            </w:r>
          </w:p>
        </w:tc>
        <w:tc>
          <w:tcPr>
            <w:tcW w:w="222" w:type="dxa"/>
            <w:tcBorders>
              <w:top w:val="nil"/>
              <w:left w:val="nil"/>
              <w:bottom w:val="nil"/>
              <w:right w:val="nil"/>
            </w:tcBorders>
            <w:shd w:val="clear" w:color="auto" w:fill="auto"/>
            <w:noWrap/>
            <w:vAlign w:val="center"/>
            <w:hideMark/>
          </w:tcPr>
          <w:p w14:paraId="09F60E65" w14:textId="77777777" w:rsidR="00F23ABE" w:rsidRPr="00F7132F" w:rsidRDefault="00F23ABE" w:rsidP="00F23ABE">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12" w:type="dxa"/>
            <w:tcBorders>
              <w:top w:val="nil"/>
              <w:left w:val="nil"/>
              <w:bottom w:val="nil"/>
              <w:right w:val="nil"/>
            </w:tcBorders>
            <w:shd w:val="clear" w:color="auto" w:fill="auto"/>
            <w:noWrap/>
            <w:vAlign w:val="center"/>
            <w:hideMark/>
          </w:tcPr>
          <w:p w14:paraId="3F92EDBE" w14:textId="77777777" w:rsidR="00F23ABE" w:rsidRPr="00F7132F" w:rsidRDefault="00F23ABE" w:rsidP="00F23ABE">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22" w:type="dxa"/>
            <w:tcBorders>
              <w:top w:val="nil"/>
              <w:left w:val="nil"/>
              <w:bottom w:val="nil"/>
              <w:right w:val="nil"/>
            </w:tcBorders>
            <w:shd w:val="clear" w:color="auto" w:fill="auto"/>
            <w:noWrap/>
            <w:vAlign w:val="center"/>
            <w:hideMark/>
          </w:tcPr>
          <w:p w14:paraId="02B75C95" w14:textId="77777777" w:rsidR="00F23ABE" w:rsidRPr="00F7132F" w:rsidRDefault="00F23ABE" w:rsidP="00F23ABE">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12" w:type="dxa"/>
            <w:tcBorders>
              <w:top w:val="nil"/>
              <w:left w:val="nil"/>
              <w:bottom w:val="nil"/>
              <w:right w:val="nil"/>
            </w:tcBorders>
            <w:shd w:val="clear" w:color="auto" w:fill="auto"/>
            <w:noWrap/>
            <w:vAlign w:val="center"/>
            <w:hideMark/>
          </w:tcPr>
          <w:p w14:paraId="4F676957" w14:textId="77777777" w:rsidR="00F23ABE" w:rsidRPr="00F7132F" w:rsidRDefault="00F23ABE" w:rsidP="00F23ABE">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r>
      <w:tr w:rsidR="00F23ABE" w:rsidRPr="00116729" w14:paraId="154AA862" w14:textId="77777777" w:rsidTr="00F7132F">
        <w:trPr>
          <w:trHeight w:val="17"/>
        </w:trPr>
        <w:tc>
          <w:tcPr>
            <w:tcW w:w="5153" w:type="dxa"/>
            <w:tcBorders>
              <w:top w:val="nil"/>
              <w:left w:val="nil"/>
              <w:bottom w:val="nil"/>
              <w:right w:val="nil"/>
            </w:tcBorders>
            <w:shd w:val="clear" w:color="auto" w:fill="auto"/>
            <w:noWrap/>
            <w:vAlign w:val="center"/>
            <w:hideMark/>
          </w:tcPr>
          <w:p w14:paraId="525E2C8E" w14:textId="77777777" w:rsidR="00F23ABE" w:rsidRPr="00F7132F" w:rsidRDefault="00F23ABE"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Fatura processada</w:t>
            </w:r>
          </w:p>
        </w:tc>
        <w:tc>
          <w:tcPr>
            <w:tcW w:w="222" w:type="dxa"/>
            <w:tcBorders>
              <w:top w:val="nil"/>
              <w:left w:val="nil"/>
              <w:bottom w:val="nil"/>
              <w:right w:val="nil"/>
            </w:tcBorders>
            <w:shd w:val="clear" w:color="auto" w:fill="auto"/>
            <w:noWrap/>
            <w:vAlign w:val="center"/>
            <w:hideMark/>
          </w:tcPr>
          <w:p w14:paraId="01E02226" w14:textId="77777777" w:rsidR="00F23ABE" w:rsidRPr="00F7132F" w:rsidRDefault="00F23ABE" w:rsidP="00F23ABE">
            <w:pPr>
              <w:spacing w:after="0" w:line="240" w:lineRule="auto"/>
              <w:rPr>
                <w:rFonts w:ascii="Verdana" w:eastAsia="Times New Roman" w:hAnsi="Verdana" w:cs="Calibri"/>
                <w:sz w:val="18"/>
                <w:szCs w:val="18"/>
                <w:lang w:eastAsia="pt-BR"/>
              </w:rPr>
            </w:pPr>
          </w:p>
        </w:tc>
        <w:tc>
          <w:tcPr>
            <w:tcW w:w="1812" w:type="dxa"/>
            <w:tcBorders>
              <w:top w:val="nil"/>
              <w:left w:val="nil"/>
              <w:bottom w:val="nil"/>
              <w:right w:val="nil"/>
            </w:tcBorders>
            <w:shd w:val="clear" w:color="auto" w:fill="auto"/>
            <w:noWrap/>
            <w:vAlign w:val="center"/>
            <w:hideMark/>
          </w:tcPr>
          <w:p w14:paraId="0E8AC820" w14:textId="77777777" w:rsidR="00F23ABE" w:rsidRPr="00F7132F" w:rsidRDefault="00F23ABE" w:rsidP="00F23AB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1.334.917 </w:t>
            </w:r>
          </w:p>
        </w:tc>
        <w:tc>
          <w:tcPr>
            <w:tcW w:w="222" w:type="dxa"/>
            <w:tcBorders>
              <w:top w:val="nil"/>
              <w:left w:val="nil"/>
              <w:bottom w:val="nil"/>
              <w:right w:val="nil"/>
            </w:tcBorders>
            <w:shd w:val="clear" w:color="auto" w:fill="auto"/>
            <w:noWrap/>
            <w:vAlign w:val="center"/>
            <w:hideMark/>
          </w:tcPr>
          <w:p w14:paraId="7D2C2F91" w14:textId="77777777" w:rsidR="00F23ABE" w:rsidRPr="00F7132F" w:rsidRDefault="00F23ABE" w:rsidP="00F23ABE">
            <w:pPr>
              <w:spacing w:after="0" w:line="240" w:lineRule="auto"/>
              <w:jc w:val="right"/>
              <w:rPr>
                <w:rFonts w:ascii="Verdana" w:eastAsia="Times New Roman" w:hAnsi="Verdana" w:cs="Calibri"/>
                <w:sz w:val="18"/>
                <w:szCs w:val="18"/>
                <w:lang w:eastAsia="pt-BR"/>
              </w:rPr>
            </w:pPr>
          </w:p>
        </w:tc>
        <w:tc>
          <w:tcPr>
            <w:tcW w:w="1812" w:type="dxa"/>
            <w:tcBorders>
              <w:top w:val="nil"/>
              <w:left w:val="nil"/>
              <w:bottom w:val="nil"/>
              <w:right w:val="nil"/>
            </w:tcBorders>
            <w:shd w:val="clear" w:color="auto" w:fill="auto"/>
            <w:noWrap/>
            <w:vAlign w:val="center"/>
            <w:hideMark/>
          </w:tcPr>
          <w:p w14:paraId="2329CA82" w14:textId="77777777" w:rsidR="00F23ABE" w:rsidRPr="00F7132F" w:rsidRDefault="00F23ABE" w:rsidP="00F23AB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2.180.359 </w:t>
            </w:r>
          </w:p>
        </w:tc>
      </w:tr>
      <w:tr w:rsidR="00F23ABE" w:rsidRPr="00116729" w14:paraId="641AEAD6" w14:textId="77777777" w:rsidTr="00F7132F">
        <w:trPr>
          <w:trHeight w:val="17"/>
        </w:trPr>
        <w:tc>
          <w:tcPr>
            <w:tcW w:w="5153" w:type="dxa"/>
            <w:tcBorders>
              <w:top w:val="nil"/>
              <w:left w:val="nil"/>
              <w:bottom w:val="nil"/>
              <w:right w:val="nil"/>
            </w:tcBorders>
            <w:shd w:val="clear" w:color="auto" w:fill="auto"/>
            <w:noWrap/>
            <w:vAlign w:val="center"/>
            <w:hideMark/>
          </w:tcPr>
          <w:p w14:paraId="6C2A7231" w14:textId="77777777" w:rsidR="00F23ABE" w:rsidRPr="00F7132F" w:rsidRDefault="00F23ABE"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Variação cambial</w:t>
            </w:r>
          </w:p>
        </w:tc>
        <w:tc>
          <w:tcPr>
            <w:tcW w:w="222" w:type="dxa"/>
            <w:tcBorders>
              <w:top w:val="nil"/>
              <w:left w:val="nil"/>
              <w:bottom w:val="nil"/>
              <w:right w:val="nil"/>
            </w:tcBorders>
            <w:shd w:val="clear" w:color="auto" w:fill="auto"/>
            <w:noWrap/>
            <w:vAlign w:val="center"/>
            <w:hideMark/>
          </w:tcPr>
          <w:p w14:paraId="336BC3A7" w14:textId="77777777" w:rsidR="00F23ABE" w:rsidRPr="00F7132F" w:rsidRDefault="00F23ABE"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12" w:type="dxa"/>
            <w:tcBorders>
              <w:top w:val="nil"/>
              <w:left w:val="nil"/>
              <w:bottom w:val="nil"/>
              <w:right w:val="nil"/>
            </w:tcBorders>
            <w:shd w:val="clear" w:color="auto" w:fill="auto"/>
            <w:noWrap/>
            <w:vAlign w:val="center"/>
            <w:hideMark/>
          </w:tcPr>
          <w:p w14:paraId="483DAF44" w14:textId="77777777" w:rsidR="00F23ABE" w:rsidRPr="00F7132F" w:rsidRDefault="00F23ABE" w:rsidP="00F23AB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222" w:type="dxa"/>
            <w:tcBorders>
              <w:top w:val="nil"/>
              <w:left w:val="nil"/>
              <w:bottom w:val="nil"/>
              <w:right w:val="nil"/>
            </w:tcBorders>
            <w:shd w:val="clear" w:color="auto" w:fill="auto"/>
            <w:noWrap/>
            <w:vAlign w:val="center"/>
            <w:hideMark/>
          </w:tcPr>
          <w:p w14:paraId="01799621" w14:textId="77777777" w:rsidR="00F23ABE" w:rsidRPr="00F7132F" w:rsidRDefault="00F23ABE"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12" w:type="dxa"/>
            <w:tcBorders>
              <w:top w:val="nil"/>
              <w:left w:val="nil"/>
              <w:bottom w:val="nil"/>
              <w:right w:val="nil"/>
            </w:tcBorders>
            <w:shd w:val="clear" w:color="auto" w:fill="auto"/>
            <w:noWrap/>
            <w:vAlign w:val="center"/>
            <w:hideMark/>
          </w:tcPr>
          <w:p w14:paraId="30811BF9" w14:textId="77777777" w:rsidR="00F23ABE" w:rsidRPr="00F7132F" w:rsidRDefault="00F23ABE" w:rsidP="00F23AB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12.410 </w:t>
            </w:r>
          </w:p>
        </w:tc>
      </w:tr>
      <w:tr w:rsidR="00F23ABE" w:rsidRPr="00116729" w14:paraId="137BCCAF" w14:textId="77777777" w:rsidTr="00F7132F">
        <w:trPr>
          <w:trHeight w:val="17"/>
        </w:trPr>
        <w:tc>
          <w:tcPr>
            <w:tcW w:w="5153" w:type="dxa"/>
            <w:tcBorders>
              <w:top w:val="nil"/>
              <w:left w:val="nil"/>
              <w:bottom w:val="nil"/>
              <w:right w:val="nil"/>
            </w:tcBorders>
            <w:shd w:val="clear" w:color="auto" w:fill="auto"/>
            <w:noWrap/>
            <w:vAlign w:val="center"/>
            <w:hideMark/>
          </w:tcPr>
          <w:p w14:paraId="77AFEEBD" w14:textId="77777777" w:rsidR="00F23ABE" w:rsidRPr="00F7132F" w:rsidRDefault="00F23ABE"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Provisão</w:t>
            </w:r>
          </w:p>
        </w:tc>
        <w:tc>
          <w:tcPr>
            <w:tcW w:w="222" w:type="dxa"/>
            <w:tcBorders>
              <w:top w:val="nil"/>
              <w:left w:val="nil"/>
              <w:bottom w:val="nil"/>
              <w:right w:val="nil"/>
            </w:tcBorders>
            <w:shd w:val="clear" w:color="auto" w:fill="auto"/>
            <w:noWrap/>
            <w:vAlign w:val="center"/>
            <w:hideMark/>
          </w:tcPr>
          <w:p w14:paraId="3366CCD6" w14:textId="77777777" w:rsidR="00F23ABE" w:rsidRPr="00F7132F" w:rsidRDefault="00F23ABE" w:rsidP="00F23ABE">
            <w:pPr>
              <w:spacing w:after="0" w:line="240" w:lineRule="auto"/>
              <w:rPr>
                <w:rFonts w:ascii="Verdana" w:eastAsia="Times New Roman" w:hAnsi="Verdana" w:cs="Calibri"/>
                <w:sz w:val="18"/>
                <w:szCs w:val="18"/>
                <w:lang w:eastAsia="pt-BR"/>
              </w:rPr>
            </w:pPr>
          </w:p>
        </w:tc>
        <w:tc>
          <w:tcPr>
            <w:tcW w:w="1812" w:type="dxa"/>
            <w:tcBorders>
              <w:top w:val="nil"/>
              <w:left w:val="nil"/>
              <w:bottom w:val="nil"/>
              <w:right w:val="nil"/>
            </w:tcBorders>
            <w:shd w:val="clear" w:color="auto" w:fill="auto"/>
            <w:noWrap/>
            <w:vAlign w:val="center"/>
            <w:hideMark/>
          </w:tcPr>
          <w:p w14:paraId="09CCF11B" w14:textId="77777777" w:rsidR="00F23ABE" w:rsidRPr="00F7132F" w:rsidRDefault="00F23ABE" w:rsidP="00F23AB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273 </w:t>
            </w:r>
          </w:p>
        </w:tc>
        <w:tc>
          <w:tcPr>
            <w:tcW w:w="222" w:type="dxa"/>
            <w:tcBorders>
              <w:top w:val="nil"/>
              <w:left w:val="nil"/>
              <w:bottom w:val="nil"/>
              <w:right w:val="nil"/>
            </w:tcBorders>
            <w:shd w:val="clear" w:color="auto" w:fill="auto"/>
            <w:noWrap/>
            <w:vAlign w:val="center"/>
            <w:hideMark/>
          </w:tcPr>
          <w:p w14:paraId="164A579A" w14:textId="77777777" w:rsidR="00F23ABE" w:rsidRPr="00F7132F" w:rsidRDefault="00F23ABE" w:rsidP="00F23ABE">
            <w:pPr>
              <w:spacing w:after="0" w:line="240" w:lineRule="auto"/>
              <w:jc w:val="right"/>
              <w:rPr>
                <w:rFonts w:ascii="Verdana" w:eastAsia="Times New Roman" w:hAnsi="Verdana" w:cs="Calibri"/>
                <w:sz w:val="18"/>
                <w:szCs w:val="18"/>
                <w:lang w:eastAsia="pt-BR"/>
              </w:rPr>
            </w:pPr>
          </w:p>
        </w:tc>
        <w:tc>
          <w:tcPr>
            <w:tcW w:w="1812" w:type="dxa"/>
            <w:tcBorders>
              <w:top w:val="nil"/>
              <w:left w:val="nil"/>
              <w:bottom w:val="nil"/>
              <w:right w:val="nil"/>
            </w:tcBorders>
            <w:shd w:val="clear" w:color="auto" w:fill="auto"/>
            <w:noWrap/>
            <w:vAlign w:val="center"/>
            <w:hideMark/>
          </w:tcPr>
          <w:p w14:paraId="3D0F6AAA" w14:textId="77777777" w:rsidR="00F23ABE" w:rsidRPr="00F7132F" w:rsidRDefault="00F23ABE" w:rsidP="00F23AB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43.532 </w:t>
            </w:r>
          </w:p>
        </w:tc>
      </w:tr>
      <w:tr w:rsidR="00F23ABE" w:rsidRPr="00116729" w14:paraId="5E4EE1CE" w14:textId="77777777" w:rsidTr="00F7132F">
        <w:trPr>
          <w:trHeight w:val="17"/>
        </w:trPr>
        <w:tc>
          <w:tcPr>
            <w:tcW w:w="5153" w:type="dxa"/>
            <w:tcBorders>
              <w:top w:val="nil"/>
              <w:left w:val="nil"/>
              <w:bottom w:val="nil"/>
              <w:right w:val="nil"/>
            </w:tcBorders>
            <w:shd w:val="clear" w:color="auto" w:fill="auto"/>
            <w:noWrap/>
            <w:vAlign w:val="center"/>
            <w:hideMark/>
          </w:tcPr>
          <w:p w14:paraId="0F680FA6" w14:textId="77777777" w:rsidR="00F23ABE" w:rsidRPr="00F7132F" w:rsidRDefault="00F23ABE"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22" w:type="dxa"/>
            <w:tcBorders>
              <w:top w:val="nil"/>
              <w:left w:val="nil"/>
              <w:bottom w:val="nil"/>
              <w:right w:val="nil"/>
            </w:tcBorders>
            <w:shd w:val="clear" w:color="auto" w:fill="auto"/>
            <w:noWrap/>
            <w:vAlign w:val="center"/>
            <w:hideMark/>
          </w:tcPr>
          <w:p w14:paraId="262CFE04" w14:textId="77777777" w:rsidR="00F23ABE" w:rsidRPr="00F7132F" w:rsidRDefault="00F23ABE" w:rsidP="00F23ABE">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12" w:type="dxa"/>
            <w:tcBorders>
              <w:top w:val="single" w:sz="4" w:space="0" w:color="auto"/>
              <w:left w:val="nil"/>
              <w:bottom w:val="double" w:sz="6" w:space="0" w:color="auto"/>
              <w:right w:val="nil"/>
            </w:tcBorders>
            <w:shd w:val="clear" w:color="auto" w:fill="auto"/>
            <w:noWrap/>
            <w:vAlign w:val="center"/>
            <w:hideMark/>
          </w:tcPr>
          <w:p w14:paraId="2719A776" w14:textId="77777777" w:rsidR="00F23ABE" w:rsidRPr="00F7132F" w:rsidRDefault="00F23ABE" w:rsidP="00F23ABE">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xml:space="preserve">       1.335.190 </w:t>
            </w:r>
          </w:p>
        </w:tc>
        <w:tc>
          <w:tcPr>
            <w:tcW w:w="222" w:type="dxa"/>
            <w:tcBorders>
              <w:top w:val="nil"/>
              <w:left w:val="nil"/>
              <w:bottom w:val="nil"/>
              <w:right w:val="nil"/>
            </w:tcBorders>
            <w:shd w:val="clear" w:color="auto" w:fill="auto"/>
            <w:noWrap/>
            <w:vAlign w:val="center"/>
            <w:hideMark/>
          </w:tcPr>
          <w:p w14:paraId="1E3A22B3" w14:textId="77777777" w:rsidR="00F23ABE" w:rsidRPr="00F7132F" w:rsidRDefault="00F23ABE"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12" w:type="dxa"/>
            <w:tcBorders>
              <w:top w:val="single" w:sz="4" w:space="0" w:color="auto"/>
              <w:left w:val="nil"/>
              <w:bottom w:val="double" w:sz="6" w:space="0" w:color="auto"/>
              <w:right w:val="nil"/>
            </w:tcBorders>
            <w:shd w:val="clear" w:color="auto" w:fill="auto"/>
            <w:noWrap/>
            <w:vAlign w:val="center"/>
            <w:hideMark/>
          </w:tcPr>
          <w:p w14:paraId="3751F5C9" w14:textId="77777777" w:rsidR="00F23ABE" w:rsidRPr="00F7132F" w:rsidRDefault="00F23ABE" w:rsidP="00F23ABE">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xml:space="preserve">       2.236.301 </w:t>
            </w:r>
          </w:p>
        </w:tc>
      </w:tr>
    </w:tbl>
    <w:p w14:paraId="1339881C" w14:textId="77777777" w:rsidR="0014614C" w:rsidRPr="00116729" w:rsidRDefault="0014614C" w:rsidP="000B3334">
      <w:pPr>
        <w:spacing w:after="0"/>
        <w:rPr>
          <w:rFonts w:ascii="Verdana" w:hAnsi="Verdana" w:cstheme="minorHAnsi"/>
          <w:noProof/>
          <w:lang w:eastAsia="pt-BR"/>
        </w:rPr>
      </w:pPr>
    </w:p>
    <w:p w14:paraId="21275FB5" w14:textId="77777777" w:rsidR="00DB2D0B" w:rsidRDefault="00DB2D0B" w:rsidP="00DB2D0B">
      <w:pPr>
        <w:jc w:val="both"/>
        <w:rPr>
          <w:rFonts w:ascii="Verdana" w:hAnsi="Verdana" w:cstheme="minorHAnsi"/>
        </w:rPr>
      </w:pPr>
      <w:r w:rsidRPr="00F7132F">
        <w:rPr>
          <w:rFonts w:ascii="Verdana" w:hAnsi="Verdana" w:cstheme="minorHAnsi"/>
        </w:rPr>
        <w:t>O montante da fatura processada compreende</w:t>
      </w:r>
      <w:r w:rsidR="0012625D" w:rsidRPr="00F7132F">
        <w:rPr>
          <w:rFonts w:ascii="Verdana" w:hAnsi="Verdana" w:cstheme="minorHAnsi"/>
        </w:rPr>
        <w:t>, substancialmente,</w:t>
      </w:r>
      <w:r w:rsidRPr="00F7132F">
        <w:rPr>
          <w:rFonts w:ascii="Verdana" w:hAnsi="Verdana" w:cstheme="minorHAnsi"/>
        </w:rPr>
        <w:t xml:space="preserve"> a energia comprada de Itaipu.</w:t>
      </w:r>
    </w:p>
    <w:p w14:paraId="7E8F6BCE" w14:textId="77777777" w:rsidR="002B1787" w:rsidRPr="00F7132F" w:rsidRDefault="00581D1F" w:rsidP="00E406F0">
      <w:pPr>
        <w:tabs>
          <w:tab w:val="left" w:pos="567"/>
          <w:tab w:val="left" w:pos="1134"/>
          <w:tab w:val="left" w:pos="1701"/>
          <w:tab w:val="left" w:pos="2268"/>
          <w:tab w:val="left" w:pos="2835"/>
        </w:tabs>
        <w:jc w:val="both"/>
        <w:outlineLvl w:val="0"/>
        <w:rPr>
          <w:rFonts w:ascii="Verdana" w:hAnsi="Verdana" w:cstheme="minorHAnsi"/>
          <w:b/>
        </w:rPr>
      </w:pPr>
      <w:r>
        <w:rPr>
          <w:rFonts w:ascii="Verdana" w:hAnsi="Verdana" w:cstheme="minorHAnsi"/>
          <w:b/>
        </w:rPr>
        <w:t>15</w:t>
      </w:r>
      <w:r w:rsidR="00F4139F" w:rsidRPr="00F7132F">
        <w:rPr>
          <w:rFonts w:ascii="Verdana" w:hAnsi="Verdana" w:cstheme="minorHAnsi"/>
          <w:b/>
        </w:rPr>
        <w:t xml:space="preserve"> </w:t>
      </w:r>
      <w:r w:rsidR="002B1787" w:rsidRPr="00F7132F">
        <w:rPr>
          <w:rFonts w:ascii="Verdana" w:hAnsi="Verdana" w:cstheme="minorHAnsi"/>
          <w:b/>
        </w:rPr>
        <w:t xml:space="preserve">– EMPRÉSTIMOS E FINANCIAMENTOS </w:t>
      </w:r>
    </w:p>
    <w:p w14:paraId="5F27C1DC" w14:textId="77777777" w:rsidR="00E55C8F" w:rsidRPr="00F7132F" w:rsidRDefault="00E55C8F" w:rsidP="00E406F0">
      <w:pPr>
        <w:jc w:val="both"/>
        <w:rPr>
          <w:rFonts w:ascii="Verdana" w:hAnsi="Verdana" w:cstheme="minorHAnsi"/>
        </w:rPr>
      </w:pPr>
      <w:r w:rsidRPr="00F7132F">
        <w:rPr>
          <w:rFonts w:ascii="Verdana" w:hAnsi="Verdana" w:cstheme="minorHAnsi"/>
        </w:rPr>
        <w:t xml:space="preserve">A composição dos empréstimos e financiamentos devidos pela controlada Eletronuclear está demonstrada a seguir: </w:t>
      </w:r>
    </w:p>
    <w:tbl>
      <w:tblPr>
        <w:tblW w:w="9335" w:type="dxa"/>
        <w:tblCellMar>
          <w:left w:w="70" w:type="dxa"/>
          <w:right w:w="70" w:type="dxa"/>
        </w:tblCellMar>
        <w:tblLook w:val="04A0" w:firstRow="1" w:lastRow="0" w:firstColumn="1" w:lastColumn="0" w:noHBand="0" w:noVBand="1"/>
      </w:tblPr>
      <w:tblGrid>
        <w:gridCol w:w="4486"/>
        <w:gridCol w:w="1357"/>
        <w:gridCol w:w="159"/>
        <w:gridCol w:w="1509"/>
        <w:gridCol w:w="159"/>
        <w:gridCol w:w="1665"/>
      </w:tblGrid>
      <w:tr w:rsidR="00577BA2" w:rsidRPr="00577BA2" w14:paraId="5D6A8FEB" w14:textId="77777777" w:rsidTr="006B5F69">
        <w:trPr>
          <w:trHeight w:val="26"/>
        </w:trPr>
        <w:tc>
          <w:tcPr>
            <w:tcW w:w="4486" w:type="dxa"/>
            <w:tcBorders>
              <w:top w:val="nil"/>
              <w:left w:val="nil"/>
              <w:bottom w:val="nil"/>
              <w:right w:val="nil"/>
            </w:tcBorders>
            <w:shd w:val="clear" w:color="auto" w:fill="auto"/>
            <w:noWrap/>
            <w:vAlign w:val="bottom"/>
            <w:hideMark/>
          </w:tcPr>
          <w:p w14:paraId="1344F0DD" w14:textId="77777777" w:rsidR="00577BA2" w:rsidRPr="00577BA2" w:rsidRDefault="00577BA2" w:rsidP="00577BA2">
            <w:pPr>
              <w:spacing w:after="0" w:line="240" w:lineRule="auto"/>
              <w:rPr>
                <w:rFonts w:ascii="Times New Roman" w:eastAsia="Times New Roman" w:hAnsi="Times New Roman" w:cs="Times New Roman"/>
                <w:sz w:val="24"/>
                <w:szCs w:val="24"/>
                <w:lang w:eastAsia="pt-BR"/>
              </w:rPr>
            </w:pPr>
          </w:p>
        </w:tc>
        <w:tc>
          <w:tcPr>
            <w:tcW w:w="4849" w:type="dxa"/>
            <w:gridSpan w:val="5"/>
            <w:tcBorders>
              <w:top w:val="nil"/>
              <w:left w:val="nil"/>
              <w:bottom w:val="single" w:sz="4" w:space="0" w:color="auto"/>
              <w:right w:val="nil"/>
            </w:tcBorders>
            <w:shd w:val="clear" w:color="auto" w:fill="auto"/>
            <w:noWrap/>
            <w:vAlign w:val="bottom"/>
            <w:hideMark/>
          </w:tcPr>
          <w:p w14:paraId="56D8FCE4" w14:textId="77777777" w:rsidR="00577BA2" w:rsidRPr="00577BA2" w:rsidRDefault="00577BA2" w:rsidP="00577BA2">
            <w:pPr>
              <w:spacing w:after="0" w:line="240" w:lineRule="auto"/>
              <w:jc w:val="center"/>
              <w:rPr>
                <w:rFonts w:ascii="Verdana" w:eastAsia="Times New Roman" w:hAnsi="Verdana" w:cs="Calibri"/>
                <w:b/>
                <w:bCs/>
                <w:sz w:val="18"/>
                <w:szCs w:val="18"/>
                <w:lang w:eastAsia="pt-BR"/>
              </w:rPr>
            </w:pPr>
            <w:r w:rsidRPr="00577BA2">
              <w:rPr>
                <w:rFonts w:ascii="Verdana" w:eastAsia="Times New Roman" w:hAnsi="Verdana" w:cs="Calibri"/>
                <w:b/>
                <w:bCs/>
                <w:sz w:val="18"/>
                <w:szCs w:val="18"/>
                <w:lang w:eastAsia="pt-BR"/>
              </w:rPr>
              <w:t>Consolidado</w:t>
            </w:r>
          </w:p>
        </w:tc>
      </w:tr>
      <w:tr w:rsidR="00577BA2" w:rsidRPr="00577BA2" w14:paraId="0A3D84EA" w14:textId="77777777" w:rsidTr="006B5F69">
        <w:trPr>
          <w:trHeight w:val="26"/>
        </w:trPr>
        <w:tc>
          <w:tcPr>
            <w:tcW w:w="4486" w:type="dxa"/>
            <w:tcBorders>
              <w:top w:val="nil"/>
              <w:left w:val="nil"/>
              <w:bottom w:val="nil"/>
              <w:right w:val="nil"/>
            </w:tcBorders>
            <w:shd w:val="clear" w:color="auto" w:fill="auto"/>
            <w:noWrap/>
            <w:vAlign w:val="bottom"/>
            <w:hideMark/>
          </w:tcPr>
          <w:p w14:paraId="5C200316" w14:textId="77777777" w:rsidR="00577BA2" w:rsidRPr="00577BA2" w:rsidRDefault="00577BA2" w:rsidP="00577BA2">
            <w:pPr>
              <w:spacing w:after="0" w:line="240" w:lineRule="auto"/>
              <w:jc w:val="center"/>
              <w:rPr>
                <w:rFonts w:ascii="Verdana" w:eastAsia="Times New Roman" w:hAnsi="Verdana" w:cs="Calibri"/>
                <w:b/>
                <w:bCs/>
                <w:sz w:val="18"/>
                <w:szCs w:val="18"/>
                <w:lang w:eastAsia="pt-BR"/>
              </w:rPr>
            </w:pPr>
          </w:p>
        </w:tc>
        <w:tc>
          <w:tcPr>
            <w:tcW w:w="4849" w:type="dxa"/>
            <w:gridSpan w:val="5"/>
            <w:tcBorders>
              <w:top w:val="single" w:sz="4" w:space="0" w:color="auto"/>
              <w:left w:val="nil"/>
              <w:bottom w:val="single" w:sz="4" w:space="0" w:color="auto"/>
              <w:right w:val="nil"/>
            </w:tcBorders>
            <w:shd w:val="clear" w:color="auto" w:fill="auto"/>
            <w:noWrap/>
            <w:vAlign w:val="bottom"/>
            <w:hideMark/>
          </w:tcPr>
          <w:p w14:paraId="53233F3A" w14:textId="77777777" w:rsidR="00577BA2" w:rsidRPr="00577BA2" w:rsidRDefault="00577BA2" w:rsidP="00577BA2">
            <w:pPr>
              <w:spacing w:after="0" w:line="240" w:lineRule="auto"/>
              <w:jc w:val="center"/>
              <w:rPr>
                <w:rFonts w:ascii="Verdana" w:eastAsia="Times New Roman" w:hAnsi="Verdana" w:cs="Calibri"/>
                <w:sz w:val="18"/>
                <w:szCs w:val="18"/>
                <w:lang w:eastAsia="pt-BR"/>
              </w:rPr>
            </w:pPr>
            <w:r w:rsidRPr="00577BA2">
              <w:rPr>
                <w:rFonts w:ascii="Verdana" w:eastAsia="Times New Roman" w:hAnsi="Verdana" w:cs="Calibri"/>
                <w:sz w:val="18"/>
                <w:szCs w:val="18"/>
                <w:lang w:eastAsia="pt-BR"/>
              </w:rPr>
              <w:t>30/06/2022</w:t>
            </w:r>
          </w:p>
        </w:tc>
      </w:tr>
      <w:tr w:rsidR="00577BA2" w:rsidRPr="00577BA2" w14:paraId="4BBE4BB1" w14:textId="77777777" w:rsidTr="006B5F69">
        <w:trPr>
          <w:trHeight w:val="26"/>
        </w:trPr>
        <w:tc>
          <w:tcPr>
            <w:tcW w:w="4486" w:type="dxa"/>
            <w:tcBorders>
              <w:top w:val="nil"/>
              <w:left w:val="nil"/>
              <w:bottom w:val="nil"/>
              <w:right w:val="nil"/>
            </w:tcBorders>
            <w:shd w:val="clear" w:color="auto" w:fill="auto"/>
            <w:noWrap/>
            <w:vAlign w:val="bottom"/>
            <w:hideMark/>
          </w:tcPr>
          <w:p w14:paraId="7520CD9C" w14:textId="77777777" w:rsidR="00577BA2" w:rsidRPr="00577BA2" w:rsidRDefault="00577BA2" w:rsidP="00577BA2">
            <w:pPr>
              <w:spacing w:after="0" w:line="240" w:lineRule="auto"/>
              <w:jc w:val="center"/>
              <w:rPr>
                <w:rFonts w:ascii="Verdana" w:eastAsia="Times New Roman" w:hAnsi="Verdana" w:cs="Calibri"/>
                <w:sz w:val="18"/>
                <w:szCs w:val="18"/>
                <w:lang w:eastAsia="pt-BR"/>
              </w:rPr>
            </w:pPr>
          </w:p>
        </w:tc>
        <w:tc>
          <w:tcPr>
            <w:tcW w:w="1357" w:type="dxa"/>
            <w:tcBorders>
              <w:top w:val="nil"/>
              <w:left w:val="nil"/>
              <w:bottom w:val="single" w:sz="4" w:space="0" w:color="auto"/>
              <w:right w:val="nil"/>
            </w:tcBorders>
            <w:shd w:val="clear" w:color="auto" w:fill="auto"/>
            <w:noWrap/>
            <w:vAlign w:val="center"/>
            <w:hideMark/>
          </w:tcPr>
          <w:p w14:paraId="067CDA41" w14:textId="77777777" w:rsidR="00577BA2" w:rsidRPr="00577BA2" w:rsidRDefault="00577BA2" w:rsidP="00577BA2">
            <w:pPr>
              <w:spacing w:after="0" w:line="240" w:lineRule="auto"/>
              <w:jc w:val="center"/>
              <w:rPr>
                <w:rFonts w:ascii="Verdana" w:eastAsia="Times New Roman" w:hAnsi="Verdana" w:cs="Calibri"/>
                <w:sz w:val="18"/>
                <w:szCs w:val="18"/>
                <w:lang w:eastAsia="pt-BR"/>
              </w:rPr>
            </w:pPr>
            <w:r w:rsidRPr="00577BA2">
              <w:rPr>
                <w:rFonts w:ascii="Verdana" w:eastAsia="Times New Roman" w:hAnsi="Verdana" w:cs="Calibri"/>
                <w:sz w:val="18"/>
                <w:szCs w:val="18"/>
                <w:lang w:eastAsia="pt-BR"/>
              </w:rPr>
              <w:t>Taxa Média</w:t>
            </w:r>
          </w:p>
        </w:tc>
        <w:tc>
          <w:tcPr>
            <w:tcW w:w="159" w:type="dxa"/>
            <w:tcBorders>
              <w:top w:val="nil"/>
              <w:left w:val="nil"/>
              <w:bottom w:val="nil"/>
              <w:right w:val="nil"/>
            </w:tcBorders>
            <w:shd w:val="clear" w:color="auto" w:fill="auto"/>
            <w:noWrap/>
            <w:vAlign w:val="center"/>
            <w:hideMark/>
          </w:tcPr>
          <w:p w14:paraId="7ECD9766" w14:textId="77777777" w:rsidR="00577BA2" w:rsidRPr="00577BA2" w:rsidRDefault="00577BA2" w:rsidP="00577BA2">
            <w:pPr>
              <w:spacing w:after="0" w:line="240" w:lineRule="auto"/>
              <w:jc w:val="center"/>
              <w:rPr>
                <w:rFonts w:ascii="Verdana" w:eastAsia="Times New Roman" w:hAnsi="Verdana" w:cs="Calibri"/>
                <w:sz w:val="18"/>
                <w:szCs w:val="18"/>
                <w:lang w:eastAsia="pt-BR"/>
              </w:rPr>
            </w:pPr>
          </w:p>
        </w:tc>
        <w:tc>
          <w:tcPr>
            <w:tcW w:w="1509" w:type="dxa"/>
            <w:tcBorders>
              <w:top w:val="nil"/>
              <w:left w:val="nil"/>
              <w:bottom w:val="single" w:sz="4" w:space="0" w:color="auto"/>
              <w:right w:val="nil"/>
            </w:tcBorders>
            <w:shd w:val="clear" w:color="auto" w:fill="auto"/>
            <w:noWrap/>
            <w:vAlign w:val="center"/>
            <w:hideMark/>
          </w:tcPr>
          <w:p w14:paraId="30360F34" w14:textId="77777777" w:rsidR="00577BA2" w:rsidRPr="00577BA2" w:rsidRDefault="00577BA2" w:rsidP="00577BA2">
            <w:pPr>
              <w:spacing w:after="0" w:line="240" w:lineRule="auto"/>
              <w:jc w:val="center"/>
              <w:rPr>
                <w:rFonts w:ascii="Verdana" w:eastAsia="Times New Roman" w:hAnsi="Verdana" w:cs="Calibri"/>
                <w:sz w:val="18"/>
                <w:szCs w:val="18"/>
                <w:lang w:eastAsia="pt-BR"/>
              </w:rPr>
            </w:pPr>
            <w:r w:rsidRPr="00577BA2">
              <w:rPr>
                <w:rFonts w:ascii="Verdana" w:eastAsia="Times New Roman" w:hAnsi="Verdana" w:cs="Calibri"/>
                <w:sz w:val="18"/>
                <w:szCs w:val="18"/>
                <w:lang w:eastAsia="pt-BR"/>
              </w:rPr>
              <w:t>Circulante</w:t>
            </w:r>
          </w:p>
        </w:tc>
        <w:tc>
          <w:tcPr>
            <w:tcW w:w="159" w:type="dxa"/>
            <w:tcBorders>
              <w:top w:val="nil"/>
              <w:left w:val="nil"/>
              <w:bottom w:val="nil"/>
              <w:right w:val="nil"/>
            </w:tcBorders>
            <w:shd w:val="clear" w:color="auto" w:fill="auto"/>
            <w:noWrap/>
            <w:vAlign w:val="center"/>
            <w:hideMark/>
          </w:tcPr>
          <w:p w14:paraId="24F20E24" w14:textId="77777777" w:rsidR="00577BA2" w:rsidRPr="00577BA2" w:rsidRDefault="00577BA2" w:rsidP="00577BA2">
            <w:pPr>
              <w:spacing w:after="0" w:line="240" w:lineRule="auto"/>
              <w:jc w:val="center"/>
              <w:rPr>
                <w:rFonts w:ascii="Verdana" w:eastAsia="Times New Roman" w:hAnsi="Verdana" w:cs="Calibri"/>
                <w:sz w:val="18"/>
                <w:szCs w:val="18"/>
                <w:lang w:eastAsia="pt-BR"/>
              </w:rPr>
            </w:pPr>
          </w:p>
        </w:tc>
        <w:tc>
          <w:tcPr>
            <w:tcW w:w="1663" w:type="dxa"/>
            <w:tcBorders>
              <w:top w:val="nil"/>
              <w:left w:val="nil"/>
              <w:bottom w:val="single" w:sz="4" w:space="0" w:color="auto"/>
              <w:right w:val="nil"/>
            </w:tcBorders>
            <w:shd w:val="clear" w:color="auto" w:fill="auto"/>
            <w:vAlign w:val="center"/>
            <w:hideMark/>
          </w:tcPr>
          <w:p w14:paraId="75154328" w14:textId="77777777" w:rsidR="00577BA2" w:rsidRPr="00577BA2" w:rsidRDefault="00577BA2" w:rsidP="00577BA2">
            <w:pPr>
              <w:spacing w:after="0" w:line="240" w:lineRule="auto"/>
              <w:jc w:val="center"/>
              <w:rPr>
                <w:rFonts w:ascii="Verdana" w:eastAsia="Times New Roman" w:hAnsi="Verdana" w:cs="Calibri"/>
                <w:sz w:val="18"/>
                <w:szCs w:val="18"/>
                <w:lang w:eastAsia="pt-BR"/>
              </w:rPr>
            </w:pPr>
            <w:r w:rsidRPr="00577BA2">
              <w:rPr>
                <w:rFonts w:ascii="Verdana" w:eastAsia="Times New Roman" w:hAnsi="Verdana" w:cs="Calibri"/>
                <w:sz w:val="18"/>
                <w:szCs w:val="18"/>
                <w:lang w:eastAsia="pt-BR"/>
              </w:rPr>
              <w:t>Não Circulante</w:t>
            </w:r>
          </w:p>
        </w:tc>
      </w:tr>
      <w:tr w:rsidR="00577BA2" w:rsidRPr="00577BA2" w14:paraId="77E27649" w14:textId="77777777" w:rsidTr="006B5F69">
        <w:trPr>
          <w:trHeight w:val="26"/>
        </w:trPr>
        <w:tc>
          <w:tcPr>
            <w:tcW w:w="4486" w:type="dxa"/>
            <w:tcBorders>
              <w:top w:val="nil"/>
              <w:left w:val="nil"/>
              <w:bottom w:val="nil"/>
              <w:right w:val="nil"/>
            </w:tcBorders>
            <w:shd w:val="clear" w:color="auto" w:fill="auto"/>
            <w:noWrap/>
            <w:vAlign w:val="center"/>
            <w:hideMark/>
          </w:tcPr>
          <w:p w14:paraId="5E6AB05F" w14:textId="77777777" w:rsidR="00577BA2" w:rsidRPr="00577BA2" w:rsidRDefault="00577BA2" w:rsidP="00577BA2">
            <w:pPr>
              <w:spacing w:after="0" w:line="240" w:lineRule="auto"/>
              <w:rPr>
                <w:rFonts w:ascii="Verdana" w:eastAsia="Times New Roman" w:hAnsi="Verdana" w:cs="Calibri"/>
                <w:b/>
                <w:bCs/>
                <w:sz w:val="18"/>
                <w:szCs w:val="18"/>
                <w:lang w:eastAsia="pt-BR"/>
              </w:rPr>
            </w:pPr>
            <w:r w:rsidRPr="00577BA2">
              <w:rPr>
                <w:rFonts w:ascii="Verdana" w:eastAsia="Times New Roman" w:hAnsi="Verdana" w:cs="Calibri"/>
                <w:b/>
                <w:bCs/>
                <w:sz w:val="18"/>
                <w:szCs w:val="18"/>
                <w:lang w:eastAsia="pt-BR"/>
              </w:rPr>
              <w:t>ANGRAS 1 e 2:</w:t>
            </w:r>
          </w:p>
        </w:tc>
        <w:tc>
          <w:tcPr>
            <w:tcW w:w="1357" w:type="dxa"/>
            <w:tcBorders>
              <w:top w:val="nil"/>
              <w:left w:val="nil"/>
              <w:bottom w:val="nil"/>
              <w:right w:val="nil"/>
            </w:tcBorders>
            <w:shd w:val="clear" w:color="auto" w:fill="auto"/>
            <w:noWrap/>
            <w:vAlign w:val="bottom"/>
            <w:hideMark/>
          </w:tcPr>
          <w:p w14:paraId="3DFD1C01" w14:textId="77777777" w:rsidR="00577BA2" w:rsidRPr="00577BA2" w:rsidRDefault="00577BA2" w:rsidP="00577BA2">
            <w:pPr>
              <w:spacing w:after="0" w:line="240" w:lineRule="auto"/>
              <w:rPr>
                <w:rFonts w:ascii="Verdana" w:eastAsia="Times New Roman" w:hAnsi="Verdana" w:cs="Calibri"/>
                <w:b/>
                <w:bCs/>
                <w:sz w:val="18"/>
                <w:szCs w:val="18"/>
                <w:lang w:eastAsia="pt-BR"/>
              </w:rPr>
            </w:pPr>
          </w:p>
        </w:tc>
        <w:tc>
          <w:tcPr>
            <w:tcW w:w="159" w:type="dxa"/>
            <w:tcBorders>
              <w:top w:val="nil"/>
              <w:left w:val="nil"/>
              <w:bottom w:val="nil"/>
              <w:right w:val="nil"/>
            </w:tcBorders>
            <w:shd w:val="clear" w:color="auto" w:fill="auto"/>
            <w:noWrap/>
            <w:vAlign w:val="bottom"/>
            <w:hideMark/>
          </w:tcPr>
          <w:p w14:paraId="322836FE" w14:textId="77777777" w:rsidR="00577BA2" w:rsidRPr="00577BA2" w:rsidRDefault="00577BA2" w:rsidP="00577BA2">
            <w:pPr>
              <w:spacing w:after="0" w:line="240" w:lineRule="auto"/>
              <w:rPr>
                <w:rFonts w:ascii="Times New Roman" w:eastAsia="Times New Roman" w:hAnsi="Times New Roman" w:cs="Times New Roman"/>
                <w:sz w:val="20"/>
                <w:szCs w:val="20"/>
                <w:lang w:eastAsia="pt-BR"/>
              </w:rPr>
            </w:pPr>
          </w:p>
        </w:tc>
        <w:tc>
          <w:tcPr>
            <w:tcW w:w="1509" w:type="dxa"/>
            <w:tcBorders>
              <w:top w:val="nil"/>
              <w:left w:val="nil"/>
              <w:bottom w:val="nil"/>
              <w:right w:val="nil"/>
            </w:tcBorders>
            <w:shd w:val="clear" w:color="auto" w:fill="auto"/>
            <w:noWrap/>
            <w:vAlign w:val="bottom"/>
            <w:hideMark/>
          </w:tcPr>
          <w:p w14:paraId="4BD285F0" w14:textId="77777777" w:rsidR="00577BA2" w:rsidRPr="00577BA2" w:rsidRDefault="00577BA2" w:rsidP="00577BA2">
            <w:pPr>
              <w:spacing w:after="0" w:line="240" w:lineRule="auto"/>
              <w:rPr>
                <w:rFonts w:ascii="Times New Roman" w:eastAsia="Times New Roman" w:hAnsi="Times New Roman" w:cs="Times New Roman"/>
                <w:sz w:val="20"/>
                <w:szCs w:val="20"/>
                <w:lang w:eastAsia="pt-BR"/>
              </w:rPr>
            </w:pPr>
          </w:p>
        </w:tc>
        <w:tc>
          <w:tcPr>
            <w:tcW w:w="159" w:type="dxa"/>
            <w:tcBorders>
              <w:top w:val="nil"/>
              <w:left w:val="nil"/>
              <w:bottom w:val="nil"/>
              <w:right w:val="nil"/>
            </w:tcBorders>
            <w:shd w:val="clear" w:color="auto" w:fill="auto"/>
            <w:noWrap/>
            <w:vAlign w:val="bottom"/>
            <w:hideMark/>
          </w:tcPr>
          <w:p w14:paraId="666935F5" w14:textId="77777777" w:rsidR="00577BA2" w:rsidRPr="00577BA2" w:rsidRDefault="00577BA2" w:rsidP="00577BA2">
            <w:pPr>
              <w:spacing w:after="0" w:line="240" w:lineRule="auto"/>
              <w:rPr>
                <w:rFonts w:ascii="Times New Roman" w:eastAsia="Times New Roman" w:hAnsi="Times New Roman" w:cs="Times New Roman"/>
                <w:sz w:val="20"/>
                <w:szCs w:val="20"/>
                <w:lang w:eastAsia="pt-BR"/>
              </w:rPr>
            </w:pPr>
          </w:p>
        </w:tc>
        <w:tc>
          <w:tcPr>
            <w:tcW w:w="1663" w:type="dxa"/>
            <w:tcBorders>
              <w:top w:val="nil"/>
              <w:left w:val="nil"/>
              <w:bottom w:val="nil"/>
              <w:right w:val="nil"/>
            </w:tcBorders>
            <w:shd w:val="clear" w:color="auto" w:fill="auto"/>
            <w:noWrap/>
            <w:vAlign w:val="bottom"/>
            <w:hideMark/>
          </w:tcPr>
          <w:p w14:paraId="6D47D5D0" w14:textId="77777777" w:rsidR="00577BA2" w:rsidRPr="00577BA2" w:rsidRDefault="00577BA2" w:rsidP="00577BA2">
            <w:pPr>
              <w:spacing w:after="0" w:line="240" w:lineRule="auto"/>
              <w:rPr>
                <w:rFonts w:ascii="Times New Roman" w:eastAsia="Times New Roman" w:hAnsi="Times New Roman" w:cs="Times New Roman"/>
                <w:sz w:val="20"/>
                <w:szCs w:val="20"/>
                <w:lang w:eastAsia="pt-BR"/>
              </w:rPr>
            </w:pPr>
          </w:p>
        </w:tc>
      </w:tr>
      <w:tr w:rsidR="00577BA2" w:rsidRPr="00577BA2" w14:paraId="1A58FD82" w14:textId="77777777" w:rsidTr="006B5F69">
        <w:trPr>
          <w:trHeight w:val="26"/>
        </w:trPr>
        <w:tc>
          <w:tcPr>
            <w:tcW w:w="4486" w:type="dxa"/>
            <w:tcBorders>
              <w:top w:val="nil"/>
              <w:left w:val="nil"/>
              <w:bottom w:val="nil"/>
              <w:right w:val="nil"/>
            </w:tcBorders>
            <w:shd w:val="clear" w:color="auto" w:fill="auto"/>
            <w:noWrap/>
            <w:vAlign w:val="center"/>
            <w:hideMark/>
          </w:tcPr>
          <w:p w14:paraId="45E0B3BF" w14:textId="77777777" w:rsidR="00577BA2" w:rsidRPr="00577BA2" w:rsidRDefault="00577BA2" w:rsidP="00577BA2">
            <w:pPr>
              <w:spacing w:after="0" w:line="240" w:lineRule="auto"/>
              <w:rPr>
                <w:rFonts w:ascii="Verdana" w:eastAsia="Times New Roman" w:hAnsi="Verdana" w:cs="Calibri"/>
                <w:sz w:val="18"/>
                <w:szCs w:val="18"/>
                <w:lang w:eastAsia="pt-BR"/>
              </w:rPr>
            </w:pPr>
            <w:r w:rsidRPr="00577BA2">
              <w:rPr>
                <w:rFonts w:ascii="Verdana" w:eastAsia="Times New Roman" w:hAnsi="Verdana" w:cs="Calibri"/>
                <w:sz w:val="18"/>
                <w:szCs w:val="18"/>
                <w:lang w:eastAsia="pt-BR"/>
              </w:rPr>
              <w:t>ELETROBRAS-RGR-ECF 2278/2507/2579</w:t>
            </w:r>
          </w:p>
        </w:tc>
        <w:tc>
          <w:tcPr>
            <w:tcW w:w="1357" w:type="dxa"/>
            <w:tcBorders>
              <w:top w:val="nil"/>
              <w:left w:val="nil"/>
              <w:bottom w:val="nil"/>
              <w:right w:val="nil"/>
            </w:tcBorders>
            <w:shd w:val="clear" w:color="auto" w:fill="auto"/>
            <w:noWrap/>
            <w:vAlign w:val="center"/>
            <w:hideMark/>
          </w:tcPr>
          <w:p w14:paraId="585C8F83" w14:textId="77777777" w:rsidR="00577BA2" w:rsidRPr="00577BA2" w:rsidRDefault="00577BA2" w:rsidP="00577BA2">
            <w:pPr>
              <w:spacing w:after="0" w:line="240" w:lineRule="auto"/>
              <w:jc w:val="center"/>
              <w:rPr>
                <w:rFonts w:ascii="Verdana" w:eastAsia="Times New Roman" w:hAnsi="Verdana" w:cs="Calibri"/>
                <w:sz w:val="18"/>
                <w:szCs w:val="18"/>
                <w:lang w:eastAsia="pt-BR"/>
              </w:rPr>
            </w:pPr>
            <w:r w:rsidRPr="00577BA2">
              <w:rPr>
                <w:rFonts w:ascii="Verdana" w:eastAsia="Times New Roman" w:hAnsi="Verdana" w:cs="Calibri"/>
                <w:sz w:val="18"/>
                <w:szCs w:val="18"/>
                <w:lang w:eastAsia="pt-BR"/>
              </w:rPr>
              <w:t>5,00%</w:t>
            </w:r>
          </w:p>
        </w:tc>
        <w:tc>
          <w:tcPr>
            <w:tcW w:w="159" w:type="dxa"/>
            <w:tcBorders>
              <w:top w:val="nil"/>
              <w:left w:val="nil"/>
              <w:bottom w:val="nil"/>
              <w:right w:val="nil"/>
            </w:tcBorders>
            <w:shd w:val="clear" w:color="auto" w:fill="auto"/>
            <w:noWrap/>
            <w:vAlign w:val="bottom"/>
            <w:hideMark/>
          </w:tcPr>
          <w:p w14:paraId="71FA685B" w14:textId="77777777" w:rsidR="00577BA2" w:rsidRPr="00577BA2" w:rsidRDefault="00577BA2" w:rsidP="00577BA2">
            <w:pPr>
              <w:spacing w:after="0" w:line="240" w:lineRule="auto"/>
              <w:jc w:val="center"/>
              <w:rPr>
                <w:rFonts w:ascii="Verdana" w:eastAsia="Times New Roman" w:hAnsi="Verdana" w:cs="Calibri"/>
                <w:sz w:val="18"/>
                <w:szCs w:val="18"/>
                <w:lang w:eastAsia="pt-BR"/>
              </w:rPr>
            </w:pPr>
          </w:p>
        </w:tc>
        <w:tc>
          <w:tcPr>
            <w:tcW w:w="1509" w:type="dxa"/>
            <w:tcBorders>
              <w:top w:val="nil"/>
              <w:left w:val="nil"/>
              <w:bottom w:val="nil"/>
              <w:right w:val="nil"/>
            </w:tcBorders>
            <w:shd w:val="clear" w:color="auto" w:fill="auto"/>
            <w:noWrap/>
            <w:vAlign w:val="bottom"/>
            <w:hideMark/>
          </w:tcPr>
          <w:p w14:paraId="2E826E1C" w14:textId="77777777" w:rsidR="00577BA2" w:rsidRPr="00577BA2" w:rsidRDefault="00577BA2" w:rsidP="006B5F69">
            <w:pPr>
              <w:spacing w:after="0" w:line="240" w:lineRule="auto"/>
              <w:jc w:val="right"/>
              <w:rPr>
                <w:rFonts w:ascii="Verdana" w:eastAsia="Times New Roman" w:hAnsi="Verdana" w:cs="Calibri"/>
                <w:sz w:val="18"/>
                <w:szCs w:val="18"/>
                <w:lang w:eastAsia="pt-BR"/>
              </w:rPr>
            </w:pPr>
            <w:r w:rsidRPr="00577BA2">
              <w:rPr>
                <w:rFonts w:ascii="Verdana" w:eastAsia="Times New Roman" w:hAnsi="Verdana" w:cs="Calibri"/>
                <w:sz w:val="18"/>
                <w:szCs w:val="18"/>
                <w:lang w:eastAsia="pt-BR"/>
              </w:rPr>
              <w:t xml:space="preserve">        34.161 </w:t>
            </w:r>
          </w:p>
        </w:tc>
        <w:tc>
          <w:tcPr>
            <w:tcW w:w="159" w:type="dxa"/>
            <w:tcBorders>
              <w:top w:val="nil"/>
              <w:left w:val="nil"/>
              <w:bottom w:val="nil"/>
              <w:right w:val="nil"/>
            </w:tcBorders>
            <w:shd w:val="clear" w:color="auto" w:fill="auto"/>
            <w:noWrap/>
            <w:vAlign w:val="bottom"/>
            <w:hideMark/>
          </w:tcPr>
          <w:p w14:paraId="5CC6F62C" w14:textId="77777777" w:rsidR="00577BA2" w:rsidRPr="00577BA2" w:rsidRDefault="00577BA2" w:rsidP="006B5F69">
            <w:pPr>
              <w:spacing w:after="0" w:line="240" w:lineRule="auto"/>
              <w:jc w:val="right"/>
              <w:rPr>
                <w:rFonts w:ascii="Verdana" w:eastAsia="Times New Roman" w:hAnsi="Verdana" w:cs="Calibri"/>
                <w:sz w:val="18"/>
                <w:szCs w:val="18"/>
                <w:lang w:eastAsia="pt-BR"/>
              </w:rPr>
            </w:pPr>
          </w:p>
        </w:tc>
        <w:tc>
          <w:tcPr>
            <w:tcW w:w="1663" w:type="dxa"/>
            <w:tcBorders>
              <w:top w:val="nil"/>
              <w:left w:val="nil"/>
              <w:bottom w:val="nil"/>
              <w:right w:val="nil"/>
            </w:tcBorders>
            <w:shd w:val="clear" w:color="auto" w:fill="auto"/>
            <w:noWrap/>
            <w:vAlign w:val="bottom"/>
            <w:hideMark/>
          </w:tcPr>
          <w:p w14:paraId="57DED332" w14:textId="77777777" w:rsidR="00577BA2" w:rsidRPr="00577BA2" w:rsidRDefault="00577BA2" w:rsidP="006B5F69">
            <w:pPr>
              <w:spacing w:after="0" w:line="240" w:lineRule="auto"/>
              <w:jc w:val="right"/>
              <w:rPr>
                <w:rFonts w:ascii="Verdana" w:eastAsia="Times New Roman" w:hAnsi="Verdana" w:cs="Calibri"/>
                <w:sz w:val="18"/>
                <w:szCs w:val="18"/>
                <w:lang w:eastAsia="pt-BR"/>
              </w:rPr>
            </w:pPr>
            <w:r w:rsidRPr="00577BA2">
              <w:rPr>
                <w:rFonts w:ascii="Verdana" w:eastAsia="Times New Roman" w:hAnsi="Verdana" w:cs="Calibri"/>
                <w:sz w:val="18"/>
                <w:szCs w:val="18"/>
                <w:lang w:eastAsia="pt-BR"/>
              </w:rPr>
              <w:t xml:space="preserve">       113.656 </w:t>
            </w:r>
          </w:p>
        </w:tc>
      </w:tr>
      <w:tr w:rsidR="00577BA2" w:rsidRPr="00577BA2" w14:paraId="4634E507" w14:textId="77777777" w:rsidTr="006B5F69">
        <w:trPr>
          <w:trHeight w:val="26"/>
        </w:trPr>
        <w:tc>
          <w:tcPr>
            <w:tcW w:w="4486" w:type="dxa"/>
            <w:tcBorders>
              <w:top w:val="nil"/>
              <w:left w:val="nil"/>
              <w:bottom w:val="nil"/>
              <w:right w:val="nil"/>
            </w:tcBorders>
            <w:shd w:val="clear" w:color="auto" w:fill="auto"/>
            <w:noWrap/>
            <w:vAlign w:val="center"/>
            <w:hideMark/>
          </w:tcPr>
          <w:p w14:paraId="63021D9F" w14:textId="77777777" w:rsidR="00577BA2" w:rsidRPr="00577BA2" w:rsidRDefault="00577BA2" w:rsidP="00577BA2">
            <w:pPr>
              <w:spacing w:after="0" w:line="240" w:lineRule="auto"/>
              <w:rPr>
                <w:rFonts w:ascii="Verdana" w:eastAsia="Times New Roman" w:hAnsi="Verdana" w:cs="Calibri"/>
                <w:sz w:val="18"/>
                <w:szCs w:val="18"/>
                <w:lang w:eastAsia="pt-BR"/>
              </w:rPr>
            </w:pPr>
            <w:r w:rsidRPr="00577BA2">
              <w:rPr>
                <w:rFonts w:ascii="Verdana" w:eastAsia="Times New Roman" w:hAnsi="Verdana" w:cs="Calibri"/>
                <w:sz w:val="18"/>
                <w:szCs w:val="18"/>
                <w:lang w:eastAsia="pt-BR"/>
              </w:rPr>
              <w:t>FURNAS-Instrumento de Confissão de Dívida</w:t>
            </w:r>
          </w:p>
        </w:tc>
        <w:tc>
          <w:tcPr>
            <w:tcW w:w="1357" w:type="dxa"/>
            <w:tcBorders>
              <w:top w:val="nil"/>
              <w:left w:val="nil"/>
              <w:bottom w:val="nil"/>
              <w:right w:val="nil"/>
            </w:tcBorders>
            <w:shd w:val="clear" w:color="auto" w:fill="auto"/>
            <w:noWrap/>
            <w:vAlign w:val="center"/>
            <w:hideMark/>
          </w:tcPr>
          <w:p w14:paraId="63373BD8" w14:textId="77777777" w:rsidR="00577BA2" w:rsidRPr="00577BA2" w:rsidRDefault="00577BA2" w:rsidP="00577BA2">
            <w:pPr>
              <w:spacing w:after="0" w:line="240" w:lineRule="auto"/>
              <w:jc w:val="center"/>
              <w:rPr>
                <w:rFonts w:ascii="Verdana" w:eastAsia="Times New Roman" w:hAnsi="Verdana" w:cs="Calibri"/>
                <w:sz w:val="18"/>
                <w:szCs w:val="18"/>
                <w:lang w:eastAsia="pt-BR"/>
              </w:rPr>
            </w:pPr>
            <w:r w:rsidRPr="00577BA2">
              <w:rPr>
                <w:rFonts w:ascii="Verdana" w:eastAsia="Times New Roman" w:hAnsi="Verdana" w:cs="Calibri"/>
                <w:sz w:val="18"/>
                <w:szCs w:val="18"/>
                <w:lang w:eastAsia="pt-BR"/>
              </w:rPr>
              <w:t>7,92%</w:t>
            </w:r>
          </w:p>
        </w:tc>
        <w:tc>
          <w:tcPr>
            <w:tcW w:w="159" w:type="dxa"/>
            <w:tcBorders>
              <w:top w:val="nil"/>
              <w:left w:val="nil"/>
              <w:bottom w:val="nil"/>
              <w:right w:val="nil"/>
            </w:tcBorders>
            <w:shd w:val="clear" w:color="auto" w:fill="auto"/>
            <w:noWrap/>
            <w:vAlign w:val="bottom"/>
            <w:hideMark/>
          </w:tcPr>
          <w:p w14:paraId="58FFBA90" w14:textId="77777777" w:rsidR="00577BA2" w:rsidRPr="00577BA2" w:rsidRDefault="00577BA2" w:rsidP="00577BA2">
            <w:pPr>
              <w:spacing w:after="0" w:line="240" w:lineRule="auto"/>
              <w:jc w:val="center"/>
              <w:rPr>
                <w:rFonts w:ascii="Verdana" w:eastAsia="Times New Roman" w:hAnsi="Verdana" w:cs="Calibri"/>
                <w:sz w:val="18"/>
                <w:szCs w:val="18"/>
                <w:lang w:eastAsia="pt-BR"/>
              </w:rPr>
            </w:pPr>
          </w:p>
        </w:tc>
        <w:tc>
          <w:tcPr>
            <w:tcW w:w="1509" w:type="dxa"/>
            <w:tcBorders>
              <w:top w:val="nil"/>
              <w:left w:val="nil"/>
              <w:bottom w:val="nil"/>
              <w:right w:val="nil"/>
            </w:tcBorders>
            <w:shd w:val="clear" w:color="auto" w:fill="auto"/>
            <w:noWrap/>
            <w:vAlign w:val="bottom"/>
            <w:hideMark/>
          </w:tcPr>
          <w:p w14:paraId="65A51222" w14:textId="77777777" w:rsidR="00577BA2" w:rsidRPr="00577BA2" w:rsidRDefault="00577BA2" w:rsidP="006B5F69">
            <w:pPr>
              <w:spacing w:after="0" w:line="240" w:lineRule="auto"/>
              <w:jc w:val="right"/>
              <w:rPr>
                <w:rFonts w:ascii="Verdana" w:eastAsia="Times New Roman" w:hAnsi="Verdana" w:cs="Calibri"/>
                <w:sz w:val="18"/>
                <w:szCs w:val="18"/>
                <w:lang w:eastAsia="pt-BR"/>
              </w:rPr>
            </w:pPr>
            <w:r w:rsidRPr="00577BA2">
              <w:rPr>
                <w:rFonts w:ascii="Verdana" w:eastAsia="Times New Roman" w:hAnsi="Verdana" w:cs="Calibri"/>
                <w:sz w:val="18"/>
                <w:szCs w:val="18"/>
                <w:lang w:eastAsia="pt-BR"/>
              </w:rPr>
              <w:t xml:space="preserve">        40.669 </w:t>
            </w:r>
          </w:p>
        </w:tc>
        <w:tc>
          <w:tcPr>
            <w:tcW w:w="159" w:type="dxa"/>
            <w:tcBorders>
              <w:top w:val="nil"/>
              <w:left w:val="nil"/>
              <w:bottom w:val="nil"/>
              <w:right w:val="nil"/>
            </w:tcBorders>
            <w:shd w:val="clear" w:color="auto" w:fill="auto"/>
            <w:noWrap/>
            <w:vAlign w:val="bottom"/>
            <w:hideMark/>
          </w:tcPr>
          <w:p w14:paraId="08B58ACE" w14:textId="77777777" w:rsidR="00577BA2" w:rsidRPr="00577BA2" w:rsidRDefault="00577BA2" w:rsidP="006B5F69">
            <w:pPr>
              <w:spacing w:after="0" w:line="240" w:lineRule="auto"/>
              <w:jc w:val="right"/>
              <w:rPr>
                <w:rFonts w:ascii="Verdana" w:eastAsia="Times New Roman" w:hAnsi="Verdana" w:cs="Calibri"/>
                <w:sz w:val="18"/>
                <w:szCs w:val="18"/>
                <w:lang w:eastAsia="pt-BR"/>
              </w:rPr>
            </w:pPr>
          </w:p>
        </w:tc>
        <w:tc>
          <w:tcPr>
            <w:tcW w:w="1663" w:type="dxa"/>
            <w:tcBorders>
              <w:top w:val="nil"/>
              <w:left w:val="nil"/>
              <w:bottom w:val="nil"/>
              <w:right w:val="nil"/>
            </w:tcBorders>
            <w:shd w:val="clear" w:color="auto" w:fill="auto"/>
            <w:noWrap/>
            <w:vAlign w:val="bottom"/>
            <w:hideMark/>
          </w:tcPr>
          <w:p w14:paraId="379ABC41" w14:textId="77777777" w:rsidR="00577BA2" w:rsidRPr="00577BA2" w:rsidRDefault="00577BA2" w:rsidP="006B5F69">
            <w:pPr>
              <w:spacing w:after="0" w:line="240" w:lineRule="auto"/>
              <w:jc w:val="right"/>
              <w:rPr>
                <w:rFonts w:ascii="Verdana" w:eastAsia="Times New Roman" w:hAnsi="Verdana" w:cs="Calibri"/>
                <w:sz w:val="18"/>
                <w:szCs w:val="18"/>
                <w:lang w:eastAsia="pt-BR"/>
              </w:rPr>
            </w:pPr>
            <w:r w:rsidRPr="00577BA2">
              <w:rPr>
                <w:rFonts w:ascii="Verdana" w:eastAsia="Times New Roman" w:hAnsi="Verdana" w:cs="Calibri"/>
                <w:sz w:val="18"/>
                <w:szCs w:val="18"/>
                <w:lang w:eastAsia="pt-BR"/>
              </w:rPr>
              <w:t xml:space="preserve">       257.573 </w:t>
            </w:r>
          </w:p>
        </w:tc>
      </w:tr>
      <w:tr w:rsidR="00577BA2" w:rsidRPr="00577BA2" w14:paraId="7202800B" w14:textId="77777777" w:rsidTr="006B5F69">
        <w:trPr>
          <w:trHeight w:val="26"/>
        </w:trPr>
        <w:tc>
          <w:tcPr>
            <w:tcW w:w="4486" w:type="dxa"/>
            <w:tcBorders>
              <w:top w:val="nil"/>
              <w:left w:val="nil"/>
              <w:bottom w:val="nil"/>
              <w:right w:val="nil"/>
            </w:tcBorders>
            <w:shd w:val="clear" w:color="auto" w:fill="auto"/>
            <w:noWrap/>
            <w:vAlign w:val="center"/>
            <w:hideMark/>
          </w:tcPr>
          <w:p w14:paraId="76430818" w14:textId="77777777" w:rsidR="00577BA2" w:rsidRPr="00577BA2" w:rsidRDefault="00577BA2" w:rsidP="00577BA2">
            <w:pPr>
              <w:spacing w:after="0" w:line="240" w:lineRule="auto"/>
              <w:rPr>
                <w:rFonts w:ascii="Verdana" w:eastAsia="Times New Roman" w:hAnsi="Verdana" w:cs="Calibri"/>
                <w:sz w:val="18"/>
                <w:szCs w:val="18"/>
                <w:lang w:eastAsia="pt-BR"/>
              </w:rPr>
            </w:pPr>
          </w:p>
        </w:tc>
        <w:tc>
          <w:tcPr>
            <w:tcW w:w="1357" w:type="dxa"/>
            <w:tcBorders>
              <w:top w:val="nil"/>
              <w:left w:val="nil"/>
              <w:bottom w:val="nil"/>
              <w:right w:val="nil"/>
            </w:tcBorders>
            <w:shd w:val="clear" w:color="auto" w:fill="auto"/>
            <w:noWrap/>
            <w:vAlign w:val="center"/>
            <w:hideMark/>
          </w:tcPr>
          <w:p w14:paraId="049A76A9" w14:textId="77777777" w:rsidR="00577BA2" w:rsidRPr="00577BA2" w:rsidRDefault="00577BA2" w:rsidP="00577BA2">
            <w:pPr>
              <w:spacing w:after="0" w:line="240" w:lineRule="auto"/>
              <w:rPr>
                <w:rFonts w:ascii="Times New Roman" w:eastAsia="Times New Roman" w:hAnsi="Times New Roman" w:cs="Times New Roman"/>
                <w:sz w:val="20"/>
                <w:szCs w:val="20"/>
                <w:lang w:eastAsia="pt-BR"/>
              </w:rPr>
            </w:pPr>
          </w:p>
        </w:tc>
        <w:tc>
          <w:tcPr>
            <w:tcW w:w="159" w:type="dxa"/>
            <w:tcBorders>
              <w:top w:val="nil"/>
              <w:left w:val="nil"/>
              <w:bottom w:val="nil"/>
              <w:right w:val="nil"/>
            </w:tcBorders>
            <w:shd w:val="clear" w:color="auto" w:fill="auto"/>
            <w:noWrap/>
            <w:vAlign w:val="bottom"/>
            <w:hideMark/>
          </w:tcPr>
          <w:p w14:paraId="34C6E146" w14:textId="77777777" w:rsidR="00577BA2" w:rsidRPr="00577BA2" w:rsidRDefault="00577BA2" w:rsidP="00577BA2">
            <w:pPr>
              <w:spacing w:after="0" w:line="240" w:lineRule="auto"/>
              <w:jc w:val="center"/>
              <w:rPr>
                <w:rFonts w:ascii="Times New Roman" w:eastAsia="Times New Roman" w:hAnsi="Times New Roman" w:cs="Times New Roman"/>
                <w:sz w:val="20"/>
                <w:szCs w:val="20"/>
                <w:lang w:eastAsia="pt-BR"/>
              </w:rPr>
            </w:pPr>
          </w:p>
        </w:tc>
        <w:tc>
          <w:tcPr>
            <w:tcW w:w="1509" w:type="dxa"/>
            <w:tcBorders>
              <w:top w:val="nil"/>
              <w:left w:val="nil"/>
              <w:bottom w:val="nil"/>
              <w:right w:val="nil"/>
            </w:tcBorders>
            <w:shd w:val="clear" w:color="auto" w:fill="auto"/>
            <w:noWrap/>
            <w:vAlign w:val="bottom"/>
            <w:hideMark/>
          </w:tcPr>
          <w:p w14:paraId="4CBD16E4" w14:textId="77777777" w:rsidR="00577BA2" w:rsidRPr="00577BA2" w:rsidRDefault="00577BA2" w:rsidP="006B5F69">
            <w:pPr>
              <w:spacing w:after="0" w:line="240" w:lineRule="auto"/>
              <w:jc w:val="right"/>
              <w:rPr>
                <w:rFonts w:ascii="Times New Roman" w:eastAsia="Times New Roman" w:hAnsi="Times New Roman" w:cs="Times New Roman"/>
                <w:sz w:val="20"/>
                <w:szCs w:val="20"/>
                <w:lang w:eastAsia="pt-BR"/>
              </w:rPr>
            </w:pPr>
          </w:p>
        </w:tc>
        <w:tc>
          <w:tcPr>
            <w:tcW w:w="159" w:type="dxa"/>
            <w:tcBorders>
              <w:top w:val="nil"/>
              <w:left w:val="nil"/>
              <w:bottom w:val="nil"/>
              <w:right w:val="nil"/>
            </w:tcBorders>
            <w:shd w:val="clear" w:color="auto" w:fill="auto"/>
            <w:noWrap/>
            <w:vAlign w:val="bottom"/>
            <w:hideMark/>
          </w:tcPr>
          <w:p w14:paraId="0D240837" w14:textId="77777777" w:rsidR="00577BA2" w:rsidRPr="00577BA2" w:rsidRDefault="00577BA2" w:rsidP="006B5F69">
            <w:pPr>
              <w:spacing w:after="0" w:line="240" w:lineRule="auto"/>
              <w:jc w:val="right"/>
              <w:rPr>
                <w:rFonts w:ascii="Times New Roman" w:eastAsia="Times New Roman" w:hAnsi="Times New Roman" w:cs="Times New Roman"/>
                <w:sz w:val="20"/>
                <w:szCs w:val="20"/>
                <w:lang w:eastAsia="pt-BR"/>
              </w:rPr>
            </w:pPr>
          </w:p>
        </w:tc>
        <w:tc>
          <w:tcPr>
            <w:tcW w:w="1663" w:type="dxa"/>
            <w:tcBorders>
              <w:top w:val="nil"/>
              <w:left w:val="nil"/>
              <w:bottom w:val="nil"/>
              <w:right w:val="nil"/>
            </w:tcBorders>
            <w:shd w:val="clear" w:color="auto" w:fill="auto"/>
            <w:noWrap/>
            <w:vAlign w:val="bottom"/>
            <w:hideMark/>
          </w:tcPr>
          <w:p w14:paraId="3A5BE239" w14:textId="77777777" w:rsidR="00577BA2" w:rsidRPr="00577BA2" w:rsidRDefault="00577BA2" w:rsidP="006B5F69">
            <w:pPr>
              <w:spacing w:after="0" w:line="240" w:lineRule="auto"/>
              <w:jc w:val="right"/>
              <w:rPr>
                <w:rFonts w:ascii="Times New Roman" w:eastAsia="Times New Roman" w:hAnsi="Times New Roman" w:cs="Times New Roman"/>
                <w:sz w:val="20"/>
                <w:szCs w:val="20"/>
                <w:lang w:eastAsia="pt-BR"/>
              </w:rPr>
            </w:pPr>
          </w:p>
        </w:tc>
      </w:tr>
      <w:tr w:rsidR="00577BA2" w:rsidRPr="00577BA2" w14:paraId="1FD06BA6" w14:textId="77777777" w:rsidTr="006B5F69">
        <w:trPr>
          <w:trHeight w:val="26"/>
        </w:trPr>
        <w:tc>
          <w:tcPr>
            <w:tcW w:w="4486" w:type="dxa"/>
            <w:tcBorders>
              <w:top w:val="nil"/>
              <w:left w:val="nil"/>
              <w:bottom w:val="nil"/>
              <w:right w:val="nil"/>
            </w:tcBorders>
            <w:shd w:val="clear" w:color="auto" w:fill="auto"/>
            <w:noWrap/>
            <w:vAlign w:val="center"/>
          </w:tcPr>
          <w:p w14:paraId="64F70FF1" w14:textId="77777777" w:rsidR="00577BA2" w:rsidRPr="00577BA2" w:rsidRDefault="00577BA2" w:rsidP="00577BA2">
            <w:pPr>
              <w:spacing w:after="0" w:line="240" w:lineRule="auto"/>
              <w:rPr>
                <w:rFonts w:ascii="Verdana" w:eastAsia="Times New Roman" w:hAnsi="Verdana" w:cs="Calibri"/>
                <w:sz w:val="12"/>
                <w:szCs w:val="12"/>
                <w:lang w:eastAsia="pt-BR"/>
              </w:rPr>
            </w:pPr>
          </w:p>
        </w:tc>
        <w:tc>
          <w:tcPr>
            <w:tcW w:w="1357" w:type="dxa"/>
            <w:tcBorders>
              <w:top w:val="nil"/>
              <w:left w:val="nil"/>
              <w:bottom w:val="nil"/>
              <w:right w:val="nil"/>
            </w:tcBorders>
            <w:shd w:val="clear" w:color="auto" w:fill="auto"/>
            <w:noWrap/>
            <w:vAlign w:val="center"/>
          </w:tcPr>
          <w:p w14:paraId="752B8AC2" w14:textId="77777777" w:rsidR="00577BA2" w:rsidRPr="00577BA2" w:rsidRDefault="00577BA2" w:rsidP="00577BA2">
            <w:pPr>
              <w:spacing w:after="0" w:line="240" w:lineRule="auto"/>
              <w:rPr>
                <w:rFonts w:ascii="Times New Roman" w:eastAsia="Times New Roman" w:hAnsi="Times New Roman" w:cs="Times New Roman"/>
                <w:sz w:val="12"/>
                <w:szCs w:val="12"/>
                <w:lang w:eastAsia="pt-BR"/>
              </w:rPr>
            </w:pPr>
          </w:p>
        </w:tc>
        <w:tc>
          <w:tcPr>
            <w:tcW w:w="159" w:type="dxa"/>
            <w:tcBorders>
              <w:top w:val="nil"/>
              <w:left w:val="nil"/>
              <w:bottom w:val="nil"/>
              <w:right w:val="nil"/>
            </w:tcBorders>
            <w:shd w:val="clear" w:color="auto" w:fill="auto"/>
            <w:noWrap/>
            <w:vAlign w:val="bottom"/>
          </w:tcPr>
          <w:p w14:paraId="22771822" w14:textId="77777777" w:rsidR="00577BA2" w:rsidRPr="00577BA2" w:rsidRDefault="00577BA2" w:rsidP="00577BA2">
            <w:pPr>
              <w:spacing w:after="0" w:line="240" w:lineRule="auto"/>
              <w:jc w:val="center"/>
              <w:rPr>
                <w:rFonts w:ascii="Times New Roman" w:eastAsia="Times New Roman" w:hAnsi="Times New Roman" w:cs="Times New Roman"/>
                <w:sz w:val="12"/>
                <w:szCs w:val="12"/>
                <w:lang w:eastAsia="pt-BR"/>
              </w:rPr>
            </w:pPr>
          </w:p>
        </w:tc>
        <w:tc>
          <w:tcPr>
            <w:tcW w:w="1509" w:type="dxa"/>
            <w:tcBorders>
              <w:top w:val="nil"/>
              <w:left w:val="nil"/>
              <w:bottom w:val="nil"/>
              <w:right w:val="nil"/>
            </w:tcBorders>
            <w:shd w:val="clear" w:color="auto" w:fill="auto"/>
            <w:noWrap/>
            <w:vAlign w:val="bottom"/>
          </w:tcPr>
          <w:p w14:paraId="4DE59A4E" w14:textId="77777777" w:rsidR="00577BA2" w:rsidRPr="00577BA2" w:rsidRDefault="00577BA2" w:rsidP="006B5F69">
            <w:pPr>
              <w:spacing w:after="0" w:line="240" w:lineRule="auto"/>
              <w:jc w:val="right"/>
              <w:rPr>
                <w:rFonts w:ascii="Times New Roman" w:eastAsia="Times New Roman" w:hAnsi="Times New Roman" w:cs="Times New Roman"/>
                <w:sz w:val="12"/>
                <w:szCs w:val="12"/>
                <w:lang w:eastAsia="pt-BR"/>
              </w:rPr>
            </w:pPr>
          </w:p>
        </w:tc>
        <w:tc>
          <w:tcPr>
            <w:tcW w:w="159" w:type="dxa"/>
            <w:tcBorders>
              <w:top w:val="nil"/>
              <w:left w:val="nil"/>
              <w:bottom w:val="nil"/>
              <w:right w:val="nil"/>
            </w:tcBorders>
            <w:shd w:val="clear" w:color="auto" w:fill="auto"/>
            <w:noWrap/>
            <w:vAlign w:val="bottom"/>
          </w:tcPr>
          <w:p w14:paraId="7C5D86E3" w14:textId="77777777" w:rsidR="00577BA2" w:rsidRPr="00577BA2" w:rsidRDefault="00577BA2" w:rsidP="006B5F69">
            <w:pPr>
              <w:spacing w:after="0" w:line="240" w:lineRule="auto"/>
              <w:jc w:val="right"/>
              <w:rPr>
                <w:rFonts w:ascii="Times New Roman" w:eastAsia="Times New Roman" w:hAnsi="Times New Roman" w:cs="Times New Roman"/>
                <w:sz w:val="12"/>
                <w:szCs w:val="12"/>
                <w:lang w:eastAsia="pt-BR"/>
              </w:rPr>
            </w:pPr>
          </w:p>
        </w:tc>
        <w:tc>
          <w:tcPr>
            <w:tcW w:w="1663" w:type="dxa"/>
            <w:tcBorders>
              <w:top w:val="nil"/>
              <w:left w:val="nil"/>
              <w:bottom w:val="nil"/>
              <w:right w:val="nil"/>
            </w:tcBorders>
            <w:shd w:val="clear" w:color="auto" w:fill="auto"/>
            <w:noWrap/>
            <w:vAlign w:val="bottom"/>
          </w:tcPr>
          <w:p w14:paraId="2B0CA987" w14:textId="77777777" w:rsidR="00577BA2" w:rsidRPr="00577BA2" w:rsidRDefault="00577BA2" w:rsidP="006B5F69">
            <w:pPr>
              <w:spacing w:after="0" w:line="240" w:lineRule="auto"/>
              <w:jc w:val="right"/>
              <w:rPr>
                <w:rFonts w:ascii="Times New Roman" w:eastAsia="Times New Roman" w:hAnsi="Times New Roman" w:cs="Times New Roman"/>
                <w:sz w:val="12"/>
                <w:szCs w:val="12"/>
                <w:lang w:eastAsia="pt-BR"/>
              </w:rPr>
            </w:pPr>
          </w:p>
        </w:tc>
      </w:tr>
      <w:tr w:rsidR="00577BA2" w:rsidRPr="00577BA2" w14:paraId="274DDD52" w14:textId="77777777" w:rsidTr="006B5F69">
        <w:trPr>
          <w:trHeight w:val="26"/>
        </w:trPr>
        <w:tc>
          <w:tcPr>
            <w:tcW w:w="4486" w:type="dxa"/>
            <w:tcBorders>
              <w:top w:val="nil"/>
              <w:left w:val="nil"/>
              <w:bottom w:val="nil"/>
              <w:right w:val="nil"/>
            </w:tcBorders>
            <w:shd w:val="clear" w:color="auto" w:fill="auto"/>
            <w:noWrap/>
            <w:vAlign w:val="center"/>
            <w:hideMark/>
          </w:tcPr>
          <w:p w14:paraId="19BE7D59" w14:textId="77777777" w:rsidR="00577BA2" w:rsidRPr="00577BA2" w:rsidRDefault="00577BA2" w:rsidP="00577BA2">
            <w:pPr>
              <w:spacing w:after="0" w:line="240" w:lineRule="auto"/>
              <w:rPr>
                <w:rFonts w:ascii="Verdana" w:eastAsia="Times New Roman" w:hAnsi="Verdana" w:cs="Calibri"/>
                <w:b/>
                <w:bCs/>
                <w:sz w:val="18"/>
                <w:szCs w:val="18"/>
                <w:lang w:eastAsia="pt-BR"/>
              </w:rPr>
            </w:pPr>
            <w:r w:rsidRPr="00577BA2">
              <w:rPr>
                <w:rFonts w:ascii="Verdana" w:eastAsia="Times New Roman" w:hAnsi="Verdana" w:cs="Calibri"/>
                <w:b/>
                <w:bCs/>
                <w:sz w:val="18"/>
                <w:szCs w:val="18"/>
                <w:lang w:eastAsia="pt-BR"/>
              </w:rPr>
              <w:t>ANGRAS 3:</w:t>
            </w:r>
          </w:p>
        </w:tc>
        <w:tc>
          <w:tcPr>
            <w:tcW w:w="1357" w:type="dxa"/>
            <w:tcBorders>
              <w:top w:val="nil"/>
              <w:left w:val="nil"/>
              <w:bottom w:val="nil"/>
              <w:right w:val="nil"/>
            </w:tcBorders>
            <w:shd w:val="clear" w:color="auto" w:fill="auto"/>
            <w:noWrap/>
            <w:vAlign w:val="center"/>
            <w:hideMark/>
          </w:tcPr>
          <w:p w14:paraId="3BDB8218" w14:textId="77777777" w:rsidR="00577BA2" w:rsidRPr="00577BA2" w:rsidRDefault="00577BA2" w:rsidP="00577BA2">
            <w:pPr>
              <w:spacing w:after="0" w:line="240" w:lineRule="auto"/>
              <w:rPr>
                <w:rFonts w:ascii="Verdana" w:eastAsia="Times New Roman" w:hAnsi="Verdana" w:cs="Calibri"/>
                <w:b/>
                <w:bCs/>
                <w:sz w:val="18"/>
                <w:szCs w:val="18"/>
                <w:lang w:eastAsia="pt-BR"/>
              </w:rPr>
            </w:pPr>
          </w:p>
        </w:tc>
        <w:tc>
          <w:tcPr>
            <w:tcW w:w="159" w:type="dxa"/>
            <w:tcBorders>
              <w:top w:val="nil"/>
              <w:left w:val="nil"/>
              <w:bottom w:val="nil"/>
              <w:right w:val="nil"/>
            </w:tcBorders>
            <w:shd w:val="clear" w:color="auto" w:fill="auto"/>
            <w:noWrap/>
            <w:vAlign w:val="bottom"/>
            <w:hideMark/>
          </w:tcPr>
          <w:p w14:paraId="6F1AA67C" w14:textId="77777777" w:rsidR="00577BA2" w:rsidRPr="00577BA2" w:rsidRDefault="00577BA2" w:rsidP="00577BA2">
            <w:pPr>
              <w:spacing w:after="0" w:line="240" w:lineRule="auto"/>
              <w:jc w:val="center"/>
              <w:rPr>
                <w:rFonts w:ascii="Times New Roman" w:eastAsia="Times New Roman" w:hAnsi="Times New Roman" w:cs="Times New Roman"/>
                <w:sz w:val="20"/>
                <w:szCs w:val="20"/>
                <w:lang w:eastAsia="pt-BR"/>
              </w:rPr>
            </w:pPr>
          </w:p>
        </w:tc>
        <w:tc>
          <w:tcPr>
            <w:tcW w:w="1509" w:type="dxa"/>
            <w:tcBorders>
              <w:top w:val="nil"/>
              <w:left w:val="nil"/>
              <w:bottom w:val="nil"/>
              <w:right w:val="nil"/>
            </w:tcBorders>
            <w:shd w:val="clear" w:color="auto" w:fill="auto"/>
            <w:noWrap/>
            <w:vAlign w:val="bottom"/>
            <w:hideMark/>
          </w:tcPr>
          <w:p w14:paraId="6C71E618" w14:textId="77777777" w:rsidR="00577BA2" w:rsidRPr="00577BA2" w:rsidRDefault="00577BA2" w:rsidP="006B5F69">
            <w:pPr>
              <w:spacing w:after="0" w:line="240" w:lineRule="auto"/>
              <w:jc w:val="right"/>
              <w:rPr>
                <w:rFonts w:ascii="Times New Roman" w:eastAsia="Times New Roman" w:hAnsi="Times New Roman" w:cs="Times New Roman"/>
                <w:sz w:val="20"/>
                <w:szCs w:val="20"/>
                <w:lang w:eastAsia="pt-BR"/>
              </w:rPr>
            </w:pPr>
          </w:p>
        </w:tc>
        <w:tc>
          <w:tcPr>
            <w:tcW w:w="159" w:type="dxa"/>
            <w:tcBorders>
              <w:top w:val="nil"/>
              <w:left w:val="nil"/>
              <w:bottom w:val="nil"/>
              <w:right w:val="nil"/>
            </w:tcBorders>
            <w:shd w:val="clear" w:color="auto" w:fill="auto"/>
            <w:noWrap/>
            <w:vAlign w:val="bottom"/>
            <w:hideMark/>
          </w:tcPr>
          <w:p w14:paraId="68951B15" w14:textId="77777777" w:rsidR="00577BA2" w:rsidRPr="00577BA2" w:rsidRDefault="00577BA2" w:rsidP="006B5F69">
            <w:pPr>
              <w:spacing w:after="0" w:line="240" w:lineRule="auto"/>
              <w:jc w:val="right"/>
              <w:rPr>
                <w:rFonts w:ascii="Times New Roman" w:eastAsia="Times New Roman" w:hAnsi="Times New Roman" w:cs="Times New Roman"/>
                <w:sz w:val="20"/>
                <w:szCs w:val="20"/>
                <w:lang w:eastAsia="pt-BR"/>
              </w:rPr>
            </w:pPr>
          </w:p>
        </w:tc>
        <w:tc>
          <w:tcPr>
            <w:tcW w:w="1663" w:type="dxa"/>
            <w:tcBorders>
              <w:top w:val="nil"/>
              <w:left w:val="nil"/>
              <w:bottom w:val="nil"/>
              <w:right w:val="nil"/>
            </w:tcBorders>
            <w:shd w:val="clear" w:color="auto" w:fill="auto"/>
            <w:noWrap/>
            <w:vAlign w:val="bottom"/>
            <w:hideMark/>
          </w:tcPr>
          <w:p w14:paraId="3B3CD1EA" w14:textId="77777777" w:rsidR="00577BA2" w:rsidRPr="00577BA2" w:rsidRDefault="00577BA2" w:rsidP="006B5F69">
            <w:pPr>
              <w:spacing w:after="0" w:line="240" w:lineRule="auto"/>
              <w:jc w:val="right"/>
              <w:rPr>
                <w:rFonts w:ascii="Times New Roman" w:eastAsia="Times New Roman" w:hAnsi="Times New Roman" w:cs="Times New Roman"/>
                <w:sz w:val="20"/>
                <w:szCs w:val="20"/>
                <w:lang w:eastAsia="pt-BR"/>
              </w:rPr>
            </w:pPr>
          </w:p>
        </w:tc>
      </w:tr>
      <w:tr w:rsidR="00577BA2" w:rsidRPr="00577BA2" w14:paraId="17B5AB1E" w14:textId="77777777" w:rsidTr="006B5F69">
        <w:trPr>
          <w:trHeight w:val="26"/>
        </w:trPr>
        <w:tc>
          <w:tcPr>
            <w:tcW w:w="4486" w:type="dxa"/>
            <w:tcBorders>
              <w:top w:val="nil"/>
              <w:left w:val="nil"/>
              <w:bottom w:val="nil"/>
              <w:right w:val="nil"/>
            </w:tcBorders>
            <w:shd w:val="clear" w:color="auto" w:fill="auto"/>
            <w:noWrap/>
            <w:vAlign w:val="center"/>
            <w:hideMark/>
          </w:tcPr>
          <w:p w14:paraId="7130480F" w14:textId="77777777" w:rsidR="00577BA2" w:rsidRPr="00577BA2" w:rsidRDefault="00577BA2" w:rsidP="00577BA2">
            <w:pPr>
              <w:spacing w:after="0" w:line="240" w:lineRule="auto"/>
              <w:rPr>
                <w:rFonts w:ascii="Verdana" w:eastAsia="Times New Roman" w:hAnsi="Verdana" w:cs="Calibri"/>
                <w:sz w:val="18"/>
                <w:szCs w:val="18"/>
                <w:lang w:eastAsia="pt-BR"/>
              </w:rPr>
            </w:pPr>
            <w:r w:rsidRPr="00577BA2">
              <w:rPr>
                <w:rFonts w:ascii="Verdana" w:eastAsia="Times New Roman" w:hAnsi="Verdana" w:cs="Calibri"/>
                <w:sz w:val="18"/>
                <w:szCs w:val="18"/>
                <w:lang w:eastAsia="pt-BR"/>
              </w:rPr>
              <w:t>ELETROBRAS - RGR - ECF 2878</w:t>
            </w:r>
          </w:p>
        </w:tc>
        <w:tc>
          <w:tcPr>
            <w:tcW w:w="1357" w:type="dxa"/>
            <w:tcBorders>
              <w:top w:val="nil"/>
              <w:left w:val="nil"/>
              <w:bottom w:val="nil"/>
              <w:right w:val="nil"/>
            </w:tcBorders>
            <w:shd w:val="clear" w:color="auto" w:fill="auto"/>
            <w:noWrap/>
            <w:vAlign w:val="center"/>
            <w:hideMark/>
          </w:tcPr>
          <w:p w14:paraId="64496D45" w14:textId="77777777" w:rsidR="00577BA2" w:rsidRPr="00577BA2" w:rsidRDefault="00577BA2" w:rsidP="00577BA2">
            <w:pPr>
              <w:spacing w:after="0" w:line="240" w:lineRule="auto"/>
              <w:jc w:val="center"/>
              <w:rPr>
                <w:rFonts w:ascii="Verdana" w:eastAsia="Times New Roman" w:hAnsi="Verdana" w:cs="Calibri"/>
                <w:sz w:val="18"/>
                <w:szCs w:val="18"/>
                <w:lang w:eastAsia="pt-BR"/>
              </w:rPr>
            </w:pPr>
            <w:r w:rsidRPr="00577BA2">
              <w:rPr>
                <w:rFonts w:ascii="Verdana" w:eastAsia="Times New Roman" w:hAnsi="Verdana" w:cs="Calibri"/>
                <w:sz w:val="18"/>
                <w:szCs w:val="18"/>
                <w:lang w:eastAsia="pt-BR"/>
              </w:rPr>
              <w:t>5,00%</w:t>
            </w:r>
          </w:p>
        </w:tc>
        <w:tc>
          <w:tcPr>
            <w:tcW w:w="159" w:type="dxa"/>
            <w:tcBorders>
              <w:top w:val="nil"/>
              <w:left w:val="nil"/>
              <w:bottom w:val="nil"/>
              <w:right w:val="nil"/>
            </w:tcBorders>
            <w:shd w:val="clear" w:color="auto" w:fill="auto"/>
            <w:noWrap/>
            <w:vAlign w:val="bottom"/>
            <w:hideMark/>
          </w:tcPr>
          <w:p w14:paraId="6FF1D9CA" w14:textId="77777777" w:rsidR="00577BA2" w:rsidRPr="00577BA2" w:rsidRDefault="00577BA2" w:rsidP="00577BA2">
            <w:pPr>
              <w:spacing w:after="0" w:line="240" w:lineRule="auto"/>
              <w:jc w:val="center"/>
              <w:rPr>
                <w:rFonts w:ascii="Verdana" w:eastAsia="Times New Roman" w:hAnsi="Verdana" w:cs="Calibri"/>
                <w:sz w:val="18"/>
                <w:szCs w:val="18"/>
                <w:lang w:eastAsia="pt-BR"/>
              </w:rPr>
            </w:pPr>
          </w:p>
        </w:tc>
        <w:tc>
          <w:tcPr>
            <w:tcW w:w="1509" w:type="dxa"/>
            <w:tcBorders>
              <w:top w:val="nil"/>
              <w:left w:val="nil"/>
              <w:bottom w:val="nil"/>
              <w:right w:val="nil"/>
            </w:tcBorders>
            <w:shd w:val="clear" w:color="auto" w:fill="auto"/>
            <w:noWrap/>
            <w:vAlign w:val="bottom"/>
            <w:hideMark/>
          </w:tcPr>
          <w:p w14:paraId="2C3CFF8A" w14:textId="77777777" w:rsidR="00577BA2" w:rsidRPr="00577BA2" w:rsidRDefault="00577BA2" w:rsidP="006B5F69">
            <w:pPr>
              <w:spacing w:after="0" w:line="240" w:lineRule="auto"/>
              <w:jc w:val="right"/>
              <w:rPr>
                <w:rFonts w:ascii="Verdana" w:eastAsia="Times New Roman" w:hAnsi="Verdana" w:cs="Calibri"/>
                <w:sz w:val="18"/>
                <w:szCs w:val="18"/>
                <w:lang w:eastAsia="pt-BR"/>
              </w:rPr>
            </w:pPr>
            <w:r w:rsidRPr="00577BA2">
              <w:rPr>
                <w:rFonts w:ascii="Verdana" w:eastAsia="Times New Roman" w:hAnsi="Verdana" w:cs="Calibri"/>
                <w:sz w:val="18"/>
                <w:szCs w:val="18"/>
                <w:lang w:eastAsia="pt-BR"/>
              </w:rPr>
              <w:t xml:space="preserve">        29.713 </w:t>
            </w:r>
          </w:p>
        </w:tc>
        <w:tc>
          <w:tcPr>
            <w:tcW w:w="159" w:type="dxa"/>
            <w:tcBorders>
              <w:top w:val="nil"/>
              <w:left w:val="nil"/>
              <w:bottom w:val="nil"/>
              <w:right w:val="nil"/>
            </w:tcBorders>
            <w:shd w:val="clear" w:color="auto" w:fill="auto"/>
            <w:noWrap/>
            <w:vAlign w:val="bottom"/>
            <w:hideMark/>
          </w:tcPr>
          <w:p w14:paraId="3B240D00" w14:textId="77777777" w:rsidR="00577BA2" w:rsidRPr="00577BA2" w:rsidRDefault="00577BA2" w:rsidP="006B5F69">
            <w:pPr>
              <w:spacing w:after="0" w:line="240" w:lineRule="auto"/>
              <w:jc w:val="right"/>
              <w:rPr>
                <w:rFonts w:ascii="Verdana" w:eastAsia="Times New Roman" w:hAnsi="Verdana" w:cs="Calibri"/>
                <w:sz w:val="18"/>
                <w:szCs w:val="18"/>
                <w:lang w:eastAsia="pt-BR"/>
              </w:rPr>
            </w:pPr>
          </w:p>
        </w:tc>
        <w:tc>
          <w:tcPr>
            <w:tcW w:w="1663" w:type="dxa"/>
            <w:tcBorders>
              <w:top w:val="nil"/>
              <w:left w:val="nil"/>
              <w:bottom w:val="nil"/>
              <w:right w:val="nil"/>
            </w:tcBorders>
            <w:shd w:val="clear" w:color="auto" w:fill="auto"/>
            <w:noWrap/>
            <w:vAlign w:val="bottom"/>
            <w:hideMark/>
          </w:tcPr>
          <w:p w14:paraId="711397DB" w14:textId="77777777" w:rsidR="00577BA2" w:rsidRPr="00577BA2" w:rsidRDefault="00577BA2" w:rsidP="006B5F69">
            <w:pPr>
              <w:spacing w:after="0" w:line="240" w:lineRule="auto"/>
              <w:jc w:val="right"/>
              <w:rPr>
                <w:rFonts w:ascii="Verdana" w:eastAsia="Times New Roman" w:hAnsi="Verdana" w:cs="Calibri"/>
                <w:sz w:val="18"/>
                <w:szCs w:val="18"/>
                <w:lang w:eastAsia="pt-BR"/>
              </w:rPr>
            </w:pPr>
            <w:r w:rsidRPr="00577BA2">
              <w:rPr>
                <w:rFonts w:ascii="Verdana" w:eastAsia="Times New Roman" w:hAnsi="Verdana" w:cs="Calibri"/>
                <w:sz w:val="18"/>
                <w:szCs w:val="18"/>
                <w:lang w:eastAsia="pt-BR"/>
              </w:rPr>
              <w:t xml:space="preserve">       433.306 </w:t>
            </w:r>
          </w:p>
        </w:tc>
      </w:tr>
      <w:tr w:rsidR="00577BA2" w:rsidRPr="00577BA2" w14:paraId="00636A41" w14:textId="77777777" w:rsidTr="006B5F69">
        <w:trPr>
          <w:trHeight w:val="26"/>
        </w:trPr>
        <w:tc>
          <w:tcPr>
            <w:tcW w:w="4486" w:type="dxa"/>
            <w:tcBorders>
              <w:top w:val="nil"/>
              <w:left w:val="nil"/>
              <w:bottom w:val="nil"/>
              <w:right w:val="nil"/>
            </w:tcBorders>
            <w:shd w:val="clear" w:color="auto" w:fill="auto"/>
            <w:noWrap/>
            <w:vAlign w:val="center"/>
            <w:hideMark/>
          </w:tcPr>
          <w:p w14:paraId="2F72496F" w14:textId="77777777" w:rsidR="00577BA2" w:rsidRPr="00577BA2" w:rsidRDefault="00577BA2" w:rsidP="00577BA2">
            <w:pPr>
              <w:spacing w:after="0" w:line="240" w:lineRule="auto"/>
              <w:rPr>
                <w:rFonts w:ascii="Verdana" w:eastAsia="Times New Roman" w:hAnsi="Verdana" w:cs="Calibri"/>
                <w:sz w:val="18"/>
                <w:szCs w:val="18"/>
                <w:lang w:eastAsia="pt-BR"/>
              </w:rPr>
            </w:pPr>
            <w:r w:rsidRPr="00577BA2">
              <w:rPr>
                <w:rFonts w:ascii="Verdana" w:eastAsia="Times New Roman" w:hAnsi="Verdana" w:cs="Calibri"/>
                <w:sz w:val="18"/>
                <w:szCs w:val="18"/>
                <w:lang w:eastAsia="pt-BR"/>
              </w:rPr>
              <w:t xml:space="preserve">BNDES - Nº 10.2.2032.1 - </w:t>
            </w:r>
            <w:proofErr w:type="spellStart"/>
            <w:r w:rsidRPr="00577BA2">
              <w:rPr>
                <w:rFonts w:ascii="Verdana" w:eastAsia="Times New Roman" w:hAnsi="Verdana" w:cs="Calibri"/>
                <w:sz w:val="18"/>
                <w:szCs w:val="18"/>
                <w:lang w:eastAsia="pt-BR"/>
              </w:rPr>
              <w:t>Subcréditos</w:t>
            </w:r>
            <w:proofErr w:type="spellEnd"/>
            <w:r w:rsidRPr="00577BA2">
              <w:rPr>
                <w:rFonts w:ascii="Verdana" w:eastAsia="Times New Roman" w:hAnsi="Verdana" w:cs="Calibri"/>
                <w:sz w:val="18"/>
                <w:szCs w:val="18"/>
                <w:lang w:eastAsia="pt-BR"/>
              </w:rPr>
              <w:t xml:space="preserve"> A e B</w:t>
            </w:r>
          </w:p>
        </w:tc>
        <w:tc>
          <w:tcPr>
            <w:tcW w:w="1357" w:type="dxa"/>
            <w:tcBorders>
              <w:top w:val="nil"/>
              <w:left w:val="nil"/>
              <w:bottom w:val="nil"/>
              <w:right w:val="nil"/>
            </w:tcBorders>
            <w:shd w:val="clear" w:color="auto" w:fill="auto"/>
            <w:noWrap/>
            <w:vAlign w:val="center"/>
            <w:hideMark/>
          </w:tcPr>
          <w:p w14:paraId="4E77EF41" w14:textId="77777777" w:rsidR="00577BA2" w:rsidRPr="00577BA2" w:rsidRDefault="00577BA2" w:rsidP="00577BA2">
            <w:pPr>
              <w:spacing w:after="0" w:line="240" w:lineRule="auto"/>
              <w:jc w:val="center"/>
              <w:rPr>
                <w:rFonts w:ascii="Verdana" w:eastAsia="Times New Roman" w:hAnsi="Verdana" w:cs="Calibri"/>
                <w:sz w:val="18"/>
                <w:szCs w:val="18"/>
                <w:lang w:eastAsia="pt-BR"/>
              </w:rPr>
            </w:pPr>
            <w:r w:rsidRPr="00577BA2">
              <w:rPr>
                <w:rFonts w:ascii="Verdana" w:eastAsia="Times New Roman" w:hAnsi="Verdana" w:cs="Calibri"/>
                <w:sz w:val="18"/>
                <w:szCs w:val="18"/>
                <w:lang w:eastAsia="pt-BR"/>
              </w:rPr>
              <w:t>7,72%</w:t>
            </w:r>
          </w:p>
        </w:tc>
        <w:tc>
          <w:tcPr>
            <w:tcW w:w="159" w:type="dxa"/>
            <w:tcBorders>
              <w:top w:val="nil"/>
              <w:left w:val="nil"/>
              <w:bottom w:val="nil"/>
              <w:right w:val="nil"/>
            </w:tcBorders>
            <w:shd w:val="clear" w:color="auto" w:fill="auto"/>
            <w:noWrap/>
            <w:vAlign w:val="bottom"/>
            <w:hideMark/>
          </w:tcPr>
          <w:p w14:paraId="6A2278D6" w14:textId="77777777" w:rsidR="00577BA2" w:rsidRPr="00577BA2" w:rsidRDefault="00577BA2" w:rsidP="00577BA2">
            <w:pPr>
              <w:spacing w:after="0" w:line="240" w:lineRule="auto"/>
              <w:jc w:val="center"/>
              <w:rPr>
                <w:rFonts w:ascii="Verdana" w:eastAsia="Times New Roman" w:hAnsi="Verdana" w:cs="Calibri"/>
                <w:sz w:val="18"/>
                <w:szCs w:val="18"/>
                <w:lang w:eastAsia="pt-BR"/>
              </w:rPr>
            </w:pPr>
          </w:p>
        </w:tc>
        <w:tc>
          <w:tcPr>
            <w:tcW w:w="1509" w:type="dxa"/>
            <w:tcBorders>
              <w:top w:val="nil"/>
              <w:left w:val="nil"/>
              <w:bottom w:val="nil"/>
              <w:right w:val="nil"/>
            </w:tcBorders>
            <w:shd w:val="clear" w:color="auto" w:fill="auto"/>
            <w:noWrap/>
            <w:vAlign w:val="bottom"/>
            <w:hideMark/>
          </w:tcPr>
          <w:p w14:paraId="47829CFB" w14:textId="77777777" w:rsidR="00577BA2" w:rsidRPr="00577BA2" w:rsidRDefault="00577BA2" w:rsidP="006B5F69">
            <w:pPr>
              <w:spacing w:after="0" w:line="240" w:lineRule="auto"/>
              <w:jc w:val="right"/>
              <w:rPr>
                <w:rFonts w:ascii="Verdana" w:eastAsia="Times New Roman" w:hAnsi="Verdana" w:cs="Calibri"/>
                <w:sz w:val="18"/>
                <w:szCs w:val="18"/>
                <w:lang w:eastAsia="pt-BR"/>
              </w:rPr>
            </w:pPr>
            <w:r w:rsidRPr="00577BA2">
              <w:rPr>
                <w:rFonts w:ascii="Verdana" w:eastAsia="Times New Roman" w:hAnsi="Verdana" w:cs="Calibri"/>
                <w:sz w:val="18"/>
                <w:szCs w:val="18"/>
                <w:lang w:eastAsia="pt-BR"/>
              </w:rPr>
              <w:t xml:space="preserve">      149.114 </w:t>
            </w:r>
          </w:p>
        </w:tc>
        <w:tc>
          <w:tcPr>
            <w:tcW w:w="159" w:type="dxa"/>
            <w:tcBorders>
              <w:top w:val="nil"/>
              <w:left w:val="nil"/>
              <w:bottom w:val="nil"/>
              <w:right w:val="nil"/>
            </w:tcBorders>
            <w:shd w:val="clear" w:color="auto" w:fill="auto"/>
            <w:noWrap/>
            <w:vAlign w:val="bottom"/>
            <w:hideMark/>
          </w:tcPr>
          <w:p w14:paraId="78CD30F5" w14:textId="77777777" w:rsidR="00577BA2" w:rsidRPr="00577BA2" w:rsidRDefault="00577BA2" w:rsidP="006B5F69">
            <w:pPr>
              <w:spacing w:after="0" w:line="240" w:lineRule="auto"/>
              <w:jc w:val="right"/>
              <w:rPr>
                <w:rFonts w:ascii="Verdana" w:eastAsia="Times New Roman" w:hAnsi="Verdana" w:cs="Calibri"/>
                <w:sz w:val="18"/>
                <w:szCs w:val="18"/>
                <w:lang w:eastAsia="pt-BR"/>
              </w:rPr>
            </w:pPr>
          </w:p>
        </w:tc>
        <w:tc>
          <w:tcPr>
            <w:tcW w:w="1663" w:type="dxa"/>
            <w:tcBorders>
              <w:top w:val="nil"/>
              <w:left w:val="nil"/>
              <w:bottom w:val="nil"/>
              <w:right w:val="nil"/>
            </w:tcBorders>
            <w:shd w:val="clear" w:color="auto" w:fill="auto"/>
            <w:noWrap/>
            <w:vAlign w:val="bottom"/>
            <w:hideMark/>
          </w:tcPr>
          <w:p w14:paraId="72DC16CB" w14:textId="77777777" w:rsidR="00577BA2" w:rsidRPr="00577BA2" w:rsidRDefault="00577BA2" w:rsidP="006B5F69">
            <w:pPr>
              <w:spacing w:after="0" w:line="240" w:lineRule="auto"/>
              <w:jc w:val="right"/>
              <w:rPr>
                <w:rFonts w:ascii="Verdana" w:eastAsia="Times New Roman" w:hAnsi="Verdana" w:cs="Calibri"/>
                <w:sz w:val="18"/>
                <w:szCs w:val="18"/>
                <w:lang w:eastAsia="pt-BR"/>
              </w:rPr>
            </w:pPr>
            <w:r w:rsidRPr="00577BA2">
              <w:rPr>
                <w:rFonts w:ascii="Verdana" w:eastAsia="Times New Roman" w:hAnsi="Verdana" w:cs="Calibri"/>
                <w:sz w:val="18"/>
                <w:szCs w:val="18"/>
                <w:lang w:eastAsia="pt-BR"/>
              </w:rPr>
              <w:t xml:space="preserve">    3.157.555 </w:t>
            </w:r>
          </w:p>
        </w:tc>
      </w:tr>
      <w:tr w:rsidR="00577BA2" w:rsidRPr="00577BA2" w14:paraId="550DFFC3" w14:textId="77777777" w:rsidTr="006B5F69">
        <w:trPr>
          <w:trHeight w:val="26"/>
        </w:trPr>
        <w:tc>
          <w:tcPr>
            <w:tcW w:w="4486" w:type="dxa"/>
            <w:tcBorders>
              <w:top w:val="nil"/>
              <w:left w:val="nil"/>
              <w:bottom w:val="nil"/>
              <w:right w:val="nil"/>
            </w:tcBorders>
            <w:shd w:val="clear" w:color="auto" w:fill="auto"/>
            <w:noWrap/>
            <w:vAlign w:val="center"/>
            <w:hideMark/>
          </w:tcPr>
          <w:p w14:paraId="00EFE083" w14:textId="77777777" w:rsidR="00577BA2" w:rsidRPr="00577BA2" w:rsidRDefault="00577BA2" w:rsidP="00577BA2">
            <w:pPr>
              <w:spacing w:after="0" w:line="240" w:lineRule="auto"/>
              <w:rPr>
                <w:rFonts w:ascii="Verdana" w:eastAsia="Times New Roman" w:hAnsi="Verdana" w:cs="Calibri"/>
                <w:sz w:val="18"/>
                <w:szCs w:val="18"/>
                <w:lang w:eastAsia="pt-BR"/>
              </w:rPr>
            </w:pPr>
            <w:r w:rsidRPr="00577BA2">
              <w:rPr>
                <w:rFonts w:ascii="Verdana" w:eastAsia="Times New Roman" w:hAnsi="Verdana" w:cs="Calibri"/>
                <w:sz w:val="18"/>
                <w:szCs w:val="18"/>
                <w:lang w:eastAsia="pt-BR"/>
              </w:rPr>
              <w:t xml:space="preserve">BNDES - Nº 10.2.2032.1 - </w:t>
            </w:r>
            <w:proofErr w:type="spellStart"/>
            <w:r w:rsidRPr="00577BA2">
              <w:rPr>
                <w:rFonts w:ascii="Verdana" w:eastAsia="Times New Roman" w:hAnsi="Verdana" w:cs="Calibri"/>
                <w:sz w:val="18"/>
                <w:szCs w:val="18"/>
                <w:lang w:eastAsia="pt-BR"/>
              </w:rPr>
              <w:t>Subcréditos</w:t>
            </w:r>
            <w:proofErr w:type="spellEnd"/>
            <w:r w:rsidRPr="00577BA2">
              <w:rPr>
                <w:rFonts w:ascii="Verdana" w:eastAsia="Times New Roman" w:hAnsi="Verdana" w:cs="Calibri"/>
                <w:sz w:val="18"/>
                <w:szCs w:val="18"/>
                <w:lang w:eastAsia="pt-BR"/>
              </w:rPr>
              <w:t xml:space="preserve"> D</w:t>
            </w:r>
          </w:p>
        </w:tc>
        <w:tc>
          <w:tcPr>
            <w:tcW w:w="1357" w:type="dxa"/>
            <w:tcBorders>
              <w:top w:val="nil"/>
              <w:left w:val="nil"/>
              <w:bottom w:val="nil"/>
              <w:right w:val="nil"/>
            </w:tcBorders>
            <w:shd w:val="clear" w:color="auto" w:fill="auto"/>
            <w:noWrap/>
            <w:vAlign w:val="center"/>
            <w:hideMark/>
          </w:tcPr>
          <w:p w14:paraId="0D84AB1B" w14:textId="77777777" w:rsidR="00577BA2" w:rsidRPr="00577BA2" w:rsidRDefault="00577BA2" w:rsidP="00577BA2">
            <w:pPr>
              <w:spacing w:after="0" w:line="240" w:lineRule="auto"/>
              <w:jc w:val="center"/>
              <w:rPr>
                <w:rFonts w:ascii="Verdana" w:eastAsia="Times New Roman" w:hAnsi="Verdana" w:cs="Calibri"/>
                <w:sz w:val="18"/>
                <w:szCs w:val="18"/>
                <w:lang w:eastAsia="pt-BR"/>
              </w:rPr>
            </w:pPr>
            <w:r w:rsidRPr="00577BA2">
              <w:rPr>
                <w:rFonts w:ascii="Verdana" w:eastAsia="Times New Roman" w:hAnsi="Verdana" w:cs="Calibri"/>
                <w:sz w:val="18"/>
                <w:szCs w:val="18"/>
                <w:lang w:eastAsia="pt-BR"/>
              </w:rPr>
              <w:t>2,80%</w:t>
            </w:r>
          </w:p>
        </w:tc>
        <w:tc>
          <w:tcPr>
            <w:tcW w:w="159" w:type="dxa"/>
            <w:tcBorders>
              <w:top w:val="nil"/>
              <w:left w:val="nil"/>
              <w:bottom w:val="nil"/>
              <w:right w:val="nil"/>
            </w:tcBorders>
            <w:shd w:val="clear" w:color="auto" w:fill="auto"/>
            <w:noWrap/>
            <w:vAlign w:val="bottom"/>
            <w:hideMark/>
          </w:tcPr>
          <w:p w14:paraId="35A4DE6C" w14:textId="77777777" w:rsidR="00577BA2" w:rsidRPr="00577BA2" w:rsidRDefault="00577BA2" w:rsidP="00577BA2">
            <w:pPr>
              <w:spacing w:after="0" w:line="240" w:lineRule="auto"/>
              <w:jc w:val="center"/>
              <w:rPr>
                <w:rFonts w:ascii="Verdana" w:eastAsia="Times New Roman" w:hAnsi="Verdana" w:cs="Calibri"/>
                <w:sz w:val="18"/>
                <w:szCs w:val="18"/>
                <w:lang w:eastAsia="pt-BR"/>
              </w:rPr>
            </w:pPr>
          </w:p>
        </w:tc>
        <w:tc>
          <w:tcPr>
            <w:tcW w:w="1509" w:type="dxa"/>
            <w:tcBorders>
              <w:top w:val="nil"/>
              <w:left w:val="nil"/>
              <w:bottom w:val="nil"/>
              <w:right w:val="nil"/>
            </w:tcBorders>
            <w:shd w:val="clear" w:color="auto" w:fill="auto"/>
            <w:noWrap/>
            <w:vAlign w:val="bottom"/>
            <w:hideMark/>
          </w:tcPr>
          <w:p w14:paraId="10F5A975" w14:textId="77777777" w:rsidR="00577BA2" w:rsidRPr="00577BA2" w:rsidRDefault="00577BA2" w:rsidP="006B5F69">
            <w:pPr>
              <w:spacing w:after="0" w:line="240" w:lineRule="auto"/>
              <w:jc w:val="right"/>
              <w:rPr>
                <w:rFonts w:ascii="Verdana" w:eastAsia="Times New Roman" w:hAnsi="Verdana" w:cs="Calibri"/>
                <w:sz w:val="18"/>
                <w:szCs w:val="18"/>
                <w:lang w:eastAsia="pt-BR"/>
              </w:rPr>
            </w:pPr>
            <w:r w:rsidRPr="00577BA2">
              <w:rPr>
                <w:rFonts w:ascii="Verdana" w:eastAsia="Times New Roman" w:hAnsi="Verdana" w:cs="Calibri"/>
                <w:sz w:val="18"/>
                <w:szCs w:val="18"/>
                <w:lang w:eastAsia="pt-BR"/>
              </w:rPr>
              <w:t xml:space="preserve">                -   </w:t>
            </w:r>
          </w:p>
        </w:tc>
        <w:tc>
          <w:tcPr>
            <w:tcW w:w="159" w:type="dxa"/>
            <w:tcBorders>
              <w:top w:val="nil"/>
              <w:left w:val="nil"/>
              <w:bottom w:val="nil"/>
              <w:right w:val="nil"/>
            </w:tcBorders>
            <w:shd w:val="clear" w:color="auto" w:fill="auto"/>
            <w:noWrap/>
            <w:vAlign w:val="bottom"/>
            <w:hideMark/>
          </w:tcPr>
          <w:p w14:paraId="3B72A746" w14:textId="77777777" w:rsidR="00577BA2" w:rsidRPr="00577BA2" w:rsidRDefault="00577BA2" w:rsidP="006B5F69">
            <w:pPr>
              <w:spacing w:after="0" w:line="240" w:lineRule="auto"/>
              <w:jc w:val="right"/>
              <w:rPr>
                <w:rFonts w:ascii="Verdana" w:eastAsia="Times New Roman" w:hAnsi="Verdana" w:cs="Calibri"/>
                <w:sz w:val="18"/>
                <w:szCs w:val="18"/>
                <w:lang w:eastAsia="pt-BR"/>
              </w:rPr>
            </w:pPr>
          </w:p>
        </w:tc>
        <w:tc>
          <w:tcPr>
            <w:tcW w:w="1663" w:type="dxa"/>
            <w:tcBorders>
              <w:top w:val="nil"/>
              <w:left w:val="nil"/>
              <w:bottom w:val="nil"/>
              <w:right w:val="nil"/>
            </w:tcBorders>
            <w:shd w:val="clear" w:color="auto" w:fill="auto"/>
            <w:noWrap/>
            <w:vAlign w:val="bottom"/>
            <w:hideMark/>
          </w:tcPr>
          <w:p w14:paraId="388803FE" w14:textId="77777777" w:rsidR="00577BA2" w:rsidRPr="00577BA2" w:rsidRDefault="00577BA2" w:rsidP="006B5F69">
            <w:pPr>
              <w:spacing w:after="0" w:line="240" w:lineRule="auto"/>
              <w:jc w:val="right"/>
              <w:rPr>
                <w:rFonts w:ascii="Verdana" w:eastAsia="Times New Roman" w:hAnsi="Verdana" w:cs="Calibri"/>
                <w:sz w:val="18"/>
                <w:szCs w:val="18"/>
                <w:lang w:eastAsia="pt-BR"/>
              </w:rPr>
            </w:pPr>
            <w:r w:rsidRPr="00577BA2">
              <w:rPr>
                <w:rFonts w:ascii="Verdana" w:eastAsia="Times New Roman" w:hAnsi="Verdana" w:cs="Calibri"/>
                <w:sz w:val="18"/>
                <w:szCs w:val="18"/>
                <w:lang w:eastAsia="pt-BR"/>
              </w:rPr>
              <w:t xml:space="preserve">                 -   </w:t>
            </w:r>
          </w:p>
        </w:tc>
      </w:tr>
      <w:tr w:rsidR="00577BA2" w:rsidRPr="00577BA2" w14:paraId="011A7910" w14:textId="77777777" w:rsidTr="006B5F69">
        <w:trPr>
          <w:trHeight w:val="26"/>
        </w:trPr>
        <w:tc>
          <w:tcPr>
            <w:tcW w:w="4486" w:type="dxa"/>
            <w:tcBorders>
              <w:top w:val="nil"/>
              <w:left w:val="nil"/>
              <w:bottom w:val="nil"/>
              <w:right w:val="nil"/>
            </w:tcBorders>
            <w:shd w:val="clear" w:color="auto" w:fill="auto"/>
            <w:noWrap/>
            <w:vAlign w:val="center"/>
            <w:hideMark/>
          </w:tcPr>
          <w:p w14:paraId="1519C98A" w14:textId="77777777" w:rsidR="00577BA2" w:rsidRPr="00577BA2" w:rsidRDefault="00577BA2" w:rsidP="00577BA2">
            <w:pPr>
              <w:spacing w:after="0" w:line="240" w:lineRule="auto"/>
              <w:rPr>
                <w:rFonts w:ascii="Verdana" w:eastAsia="Times New Roman" w:hAnsi="Verdana" w:cs="Calibri"/>
                <w:sz w:val="18"/>
                <w:szCs w:val="18"/>
                <w:lang w:eastAsia="pt-BR"/>
              </w:rPr>
            </w:pPr>
            <w:r w:rsidRPr="00577BA2">
              <w:rPr>
                <w:rFonts w:ascii="Verdana" w:eastAsia="Times New Roman" w:hAnsi="Verdana" w:cs="Calibri"/>
                <w:sz w:val="18"/>
                <w:szCs w:val="18"/>
                <w:lang w:eastAsia="pt-BR"/>
              </w:rPr>
              <w:t>CEF - Nº 0410.351-27/13</w:t>
            </w:r>
          </w:p>
        </w:tc>
        <w:tc>
          <w:tcPr>
            <w:tcW w:w="1357" w:type="dxa"/>
            <w:tcBorders>
              <w:top w:val="nil"/>
              <w:left w:val="nil"/>
              <w:bottom w:val="nil"/>
              <w:right w:val="nil"/>
            </w:tcBorders>
            <w:shd w:val="clear" w:color="auto" w:fill="auto"/>
            <w:noWrap/>
            <w:vAlign w:val="center"/>
            <w:hideMark/>
          </w:tcPr>
          <w:p w14:paraId="1955639D" w14:textId="77777777" w:rsidR="00577BA2" w:rsidRPr="00577BA2" w:rsidRDefault="00577BA2" w:rsidP="00577BA2">
            <w:pPr>
              <w:spacing w:after="0" w:line="240" w:lineRule="auto"/>
              <w:jc w:val="center"/>
              <w:rPr>
                <w:rFonts w:ascii="Verdana" w:eastAsia="Times New Roman" w:hAnsi="Verdana" w:cs="Calibri"/>
                <w:sz w:val="18"/>
                <w:szCs w:val="18"/>
                <w:lang w:eastAsia="pt-BR"/>
              </w:rPr>
            </w:pPr>
            <w:r w:rsidRPr="00577BA2">
              <w:rPr>
                <w:rFonts w:ascii="Verdana" w:eastAsia="Times New Roman" w:hAnsi="Verdana" w:cs="Calibri"/>
                <w:sz w:val="18"/>
                <w:szCs w:val="18"/>
                <w:lang w:eastAsia="pt-BR"/>
              </w:rPr>
              <w:t>6,50%</w:t>
            </w:r>
          </w:p>
        </w:tc>
        <w:tc>
          <w:tcPr>
            <w:tcW w:w="159" w:type="dxa"/>
            <w:tcBorders>
              <w:top w:val="nil"/>
              <w:left w:val="nil"/>
              <w:bottom w:val="nil"/>
              <w:right w:val="nil"/>
            </w:tcBorders>
            <w:shd w:val="clear" w:color="auto" w:fill="auto"/>
            <w:noWrap/>
            <w:vAlign w:val="bottom"/>
            <w:hideMark/>
          </w:tcPr>
          <w:p w14:paraId="7BDB4583" w14:textId="77777777" w:rsidR="00577BA2" w:rsidRPr="00577BA2" w:rsidRDefault="00577BA2" w:rsidP="00577BA2">
            <w:pPr>
              <w:spacing w:after="0" w:line="240" w:lineRule="auto"/>
              <w:jc w:val="center"/>
              <w:rPr>
                <w:rFonts w:ascii="Verdana" w:eastAsia="Times New Roman" w:hAnsi="Verdana" w:cs="Calibri"/>
                <w:sz w:val="18"/>
                <w:szCs w:val="18"/>
                <w:lang w:eastAsia="pt-BR"/>
              </w:rPr>
            </w:pPr>
          </w:p>
        </w:tc>
        <w:tc>
          <w:tcPr>
            <w:tcW w:w="1509" w:type="dxa"/>
            <w:tcBorders>
              <w:top w:val="nil"/>
              <w:left w:val="nil"/>
              <w:bottom w:val="single" w:sz="4" w:space="0" w:color="auto"/>
              <w:right w:val="nil"/>
            </w:tcBorders>
            <w:shd w:val="clear" w:color="auto" w:fill="auto"/>
            <w:noWrap/>
            <w:vAlign w:val="bottom"/>
            <w:hideMark/>
          </w:tcPr>
          <w:p w14:paraId="2606BDBC" w14:textId="77777777" w:rsidR="00577BA2" w:rsidRPr="00577BA2" w:rsidRDefault="00577BA2" w:rsidP="006B5F69">
            <w:pPr>
              <w:spacing w:after="0" w:line="240" w:lineRule="auto"/>
              <w:jc w:val="right"/>
              <w:rPr>
                <w:rFonts w:ascii="Verdana" w:eastAsia="Times New Roman" w:hAnsi="Verdana" w:cs="Calibri"/>
                <w:sz w:val="18"/>
                <w:szCs w:val="18"/>
                <w:lang w:eastAsia="pt-BR"/>
              </w:rPr>
            </w:pPr>
            <w:r w:rsidRPr="00577BA2">
              <w:rPr>
                <w:rFonts w:ascii="Verdana" w:eastAsia="Times New Roman" w:hAnsi="Verdana" w:cs="Calibri"/>
                <w:sz w:val="18"/>
                <w:szCs w:val="18"/>
                <w:lang w:eastAsia="pt-BR"/>
              </w:rPr>
              <w:t xml:space="preserve">      121.182 </w:t>
            </w:r>
          </w:p>
        </w:tc>
        <w:tc>
          <w:tcPr>
            <w:tcW w:w="159" w:type="dxa"/>
            <w:tcBorders>
              <w:top w:val="nil"/>
              <w:left w:val="nil"/>
              <w:bottom w:val="nil"/>
              <w:right w:val="nil"/>
            </w:tcBorders>
            <w:shd w:val="clear" w:color="auto" w:fill="auto"/>
            <w:noWrap/>
            <w:vAlign w:val="bottom"/>
            <w:hideMark/>
          </w:tcPr>
          <w:p w14:paraId="6BA9949C" w14:textId="77777777" w:rsidR="00577BA2" w:rsidRPr="00577BA2" w:rsidRDefault="00577BA2" w:rsidP="006B5F69">
            <w:pPr>
              <w:spacing w:after="0" w:line="240" w:lineRule="auto"/>
              <w:jc w:val="right"/>
              <w:rPr>
                <w:rFonts w:ascii="Verdana" w:eastAsia="Times New Roman" w:hAnsi="Verdana" w:cs="Calibri"/>
                <w:sz w:val="18"/>
                <w:szCs w:val="18"/>
                <w:lang w:eastAsia="pt-BR"/>
              </w:rPr>
            </w:pPr>
          </w:p>
        </w:tc>
        <w:tc>
          <w:tcPr>
            <w:tcW w:w="1663" w:type="dxa"/>
            <w:tcBorders>
              <w:top w:val="nil"/>
              <w:left w:val="nil"/>
              <w:bottom w:val="single" w:sz="4" w:space="0" w:color="auto"/>
              <w:right w:val="nil"/>
            </w:tcBorders>
            <w:shd w:val="clear" w:color="auto" w:fill="auto"/>
            <w:noWrap/>
            <w:vAlign w:val="bottom"/>
            <w:hideMark/>
          </w:tcPr>
          <w:p w14:paraId="63B7112B" w14:textId="77777777" w:rsidR="00577BA2" w:rsidRPr="00577BA2" w:rsidRDefault="00577BA2" w:rsidP="006B5F69">
            <w:pPr>
              <w:spacing w:after="0" w:line="240" w:lineRule="auto"/>
              <w:jc w:val="right"/>
              <w:rPr>
                <w:rFonts w:ascii="Verdana" w:eastAsia="Times New Roman" w:hAnsi="Verdana" w:cs="Calibri"/>
                <w:sz w:val="18"/>
                <w:szCs w:val="18"/>
                <w:lang w:eastAsia="pt-BR"/>
              </w:rPr>
            </w:pPr>
            <w:r w:rsidRPr="00577BA2">
              <w:rPr>
                <w:rFonts w:ascii="Verdana" w:eastAsia="Times New Roman" w:hAnsi="Verdana" w:cs="Calibri"/>
                <w:sz w:val="18"/>
                <w:szCs w:val="18"/>
                <w:lang w:eastAsia="pt-BR"/>
              </w:rPr>
              <w:t xml:space="preserve">    2.839.704 </w:t>
            </w:r>
          </w:p>
        </w:tc>
      </w:tr>
      <w:tr w:rsidR="00577BA2" w:rsidRPr="00577BA2" w14:paraId="75B51A71" w14:textId="77777777" w:rsidTr="006B5F69">
        <w:trPr>
          <w:trHeight w:val="26"/>
        </w:trPr>
        <w:tc>
          <w:tcPr>
            <w:tcW w:w="4486" w:type="dxa"/>
            <w:tcBorders>
              <w:top w:val="nil"/>
              <w:left w:val="nil"/>
              <w:bottom w:val="nil"/>
              <w:right w:val="nil"/>
            </w:tcBorders>
            <w:shd w:val="clear" w:color="auto" w:fill="auto"/>
            <w:noWrap/>
            <w:vAlign w:val="center"/>
            <w:hideMark/>
          </w:tcPr>
          <w:p w14:paraId="6FA31780" w14:textId="77777777" w:rsidR="00577BA2" w:rsidRPr="00577BA2" w:rsidRDefault="00577BA2" w:rsidP="00577BA2">
            <w:pPr>
              <w:spacing w:after="0" w:line="240" w:lineRule="auto"/>
              <w:rPr>
                <w:rFonts w:ascii="Verdana" w:eastAsia="Times New Roman" w:hAnsi="Verdana" w:cs="Calibri"/>
                <w:b/>
                <w:bCs/>
                <w:sz w:val="18"/>
                <w:szCs w:val="18"/>
                <w:lang w:eastAsia="pt-BR"/>
              </w:rPr>
            </w:pPr>
            <w:r w:rsidRPr="00577BA2">
              <w:rPr>
                <w:rFonts w:ascii="Verdana" w:eastAsia="Times New Roman" w:hAnsi="Verdana" w:cs="Calibri"/>
                <w:b/>
                <w:bCs/>
                <w:sz w:val="18"/>
                <w:szCs w:val="18"/>
                <w:lang w:eastAsia="pt-BR"/>
              </w:rPr>
              <w:t>Total</w:t>
            </w:r>
          </w:p>
        </w:tc>
        <w:tc>
          <w:tcPr>
            <w:tcW w:w="1357" w:type="dxa"/>
            <w:tcBorders>
              <w:top w:val="nil"/>
              <w:left w:val="nil"/>
              <w:bottom w:val="nil"/>
              <w:right w:val="nil"/>
            </w:tcBorders>
            <w:shd w:val="clear" w:color="auto" w:fill="auto"/>
            <w:noWrap/>
            <w:vAlign w:val="bottom"/>
            <w:hideMark/>
          </w:tcPr>
          <w:p w14:paraId="5EC98EA6" w14:textId="77777777" w:rsidR="00577BA2" w:rsidRPr="00577BA2" w:rsidRDefault="00577BA2" w:rsidP="00577BA2">
            <w:pPr>
              <w:spacing w:after="0" w:line="240" w:lineRule="auto"/>
              <w:rPr>
                <w:rFonts w:ascii="Verdana" w:eastAsia="Times New Roman" w:hAnsi="Verdana" w:cs="Calibri"/>
                <w:b/>
                <w:bCs/>
                <w:sz w:val="18"/>
                <w:szCs w:val="18"/>
                <w:lang w:eastAsia="pt-BR"/>
              </w:rPr>
            </w:pPr>
          </w:p>
        </w:tc>
        <w:tc>
          <w:tcPr>
            <w:tcW w:w="159" w:type="dxa"/>
            <w:tcBorders>
              <w:top w:val="nil"/>
              <w:left w:val="nil"/>
              <w:bottom w:val="nil"/>
              <w:right w:val="nil"/>
            </w:tcBorders>
            <w:shd w:val="clear" w:color="auto" w:fill="auto"/>
            <w:noWrap/>
            <w:vAlign w:val="bottom"/>
            <w:hideMark/>
          </w:tcPr>
          <w:p w14:paraId="75725323" w14:textId="77777777" w:rsidR="00577BA2" w:rsidRPr="00577BA2" w:rsidRDefault="00577BA2" w:rsidP="00577BA2">
            <w:pPr>
              <w:spacing w:after="0" w:line="240" w:lineRule="auto"/>
              <w:rPr>
                <w:rFonts w:ascii="Times New Roman" w:eastAsia="Times New Roman" w:hAnsi="Times New Roman" w:cs="Times New Roman"/>
                <w:sz w:val="20"/>
                <w:szCs w:val="20"/>
                <w:lang w:eastAsia="pt-BR"/>
              </w:rPr>
            </w:pPr>
          </w:p>
        </w:tc>
        <w:tc>
          <w:tcPr>
            <w:tcW w:w="1509" w:type="dxa"/>
            <w:tcBorders>
              <w:top w:val="nil"/>
              <w:left w:val="nil"/>
              <w:bottom w:val="nil"/>
              <w:right w:val="nil"/>
            </w:tcBorders>
            <w:shd w:val="clear" w:color="auto" w:fill="auto"/>
            <w:noWrap/>
            <w:vAlign w:val="bottom"/>
            <w:hideMark/>
          </w:tcPr>
          <w:p w14:paraId="3DEC67F1" w14:textId="77777777" w:rsidR="00577BA2" w:rsidRPr="00577BA2" w:rsidRDefault="00577BA2" w:rsidP="006B5F69">
            <w:pPr>
              <w:spacing w:after="0" w:line="240" w:lineRule="auto"/>
              <w:jc w:val="right"/>
              <w:rPr>
                <w:rFonts w:ascii="Verdana" w:eastAsia="Times New Roman" w:hAnsi="Verdana" w:cs="Calibri"/>
                <w:b/>
                <w:bCs/>
                <w:sz w:val="18"/>
                <w:szCs w:val="18"/>
                <w:lang w:eastAsia="pt-BR"/>
              </w:rPr>
            </w:pPr>
            <w:r w:rsidRPr="00577BA2">
              <w:rPr>
                <w:rFonts w:ascii="Verdana" w:eastAsia="Times New Roman" w:hAnsi="Verdana" w:cs="Calibri"/>
                <w:b/>
                <w:bCs/>
                <w:sz w:val="18"/>
                <w:szCs w:val="18"/>
                <w:lang w:eastAsia="pt-BR"/>
              </w:rPr>
              <w:t xml:space="preserve">    374.839 </w:t>
            </w:r>
          </w:p>
        </w:tc>
        <w:tc>
          <w:tcPr>
            <w:tcW w:w="159" w:type="dxa"/>
            <w:tcBorders>
              <w:top w:val="nil"/>
              <w:left w:val="nil"/>
              <w:bottom w:val="nil"/>
              <w:right w:val="nil"/>
            </w:tcBorders>
            <w:shd w:val="clear" w:color="auto" w:fill="auto"/>
            <w:noWrap/>
            <w:vAlign w:val="bottom"/>
            <w:hideMark/>
          </w:tcPr>
          <w:p w14:paraId="315C56B4" w14:textId="77777777" w:rsidR="00577BA2" w:rsidRPr="00577BA2" w:rsidRDefault="00577BA2" w:rsidP="006B5F69">
            <w:pPr>
              <w:spacing w:after="0" w:line="240" w:lineRule="auto"/>
              <w:jc w:val="right"/>
              <w:rPr>
                <w:rFonts w:ascii="Verdana" w:eastAsia="Times New Roman" w:hAnsi="Verdana" w:cs="Calibri"/>
                <w:b/>
                <w:bCs/>
                <w:sz w:val="18"/>
                <w:szCs w:val="18"/>
                <w:lang w:eastAsia="pt-BR"/>
              </w:rPr>
            </w:pPr>
          </w:p>
        </w:tc>
        <w:tc>
          <w:tcPr>
            <w:tcW w:w="1663" w:type="dxa"/>
            <w:tcBorders>
              <w:top w:val="nil"/>
              <w:left w:val="nil"/>
              <w:bottom w:val="nil"/>
              <w:right w:val="nil"/>
            </w:tcBorders>
            <w:shd w:val="clear" w:color="auto" w:fill="auto"/>
            <w:noWrap/>
            <w:vAlign w:val="bottom"/>
            <w:hideMark/>
          </w:tcPr>
          <w:p w14:paraId="3E76FC2D" w14:textId="77777777" w:rsidR="00577BA2" w:rsidRPr="00577BA2" w:rsidRDefault="00577BA2" w:rsidP="006B5F69">
            <w:pPr>
              <w:spacing w:after="0" w:line="240" w:lineRule="auto"/>
              <w:jc w:val="right"/>
              <w:rPr>
                <w:rFonts w:ascii="Verdana" w:eastAsia="Times New Roman" w:hAnsi="Verdana" w:cs="Calibri"/>
                <w:b/>
                <w:bCs/>
                <w:sz w:val="18"/>
                <w:szCs w:val="18"/>
                <w:lang w:eastAsia="pt-BR"/>
              </w:rPr>
            </w:pPr>
            <w:r w:rsidRPr="00577BA2">
              <w:rPr>
                <w:rFonts w:ascii="Verdana" w:eastAsia="Times New Roman" w:hAnsi="Verdana" w:cs="Calibri"/>
                <w:b/>
                <w:bCs/>
                <w:sz w:val="18"/>
                <w:szCs w:val="18"/>
                <w:lang w:eastAsia="pt-BR"/>
              </w:rPr>
              <w:t xml:space="preserve">  6.801.794 </w:t>
            </w:r>
          </w:p>
        </w:tc>
      </w:tr>
    </w:tbl>
    <w:p w14:paraId="24481815" w14:textId="77777777" w:rsidR="003072B4" w:rsidRDefault="003072B4" w:rsidP="00C144BB">
      <w:pPr>
        <w:pStyle w:val="PargrafodaLista"/>
        <w:spacing w:after="160"/>
        <w:ind w:left="0"/>
        <w:rPr>
          <w:rFonts w:ascii="Verdana" w:hAnsi="Verdana" w:cstheme="minorHAnsi"/>
          <w:b/>
          <w:bCs/>
          <w:szCs w:val="22"/>
        </w:rPr>
      </w:pPr>
    </w:p>
    <w:p w14:paraId="3FC467EC" w14:textId="3298A03D" w:rsidR="00E406F0" w:rsidRPr="00C144BB" w:rsidRDefault="00E406F0" w:rsidP="00C144BB">
      <w:pPr>
        <w:pStyle w:val="PargrafodaLista"/>
        <w:spacing w:after="160"/>
        <w:ind w:left="0"/>
        <w:rPr>
          <w:rFonts w:ascii="Verdana" w:hAnsi="Verdana" w:cstheme="minorHAnsi"/>
          <w:b/>
          <w:bCs/>
          <w:szCs w:val="22"/>
        </w:rPr>
      </w:pPr>
      <w:r w:rsidRPr="00C144BB">
        <w:rPr>
          <w:rFonts w:ascii="Verdana" w:hAnsi="Verdana" w:cstheme="minorHAnsi"/>
          <w:b/>
          <w:bCs/>
          <w:szCs w:val="22"/>
        </w:rPr>
        <w:t>Aplicações nas Usinas Angra 1 e Angra 2</w:t>
      </w:r>
    </w:p>
    <w:p w14:paraId="6CD3A0C6" w14:textId="77777777" w:rsidR="00E406F0" w:rsidRPr="00116729" w:rsidRDefault="00E406F0" w:rsidP="00E406F0">
      <w:pPr>
        <w:jc w:val="both"/>
        <w:rPr>
          <w:rFonts w:ascii="Verdana" w:hAnsi="Verdana" w:cstheme="minorHAnsi"/>
        </w:rPr>
      </w:pPr>
      <w:r w:rsidRPr="00116729">
        <w:rPr>
          <w:rFonts w:ascii="Verdana" w:hAnsi="Verdana" w:cstheme="minorHAnsi"/>
        </w:rPr>
        <w:t xml:space="preserve">Trata-se de financiamentos captados com a Eletrobras para diversas etapas de melhoramentos da Usina Angra 1, para a troca dos geradores de vapor, a troca da tampa do vaso de pressão do reator e para o capital de giro da Companhia. </w:t>
      </w:r>
    </w:p>
    <w:p w14:paraId="0DCBB62E" w14:textId="77777777" w:rsidR="00E406F0" w:rsidRPr="00116729" w:rsidRDefault="00E406F0" w:rsidP="00E406F0">
      <w:pPr>
        <w:jc w:val="both"/>
        <w:rPr>
          <w:rFonts w:ascii="Verdana" w:hAnsi="Verdana" w:cstheme="minorHAnsi"/>
        </w:rPr>
      </w:pPr>
      <w:r w:rsidRPr="00116729">
        <w:rPr>
          <w:rFonts w:ascii="Verdana" w:hAnsi="Verdana" w:cstheme="minorHAnsi"/>
        </w:rPr>
        <w:lastRenderedPageBreak/>
        <w:t xml:space="preserve">Em garantia dos compromissos assumidos com a Eletrobras, a </w:t>
      </w:r>
      <w:r w:rsidR="00DA30CF" w:rsidRPr="00116729">
        <w:rPr>
          <w:rFonts w:ascii="Verdana" w:hAnsi="Verdana" w:cstheme="minorHAnsi"/>
        </w:rPr>
        <w:t>controlada Eletronuclear</w:t>
      </w:r>
      <w:r w:rsidRPr="00116729">
        <w:rPr>
          <w:rFonts w:ascii="Verdana" w:hAnsi="Verdana" w:cstheme="minorHAnsi"/>
        </w:rPr>
        <w:t xml:space="preserve"> vinculou sua receita própria, oriunda das Usinas Angra 1 e Angra 2, aos débitos previstos nos financiamentos. Tal vinculação está suportada por procurações outorgadas por instrumento público para que, em caso de inadimplência, possa receber diretamente os valores em atraso.</w:t>
      </w:r>
    </w:p>
    <w:p w14:paraId="5B18CC10" w14:textId="77777777" w:rsidR="00E406F0" w:rsidRPr="00F7132F" w:rsidRDefault="00E406F0" w:rsidP="00E406F0">
      <w:pPr>
        <w:jc w:val="both"/>
        <w:rPr>
          <w:rFonts w:ascii="Verdana" w:hAnsi="Verdana" w:cstheme="minorHAnsi"/>
        </w:rPr>
      </w:pPr>
      <w:r w:rsidRPr="00F7132F">
        <w:rPr>
          <w:rFonts w:ascii="Verdana" w:hAnsi="Verdana" w:cstheme="minorHAnsi"/>
        </w:rPr>
        <w:t xml:space="preserve">A </w:t>
      </w:r>
      <w:r w:rsidR="00DA30CF" w:rsidRPr="00F7132F">
        <w:rPr>
          <w:rFonts w:ascii="Verdana" w:hAnsi="Verdana" w:cstheme="minorHAnsi"/>
        </w:rPr>
        <w:t>controlada Eletronuclear</w:t>
      </w:r>
      <w:r w:rsidRPr="00F7132F">
        <w:rPr>
          <w:rFonts w:ascii="Verdana" w:hAnsi="Verdana" w:cstheme="minorHAnsi"/>
        </w:rPr>
        <w:t xml:space="preserve"> firmou, em 08 de junho de 2022, o </w:t>
      </w:r>
      <w:r w:rsidRPr="00F7132F">
        <w:rPr>
          <w:rFonts w:ascii="Verdana" w:hAnsi="Verdana" w:cstheme="minorHAnsi"/>
          <w:i/>
          <w:iCs/>
        </w:rPr>
        <w:t>“</w:t>
      </w:r>
      <w:proofErr w:type="spellStart"/>
      <w:r w:rsidRPr="00F7132F">
        <w:rPr>
          <w:rFonts w:ascii="Verdana" w:hAnsi="Verdana" w:cstheme="minorHAnsi"/>
          <w:i/>
          <w:iCs/>
        </w:rPr>
        <w:t>Credit</w:t>
      </w:r>
      <w:proofErr w:type="spellEnd"/>
      <w:r w:rsidRPr="00F7132F">
        <w:rPr>
          <w:rFonts w:ascii="Verdana" w:hAnsi="Verdana" w:cstheme="minorHAnsi"/>
          <w:i/>
          <w:iCs/>
        </w:rPr>
        <w:t xml:space="preserve"> </w:t>
      </w:r>
      <w:proofErr w:type="spellStart"/>
      <w:r w:rsidRPr="00F7132F">
        <w:rPr>
          <w:rFonts w:ascii="Verdana" w:hAnsi="Verdana" w:cstheme="minorHAnsi"/>
          <w:i/>
          <w:iCs/>
        </w:rPr>
        <w:t>Agreement</w:t>
      </w:r>
      <w:proofErr w:type="spellEnd"/>
      <w:r w:rsidRPr="00F7132F">
        <w:rPr>
          <w:rFonts w:ascii="Verdana" w:hAnsi="Verdana" w:cstheme="minorHAnsi"/>
          <w:i/>
          <w:iCs/>
        </w:rPr>
        <w:t>”,</w:t>
      </w:r>
      <w:r w:rsidRPr="00F7132F">
        <w:rPr>
          <w:rFonts w:ascii="Verdana" w:hAnsi="Verdana" w:cstheme="minorHAnsi"/>
        </w:rPr>
        <w:t xml:space="preserve"> no valor de USD 22,2 milhões com o Banco Santander S.A., com garantia do </w:t>
      </w:r>
      <w:r w:rsidRPr="00F7132F">
        <w:rPr>
          <w:rFonts w:ascii="Verdana" w:hAnsi="Verdana" w:cstheme="minorHAnsi"/>
          <w:i/>
          <w:iCs/>
        </w:rPr>
        <w:t xml:space="preserve">US </w:t>
      </w:r>
      <w:proofErr w:type="spellStart"/>
      <w:r w:rsidRPr="00F7132F">
        <w:rPr>
          <w:rFonts w:ascii="Verdana" w:hAnsi="Verdana" w:cstheme="minorHAnsi"/>
          <w:i/>
          <w:iCs/>
        </w:rPr>
        <w:t>Exim</w:t>
      </w:r>
      <w:proofErr w:type="spellEnd"/>
      <w:r w:rsidRPr="00F7132F">
        <w:rPr>
          <w:rFonts w:ascii="Verdana" w:hAnsi="Verdana" w:cstheme="minorHAnsi"/>
          <w:i/>
          <w:iCs/>
        </w:rPr>
        <w:t xml:space="preserve"> Bank</w:t>
      </w:r>
      <w:r w:rsidRPr="00F7132F">
        <w:rPr>
          <w:rFonts w:ascii="Verdana" w:hAnsi="Verdana" w:cstheme="minorHAnsi"/>
        </w:rPr>
        <w:t xml:space="preserve"> e contragarantia Eletrobras, para financiar o </w:t>
      </w:r>
      <w:proofErr w:type="spellStart"/>
      <w:r w:rsidRPr="00F7132F">
        <w:rPr>
          <w:rFonts w:ascii="Verdana" w:hAnsi="Verdana" w:cstheme="minorHAnsi"/>
          <w:i/>
        </w:rPr>
        <w:t>Engineering</w:t>
      </w:r>
      <w:proofErr w:type="spellEnd"/>
      <w:r w:rsidRPr="00F7132F">
        <w:rPr>
          <w:rFonts w:ascii="Verdana" w:hAnsi="Verdana" w:cstheme="minorHAnsi"/>
          <w:i/>
        </w:rPr>
        <w:t xml:space="preserve"> </w:t>
      </w:r>
      <w:proofErr w:type="spellStart"/>
      <w:r w:rsidRPr="00F7132F">
        <w:rPr>
          <w:rFonts w:ascii="Verdana" w:hAnsi="Verdana" w:cstheme="minorHAnsi"/>
          <w:i/>
        </w:rPr>
        <w:t>Multiplier</w:t>
      </w:r>
      <w:proofErr w:type="spellEnd"/>
      <w:r w:rsidRPr="00F7132F">
        <w:rPr>
          <w:rFonts w:ascii="Verdana" w:hAnsi="Verdana" w:cstheme="minorHAnsi"/>
          <w:i/>
        </w:rPr>
        <w:t xml:space="preserve"> </w:t>
      </w:r>
      <w:proofErr w:type="spellStart"/>
      <w:r w:rsidRPr="00F7132F">
        <w:rPr>
          <w:rFonts w:ascii="Verdana" w:hAnsi="Verdana" w:cstheme="minorHAnsi"/>
          <w:i/>
        </w:rPr>
        <w:t>Program</w:t>
      </w:r>
      <w:proofErr w:type="spellEnd"/>
      <w:r w:rsidRPr="00F7132F">
        <w:rPr>
          <w:rFonts w:ascii="Verdana" w:hAnsi="Verdana" w:cstheme="minorHAnsi"/>
        </w:rPr>
        <w:t xml:space="preserve"> – EMP que abrangem estudos de viabilidade e serviços de </w:t>
      </w:r>
      <w:proofErr w:type="spellStart"/>
      <w:r w:rsidRPr="00F7132F">
        <w:rPr>
          <w:rFonts w:ascii="Verdana" w:hAnsi="Verdana" w:cstheme="minorHAnsi"/>
        </w:rPr>
        <w:t>pré</w:t>
      </w:r>
      <w:proofErr w:type="spellEnd"/>
      <w:r w:rsidRPr="00F7132F">
        <w:rPr>
          <w:rFonts w:ascii="Verdana" w:hAnsi="Verdana" w:cstheme="minorHAnsi"/>
        </w:rPr>
        <w:t xml:space="preserve"> engenharia a serem executados pela </w:t>
      </w:r>
      <w:r w:rsidRPr="00F7132F">
        <w:rPr>
          <w:rFonts w:ascii="Verdana" w:hAnsi="Verdana" w:cstheme="minorHAnsi"/>
          <w:i/>
          <w:iCs/>
        </w:rPr>
        <w:t>Westinghouse</w:t>
      </w:r>
      <w:r w:rsidRPr="00F7132F">
        <w:rPr>
          <w:rFonts w:ascii="Verdana" w:hAnsi="Verdana" w:cstheme="minorHAnsi"/>
        </w:rPr>
        <w:t xml:space="preserve"> no âmbito do Programa de Extensão de Vida Útil de Angra 1 – LTO (</w:t>
      </w:r>
      <w:proofErr w:type="spellStart"/>
      <w:r w:rsidRPr="00F7132F">
        <w:rPr>
          <w:rFonts w:ascii="Verdana" w:hAnsi="Verdana" w:cstheme="minorHAnsi"/>
          <w:i/>
        </w:rPr>
        <w:t>Long</w:t>
      </w:r>
      <w:proofErr w:type="spellEnd"/>
      <w:r w:rsidRPr="00F7132F">
        <w:rPr>
          <w:rFonts w:ascii="Verdana" w:hAnsi="Verdana" w:cstheme="minorHAnsi"/>
          <w:i/>
        </w:rPr>
        <w:t xml:space="preserve"> </w:t>
      </w:r>
      <w:proofErr w:type="spellStart"/>
      <w:r w:rsidRPr="00F7132F">
        <w:rPr>
          <w:rFonts w:ascii="Verdana" w:hAnsi="Verdana" w:cstheme="minorHAnsi"/>
          <w:i/>
        </w:rPr>
        <w:t>Term</w:t>
      </w:r>
      <w:proofErr w:type="spellEnd"/>
      <w:r w:rsidRPr="00F7132F">
        <w:rPr>
          <w:rFonts w:ascii="Verdana" w:hAnsi="Verdana" w:cstheme="minorHAnsi"/>
          <w:i/>
        </w:rPr>
        <w:t xml:space="preserve"> </w:t>
      </w:r>
      <w:proofErr w:type="spellStart"/>
      <w:r w:rsidRPr="00F7132F">
        <w:rPr>
          <w:rFonts w:ascii="Verdana" w:hAnsi="Verdana" w:cstheme="minorHAnsi"/>
          <w:i/>
        </w:rPr>
        <w:t>Operation</w:t>
      </w:r>
      <w:proofErr w:type="spellEnd"/>
      <w:r w:rsidRPr="00F7132F">
        <w:rPr>
          <w:rFonts w:ascii="Verdana" w:hAnsi="Verdana" w:cstheme="minorHAnsi"/>
        </w:rPr>
        <w:t>) para viabilizar a continuidade operacional da usina por mais 20 anos, considerando que em dezembro de 2024 a atual licença de operação concedida pela CNEN vai se expirar. A solicitação de renovação já foi encaminhada ao órgão regulador em outubro de 2019.</w:t>
      </w:r>
    </w:p>
    <w:p w14:paraId="61597B58" w14:textId="77777777" w:rsidR="00E406F0" w:rsidRPr="00C144BB" w:rsidRDefault="00E406F0" w:rsidP="00C144BB">
      <w:pPr>
        <w:pStyle w:val="PargrafodaLista"/>
        <w:spacing w:after="160"/>
        <w:ind w:left="0"/>
        <w:rPr>
          <w:rFonts w:ascii="Verdana" w:hAnsi="Verdana" w:cstheme="minorHAnsi"/>
          <w:b/>
          <w:bCs/>
          <w:szCs w:val="22"/>
        </w:rPr>
      </w:pPr>
      <w:r w:rsidRPr="00C144BB">
        <w:rPr>
          <w:rFonts w:ascii="Verdana" w:hAnsi="Verdana" w:cstheme="minorHAnsi"/>
          <w:b/>
          <w:bCs/>
          <w:szCs w:val="22"/>
        </w:rPr>
        <w:t>Aplicações na Usina Angra 3</w:t>
      </w:r>
    </w:p>
    <w:p w14:paraId="40DDD0A3" w14:textId="77777777" w:rsidR="00E406F0" w:rsidRPr="00116729" w:rsidRDefault="00E406F0" w:rsidP="00E406F0">
      <w:pPr>
        <w:jc w:val="both"/>
        <w:rPr>
          <w:rFonts w:ascii="Verdana" w:hAnsi="Verdana" w:cstheme="minorHAnsi"/>
        </w:rPr>
      </w:pPr>
      <w:r w:rsidRPr="00116729">
        <w:rPr>
          <w:rFonts w:ascii="Verdana" w:hAnsi="Verdana" w:cstheme="minorHAnsi"/>
        </w:rPr>
        <w:t>Trata-se de financiamentos captados com a Eletrobras com abertura de recursos da Reserva Global de Reversão – RGR, com o Banco Nacional de Desenvolvimento Econômico e Social – BNDES e com a Caixa Econômica Federal – CEF destinados à implantação da Usina Angra 3.</w:t>
      </w:r>
    </w:p>
    <w:p w14:paraId="1899C5C0" w14:textId="77777777" w:rsidR="00E406F0" w:rsidRPr="00116729" w:rsidRDefault="00E406F0" w:rsidP="00E406F0">
      <w:pPr>
        <w:jc w:val="both"/>
        <w:rPr>
          <w:rFonts w:ascii="Verdana" w:hAnsi="Verdana" w:cstheme="minorHAnsi"/>
        </w:rPr>
      </w:pPr>
      <w:r w:rsidRPr="00116729">
        <w:rPr>
          <w:rFonts w:ascii="Verdana" w:hAnsi="Verdana" w:cstheme="minorHAnsi"/>
        </w:rPr>
        <w:t xml:space="preserve">Em garantia dos compromissos assumidos com o contrato do BNDES citado, a </w:t>
      </w:r>
      <w:r w:rsidR="00DA30CF" w:rsidRPr="00116729">
        <w:rPr>
          <w:rFonts w:ascii="Verdana" w:hAnsi="Verdana" w:cstheme="minorHAnsi"/>
        </w:rPr>
        <w:t>controlada Eletronuclear</w:t>
      </w:r>
      <w:r w:rsidRPr="00116729">
        <w:rPr>
          <w:rFonts w:ascii="Verdana" w:hAnsi="Verdana" w:cstheme="minorHAnsi"/>
        </w:rPr>
        <w:t xml:space="preserve"> constituiu uma cessão fiduciária em favor do BNDES, em caráter irrevogável e irretratável, até o final da liquidação de todas as obrigações deste contrato, decorrentes da venda de energia produzida pela Usina Angra 3.   </w:t>
      </w:r>
    </w:p>
    <w:p w14:paraId="5E4403A1" w14:textId="77777777" w:rsidR="00E406F0" w:rsidRPr="00116729" w:rsidRDefault="00E406F0" w:rsidP="00E406F0">
      <w:pPr>
        <w:jc w:val="both"/>
        <w:rPr>
          <w:rFonts w:ascii="Verdana" w:hAnsi="Verdana" w:cstheme="minorHAnsi"/>
        </w:rPr>
      </w:pPr>
      <w:r w:rsidRPr="00116729">
        <w:rPr>
          <w:rFonts w:ascii="Verdana" w:hAnsi="Verdana" w:cstheme="minorHAnsi"/>
        </w:rPr>
        <w:t xml:space="preserve">Originalmente, o Contrato nº 10.2.2032.1 previa o início das amortizações do principal da dívida em 30 de julho de 2016. Em virtude de renegociações realizadas entre BNDES e </w:t>
      </w:r>
      <w:r w:rsidR="00DA30CF" w:rsidRPr="00116729">
        <w:rPr>
          <w:rFonts w:ascii="Verdana" w:hAnsi="Verdana" w:cstheme="minorHAnsi"/>
        </w:rPr>
        <w:t>controlada Eletronuclear</w:t>
      </w:r>
      <w:r w:rsidRPr="00116729">
        <w:rPr>
          <w:rFonts w:ascii="Verdana" w:hAnsi="Verdana" w:cstheme="minorHAnsi"/>
        </w:rPr>
        <w:t xml:space="preserve">, foram realizados dois aditamentos contratuais que prorrogaram a data de início de amortização. Por conta destas renegociações, a </w:t>
      </w:r>
      <w:r w:rsidR="00DA30CF" w:rsidRPr="00116729">
        <w:rPr>
          <w:rFonts w:ascii="Verdana" w:hAnsi="Verdana" w:cstheme="minorHAnsi"/>
        </w:rPr>
        <w:t>controlada Eletronuclear</w:t>
      </w:r>
      <w:r w:rsidRPr="00116729">
        <w:rPr>
          <w:rFonts w:ascii="Verdana" w:hAnsi="Verdana" w:cstheme="minorHAnsi"/>
        </w:rPr>
        <w:t xml:space="preserve"> foi obrigada a pagar uma Comissão de Renegociação por cada uma destes aditamentos, no valor de 0,5% do saldo devedor. O montante em débito, acrescido de IOF, foi incorporado ao saldo devedor do contrato original, na forma dos </w:t>
      </w:r>
      <w:proofErr w:type="spellStart"/>
      <w:r w:rsidRPr="00116729">
        <w:rPr>
          <w:rFonts w:ascii="Verdana" w:hAnsi="Verdana" w:cstheme="minorHAnsi"/>
        </w:rPr>
        <w:t>Subcréditos</w:t>
      </w:r>
      <w:proofErr w:type="spellEnd"/>
      <w:r w:rsidRPr="00116729">
        <w:rPr>
          <w:rFonts w:ascii="Verdana" w:hAnsi="Verdana" w:cstheme="minorHAnsi"/>
        </w:rPr>
        <w:t xml:space="preserve"> C e D, com prazo de pagamento de 54 parcelas, após um prazo de carência de 6 meses. O </w:t>
      </w:r>
      <w:proofErr w:type="spellStart"/>
      <w:r w:rsidRPr="00116729">
        <w:rPr>
          <w:rFonts w:ascii="Verdana" w:hAnsi="Verdana" w:cstheme="minorHAnsi"/>
        </w:rPr>
        <w:t>Subcrédito</w:t>
      </w:r>
      <w:proofErr w:type="spellEnd"/>
      <w:r w:rsidRPr="00116729">
        <w:rPr>
          <w:rFonts w:ascii="Verdana" w:hAnsi="Verdana" w:cstheme="minorHAnsi"/>
        </w:rPr>
        <w:t xml:space="preserve"> C começou a ser amortizado em 15 de fevereiro de 2017, enquanto o </w:t>
      </w:r>
      <w:proofErr w:type="spellStart"/>
      <w:r w:rsidRPr="00116729">
        <w:rPr>
          <w:rFonts w:ascii="Verdana" w:hAnsi="Verdana" w:cstheme="minorHAnsi"/>
        </w:rPr>
        <w:t>Subcrédito</w:t>
      </w:r>
      <w:proofErr w:type="spellEnd"/>
      <w:r w:rsidRPr="00116729">
        <w:rPr>
          <w:rFonts w:ascii="Verdana" w:hAnsi="Verdana" w:cstheme="minorHAnsi"/>
        </w:rPr>
        <w:t xml:space="preserve"> D teve sua amortização iniciada em 16 de novembro de 2017.</w:t>
      </w:r>
    </w:p>
    <w:p w14:paraId="724C301F" w14:textId="77777777" w:rsidR="00E406F0" w:rsidRPr="00116729" w:rsidRDefault="00E406F0" w:rsidP="00E406F0">
      <w:pPr>
        <w:jc w:val="both"/>
        <w:rPr>
          <w:rFonts w:ascii="Verdana" w:hAnsi="Verdana" w:cstheme="minorHAnsi"/>
        </w:rPr>
      </w:pPr>
      <w:r w:rsidRPr="00116729">
        <w:rPr>
          <w:rFonts w:ascii="Verdana" w:hAnsi="Verdana" w:cstheme="minorHAnsi"/>
        </w:rPr>
        <w:t xml:space="preserve">Em 16 de outubro de 2017, a </w:t>
      </w:r>
      <w:r w:rsidR="00DA30CF" w:rsidRPr="00116729">
        <w:rPr>
          <w:rFonts w:ascii="Verdana" w:hAnsi="Verdana" w:cstheme="minorHAnsi"/>
        </w:rPr>
        <w:t>controlada Eletronuclear</w:t>
      </w:r>
      <w:r w:rsidRPr="00116729">
        <w:rPr>
          <w:rFonts w:ascii="Verdana" w:hAnsi="Verdana" w:cstheme="minorHAnsi"/>
        </w:rPr>
        <w:t xml:space="preserve"> iniciou a amortização do principal e passou a realizar o pagamento de 100% dos encargos dos </w:t>
      </w:r>
      <w:proofErr w:type="spellStart"/>
      <w:r w:rsidRPr="00116729">
        <w:rPr>
          <w:rFonts w:ascii="Verdana" w:hAnsi="Verdana" w:cstheme="minorHAnsi"/>
        </w:rPr>
        <w:t>Subcréditos</w:t>
      </w:r>
      <w:proofErr w:type="spellEnd"/>
      <w:r w:rsidRPr="00116729">
        <w:rPr>
          <w:rFonts w:ascii="Verdana" w:hAnsi="Verdana" w:cstheme="minorHAnsi"/>
        </w:rPr>
        <w:t xml:space="preserve"> A e B relativos ao contrato nº 10.2.2032.1, celebrado com o BNDES para investimentos no empreendimento de Angra 3. </w:t>
      </w:r>
    </w:p>
    <w:p w14:paraId="6FDF0008" w14:textId="77777777" w:rsidR="00E406F0" w:rsidRPr="00116729" w:rsidRDefault="00E406F0" w:rsidP="00E406F0">
      <w:pPr>
        <w:jc w:val="both"/>
        <w:rPr>
          <w:rFonts w:ascii="Verdana" w:hAnsi="Verdana" w:cstheme="minorHAnsi"/>
        </w:rPr>
      </w:pPr>
      <w:r w:rsidRPr="00116729">
        <w:rPr>
          <w:rFonts w:ascii="Verdana" w:hAnsi="Verdana" w:cstheme="minorHAnsi"/>
        </w:rPr>
        <w:t xml:space="preserve">Em 06 de julho de 2018, a </w:t>
      </w:r>
      <w:r w:rsidR="00DA30CF" w:rsidRPr="00116729">
        <w:rPr>
          <w:rFonts w:ascii="Verdana" w:hAnsi="Verdana" w:cstheme="minorHAnsi"/>
        </w:rPr>
        <w:t>controlada Eletronuclear</w:t>
      </w:r>
      <w:r w:rsidRPr="00116729">
        <w:rPr>
          <w:rFonts w:ascii="Verdana" w:hAnsi="Verdana" w:cstheme="minorHAnsi"/>
        </w:rPr>
        <w:t xml:space="preserve"> iniciou a amortização do Contrato nº 0410.351-27/2013 da CEF com o pagamento da primeira prestação no valor de R$ 24.741.</w:t>
      </w:r>
    </w:p>
    <w:p w14:paraId="59112CF7" w14:textId="77777777" w:rsidR="00E406F0" w:rsidRPr="00F7132F" w:rsidRDefault="00E406F0" w:rsidP="00E406F0">
      <w:pPr>
        <w:jc w:val="both"/>
        <w:rPr>
          <w:rFonts w:ascii="Verdana" w:hAnsi="Verdana" w:cstheme="minorHAnsi"/>
        </w:rPr>
      </w:pPr>
      <w:r w:rsidRPr="00F7132F">
        <w:rPr>
          <w:rFonts w:ascii="Verdana" w:hAnsi="Verdana" w:cstheme="minorHAnsi"/>
        </w:rPr>
        <w:lastRenderedPageBreak/>
        <w:t xml:space="preserve">Em 18 de abril de 2022, houve o pagamento da última prestação e liquidação final do </w:t>
      </w:r>
      <w:proofErr w:type="spellStart"/>
      <w:r w:rsidRPr="00F7132F">
        <w:rPr>
          <w:rFonts w:ascii="Verdana" w:hAnsi="Verdana" w:cstheme="minorHAnsi"/>
        </w:rPr>
        <w:t>Subcrédito</w:t>
      </w:r>
      <w:proofErr w:type="spellEnd"/>
      <w:r w:rsidRPr="00F7132F">
        <w:rPr>
          <w:rFonts w:ascii="Verdana" w:hAnsi="Verdana" w:cstheme="minorHAnsi"/>
        </w:rPr>
        <w:t xml:space="preserve"> D referente ao Contrato de Financiamento nº 10.2.2031.1 firmado pela </w:t>
      </w:r>
      <w:r w:rsidR="00DA30CF" w:rsidRPr="00F7132F">
        <w:rPr>
          <w:rFonts w:ascii="Verdana" w:hAnsi="Verdana" w:cstheme="minorHAnsi"/>
        </w:rPr>
        <w:t>controlada Eletronuclear</w:t>
      </w:r>
      <w:r w:rsidRPr="00F7132F">
        <w:rPr>
          <w:rFonts w:ascii="Verdana" w:hAnsi="Verdana" w:cstheme="minorHAnsi"/>
        </w:rPr>
        <w:t xml:space="preserve"> com Banco Nacional de Desenvolvimento Econômico e Social - BNDES tendo a Eletrobras como interveniente.</w:t>
      </w:r>
    </w:p>
    <w:p w14:paraId="02F6D587" w14:textId="77777777" w:rsidR="00E406F0" w:rsidRPr="00F7132F" w:rsidRDefault="00E406F0" w:rsidP="00E406F0">
      <w:pPr>
        <w:jc w:val="both"/>
        <w:rPr>
          <w:rFonts w:ascii="Verdana" w:hAnsi="Verdana" w:cstheme="minorHAnsi"/>
        </w:rPr>
      </w:pPr>
      <w:r w:rsidRPr="00F7132F">
        <w:rPr>
          <w:rFonts w:ascii="Verdana" w:hAnsi="Verdana" w:cstheme="minorHAnsi"/>
        </w:rPr>
        <w:t xml:space="preserve">Em 10 de Maio de 2022, a </w:t>
      </w:r>
      <w:r w:rsidR="00DA30CF" w:rsidRPr="00F7132F">
        <w:rPr>
          <w:rFonts w:ascii="Verdana" w:hAnsi="Verdana" w:cstheme="minorHAnsi"/>
        </w:rPr>
        <w:t>controlada Eletronuclear</w:t>
      </w:r>
      <w:r w:rsidRPr="00F7132F">
        <w:rPr>
          <w:rFonts w:ascii="Verdana" w:hAnsi="Verdana" w:cstheme="minorHAnsi"/>
        </w:rPr>
        <w:t xml:space="preserve"> recebeu comunicação formal do BNDES, por meio da carta 042/2022 - BNDES AE/DEENE1, autorizando a prorrogação até a data de 15/06/2024 do prazo para o cumprimento pela </w:t>
      </w:r>
      <w:r w:rsidR="00DA30CF" w:rsidRPr="00F7132F">
        <w:rPr>
          <w:rFonts w:ascii="Verdana" w:hAnsi="Verdana" w:cstheme="minorHAnsi"/>
        </w:rPr>
        <w:t>controlada Eletronuclear</w:t>
      </w:r>
      <w:r w:rsidRPr="00F7132F">
        <w:rPr>
          <w:rFonts w:ascii="Verdana" w:hAnsi="Verdana" w:cstheme="minorHAnsi"/>
        </w:rPr>
        <w:t xml:space="preserve"> da obrigação do preenchimento da Conta Reserva com base no pedido encaminhado pela Companhia em 25 de março de 2022. Também houve autorização de prorrogação até 01/10/2026 para a apresentação da Autorização para a Utilização de Material Nuclear - AUMAN e até 01/03/2026, para a celebração do Contrato de Uso do Sistema de Transmissão - CUST e do Contrato de Conexão - CCT, com o Operador Nacional do Sistema Elétrico - ONS e Furnas Centrais Elétricas S.A., respectivamente,</w:t>
      </w:r>
    </w:p>
    <w:p w14:paraId="526A4EB2" w14:textId="77777777" w:rsidR="00E406F0" w:rsidRPr="00C144BB" w:rsidRDefault="00E406F0" w:rsidP="00C144BB">
      <w:pPr>
        <w:pStyle w:val="PargrafodaLista"/>
        <w:spacing w:after="160"/>
        <w:ind w:left="0"/>
        <w:rPr>
          <w:rFonts w:ascii="Verdana" w:hAnsi="Verdana" w:cstheme="minorHAnsi"/>
          <w:b/>
          <w:bCs/>
          <w:szCs w:val="22"/>
        </w:rPr>
      </w:pPr>
      <w:r w:rsidRPr="00C144BB">
        <w:rPr>
          <w:rFonts w:ascii="Verdana" w:hAnsi="Verdana" w:cstheme="minorHAnsi"/>
          <w:b/>
          <w:bCs/>
          <w:szCs w:val="22"/>
        </w:rPr>
        <w:t>Confissão de Dívida</w:t>
      </w:r>
    </w:p>
    <w:p w14:paraId="5359D46A" w14:textId="77777777" w:rsidR="00E406F0" w:rsidRPr="00116729" w:rsidRDefault="00E406F0" w:rsidP="00E406F0">
      <w:pPr>
        <w:tabs>
          <w:tab w:val="num" w:pos="360"/>
        </w:tabs>
        <w:jc w:val="both"/>
        <w:rPr>
          <w:rFonts w:ascii="Verdana" w:hAnsi="Verdana" w:cstheme="minorHAnsi"/>
        </w:rPr>
      </w:pPr>
      <w:r w:rsidRPr="00116729">
        <w:rPr>
          <w:rFonts w:ascii="Verdana" w:hAnsi="Verdana" w:cstheme="minorHAnsi"/>
        </w:rPr>
        <w:t xml:space="preserve">Em 30 de outubro de 2019, foi celebrado pela </w:t>
      </w:r>
      <w:r w:rsidR="00DA30CF" w:rsidRPr="00116729">
        <w:rPr>
          <w:rFonts w:ascii="Verdana" w:hAnsi="Verdana" w:cstheme="minorHAnsi"/>
        </w:rPr>
        <w:t>controlada Eletronuclear</w:t>
      </w:r>
      <w:r w:rsidRPr="00116729">
        <w:rPr>
          <w:rFonts w:ascii="Verdana" w:hAnsi="Verdana" w:cstheme="minorHAnsi"/>
        </w:rPr>
        <w:t xml:space="preserve"> e por Furnas Centrais Elétricas S.A. o Instrumento Particular de Confissão de Dívida e Outras Avenças – 001/2019, por meio do qual as duas partes reconhecem a existência de créditos pendentes uma com a outra, que após compensação dos valores somam um crédito líquido em favor de Furnas no montante de R$ 122.560, atualizado à data de 31 de dezembro de 2012. Este montante devido pela </w:t>
      </w:r>
      <w:r w:rsidR="00DA30CF" w:rsidRPr="00116729">
        <w:rPr>
          <w:rFonts w:ascii="Verdana" w:hAnsi="Verdana" w:cstheme="minorHAnsi"/>
        </w:rPr>
        <w:t>controlada Eletronuclear</w:t>
      </w:r>
      <w:r w:rsidRPr="00116729">
        <w:rPr>
          <w:rFonts w:ascii="Verdana" w:hAnsi="Verdana" w:cstheme="minorHAnsi"/>
        </w:rPr>
        <w:t>, atualizado em 31 de dezembro 2018, totalizava R$ 246.142.</w:t>
      </w:r>
    </w:p>
    <w:p w14:paraId="3836B782" w14:textId="77777777" w:rsidR="00E406F0" w:rsidRPr="00116729" w:rsidRDefault="00E406F0" w:rsidP="00E406F0">
      <w:pPr>
        <w:tabs>
          <w:tab w:val="num" w:pos="360"/>
        </w:tabs>
        <w:jc w:val="both"/>
        <w:rPr>
          <w:rFonts w:ascii="Verdana" w:hAnsi="Verdana" w:cstheme="minorHAnsi"/>
        </w:rPr>
      </w:pPr>
      <w:r w:rsidRPr="00116729">
        <w:rPr>
          <w:rFonts w:ascii="Verdana" w:hAnsi="Verdana" w:cstheme="minorHAnsi"/>
        </w:rPr>
        <w:t xml:space="preserve">Desta forma, conforme as condições firmadas pelas duas partes no Instrumento firmado, a </w:t>
      </w:r>
      <w:r w:rsidR="00DA30CF" w:rsidRPr="00116729">
        <w:rPr>
          <w:rFonts w:ascii="Verdana" w:hAnsi="Verdana" w:cstheme="minorHAnsi"/>
        </w:rPr>
        <w:t>controlada Eletronuclear</w:t>
      </w:r>
      <w:r w:rsidRPr="00116729">
        <w:rPr>
          <w:rFonts w:ascii="Verdana" w:hAnsi="Verdana" w:cstheme="minorHAnsi"/>
        </w:rPr>
        <w:t xml:space="preserve"> obriga-se a pagar o saldo atualizado  pelo </w:t>
      </w:r>
      <w:r w:rsidRPr="00F7132F">
        <w:rPr>
          <w:rFonts w:ascii="Verdana" w:hAnsi="Verdana" w:cstheme="minorHAnsi"/>
          <w:shd w:val="clear" w:color="auto" w:fill="FFFFFF"/>
        </w:rPr>
        <w:t> Índice Nacional de Preços ao Consumidor Amplo</w:t>
      </w:r>
      <w:r w:rsidRPr="00116729">
        <w:rPr>
          <w:rFonts w:ascii="Verdana" w:hAnsi="Verdana" w:cstheme="minorHAnsi"/>
        </w:rPr>
        <w:t xml:space="preserve"> - IPCA, da dívida reconhecida em 96 (noventa e seis) parcelas iguais e sucessivas, pelo Sistema de Amortização Constante – SAC, contados a partir da expiração dos 24 (vinte e quatro) meses de carência do principal, que possui início a partir do mês subsequente à assinatura do referido Instrumento de Confissão de Dívida. </w:t>
      </w:r>
    </w:p>
    <w:p w14:paraId="262AB744" w14:textId="77777777" w:rsidR="00E406F0" w:rsidRPr="00116729" w:rsidRDefault="00E406F0" w:rsidP="00E406F0">
      <w:pPr>
        <w:tabs>
          <w:tab w:val="num" w:pos="360"/>
        </w:tabs>
        <w:jc w:val="both"/>
        <w:rPr>
          <w:rFonts w:ascii="Verdana" w:hAnsi="Verdana" w:cstheme="minorHAnsi"/>
        </w:rPr>
      </w:pPr>
      <w:r w:rsidRPr="00116729">
        <w:rPr>
          <w:rFonts w:ascii="Verdana" w:hAnsi="Verdana" w:cstheme="minorHAnsi"/>
        </w:rPr>
        <w:t xml:space="preserve">A partir da assinatura do referido contrato, sobre o saldo devedor atualizado mensalmente pelo IPCA, incidem taxa de juros nominal de 7,83% a.a. e uma taxa de administração de 0,5% a.a., ambos calculados </w:t>
      </w:r>
      <w:r w:rsidRPr="00116729">
        <w:rPr>
          <w:rFonts w:ascii="Verdana" w:hAnsi="Verdana" w:cstheme="minorHAnsi"/>
          <w:i/>
        </w:rPr>
        <w:t xml:space="preserve">pro rata </w:t>
      </w:r>
      <w:proofErr w:type="spellStart"/>
      <w:r w:rsidRPr="00116729">
        <w:rPr>
          <w:rFonts w:ascii="Verdana" w:hAnsi="Verdana" w:cstheme="minorHAnsi"/>
          <w:i/>
        </w:rPr>
        <w:t>temporis</w:t>
      </w:r>
      <w:proofErr w:type="spellEnd"/>
      <w:r w:rsidRPr="00116729">
        <w:rPr>
          <w:rFonts w:ascii="Verdana" w:hAnsi="Verdana" w:cstheme="minorHAnsi"/>
        </w:rPr>
        <w:t>.</w:t>
      </w:r>
    </w:p>
    <w:p w14:paraId="4FC578A7" w14:textId="77777777" w:rsidR="00C144BB" w:rsidRDefault="00E406F0" w:rsidP="00E406F0">
      <w:pPr>
        <w:tabs>
          <w:tab w:val="num" w:pos="360"/>
        </w:tabs>
        <w:jc w:val="both"/>
        <w:rPr>
          <w:rFonts w:ascii="Verdana" w:hAnsi="Verdana" w:cstheme="minorHAnsi"/>
        </w:rPr>
      </w:pPr>
      <w:r w:rsidRPr="00116729">
        <w:rPr>
          <w:rFonts w:ascii="Verdana" w:hAnsi="Verdana" w:cstheme="minorHAnsi"/>
        </w:rPr>
        <w:t>Em novembro de 2021, teve início a amortização do principal do Instrumento Particular de Confissão de Dívida firmado com Furnas.</w:t>
      </w:r>
    </w:p>
    <w:p w14:paraId="0DE7E0D2" w14:textId="08EF464C" w:rsidR="00E406F0" w:rsidRPr="00F7132F" w:rsidRDefault="00590B3C" w:rsidP="00E406F0">
      <w:pPr>
        <w:jc w:val="both"/>
        <w:rPr>
          <w:rFonts w:ascii="Verdana" w:hAnsi="Verdana" w:cstheme="minorHAnsi"/>
          <w:b/>
          <w:bCs/>
        </w:rPr>
      </w:pPr>
      <w:r w:rsidRPr="00F7132F">
        <w:rPr>
          <w:rFonts w:ascii="Verdana" w:hAnsi="Verdana" w:cstheme="minorHAnsi"/>
          <w:b/>
          <w:bCs/>
        </w:rPr>
        <w:t>1</w:t>
      </w:r>
      <w:r>
        <w:rPr>
          <w:rFonts w:ascii="Verdana" w:hAnsi="Verdana" w:cstheme="minorHAnsi"/>
          <w:b/>
          <w:bCs/>
        </w:rPr>
        <w:t>5</w:t>
      </w:r>
      <w:r w:rsidR="00E406F0" w:rsidRPr="00F7132F">
        <w:rPr>
          <w:rFonts w:ascii="Verdana" w:hAnsi="Verdana" w:cstheme="minorHAnsi"/>
          <w:b/>
          <w:bCs/>
        </w:rPr>
        <w:t xml:space="preserve">.1 </w:t>
      </w:r>
      <w:r w:rsidR="001B5717" w:rsidRPr="00F7132F">
        <w:rPr>
          <w:rFonts w:ascii="Verdana" w:hAnsi="Verdana" w:cstheme="minorHAnsi"/>
          <w:b/>
          <w:bCs/>
        </w:rPr>
        <w:t>–</w:t>
      </w:r>
      <w:r w:rsidR="00E406F0" w:rsidRPr="00F7132F">
        <w:rPr>
          <w:rFonts w:ascii="Verdana" w:hAnsi="Verdana" w:cstheme="minorHAnsi"/>
          <w:b/>
          <w:bCs/>
        </w:rPr>
        <w:t xml:space="preserve"> </w:t>
      </w:r>
      <w:r w:rsidR="001B5717" w:rsidRPr="00F7132F">
        <w:rPr>
          <w:rFonts w:ascii="Verdana" w:hAnsi="Verdana" w:cstheme="minorHAnsi"/>
          <w:b/>
          <w:bCs/>
        </w:rPr>
        <w:t>Cronograma de pagamentos</w:t>
      </w:r>
    </w:p>
    <w:p w14:paraId="13A88C71" w14:textId="77777777" w:rsidR="00E406F0" w:rsidRPr="00C11BC9" w:rsidRDefault="00E406F0" w:rsidP="00E406F0">
      <w:pPr>
        <w:widowControl w:val="0"/>
        <w:autoSpaceDE w:val="0"/>
        <w:autoSpaceDN w:val="0"/>
        <w:jc w:val="both"/>
        <w:rPr>
          <w:rFonts w:ascii="Verdana" w:hAnsi="Verdana" w:cstheme="minorHAnsi"/>
        </w:rPr>
      </w:pPr>
      <w:r w:rsidRPr="00C11BC9">
        <w:rPr>
          <w:rFonts w:ascii="Verdana" w:hAnsi="Verdana" w:cstheme="minorHAnsi"/>
        </w:rPr>
        <w:t>A parcela dos empréstimos e financiamentos tem seu vencimento assim programado:</w:t>
      </w:r>
    </w:p>
    <w:tbl>
      <w:tblPr>
        <w:tblW w:w="5366" w:type="pct"/>
        <w:jc w:val="center"/>
        <w:tblCellMar>
          <w:left w:w="70" w:type="dxa"/>
          <w:right w:w="70" w:type="dxa"/>
        </w:tblCellMar>
        <w:tblLook w:val="04A0" w:firstRow="1" w:lastRow="0" w:firstColumn="1" w:lastColumn="0" w:noHBand="0" w:noVBand="1"/>
      </w:tblPr>
      <w:tblGrid>
        <w:gridCol w:w="1312"/>
        <w:gridCol w:w="921"/>
        <w:gridCol w:w="146"/>
        <w:gridCol w:w="921"/>
        <w:gridCol w:w="147"/>
        <w:gridCol w:w="922"/>
        <w:gridCol w:w="147"/>
        <w:gridCol w:w="922"/>
        <w:gridCol w:w="147"/>
        <w:gridCol w:w="922"/>
        <w:gridCol w:w="147"/>
        <w:gridCol w:w="922"/>
        <w:gridCol w:w="147"/>
        <w:gridCol w:w="1090"/>
        <w:gridCol w:w="147"/>
        <w:gridCol w:w="1080"/>
      </w:tblGrid>
      <w:tr w:rsidR="00F7132F" w:rsidRPr="00C144BB" w14:paraId="1DCC0C54" w14:textId="77777777" w:rsidTr="00DE1EA6">
        <w:trPr>
          <w:trHeight w:val="387"/>
          <w:jc w:val="center"/>
        </w:trPr>
        <w:tc>
          <w:tcPr>
            <w:tcW w:w="654" w:type="pct"/>
            <w:tcBorders>
              <w:top w:val="nil"/>
              <w:left w:val="nil"/>
              <w:bottom w:val="nil"/>
              <w:right w:val="nil"/>
            </w:tcBorders>
            <w:shd w:val="clear" w:color="auto" w:fill="auto"/>
            <w:noWrap/>
            <w:vAlign w:val="center"/>
            <w:hideMark/>
          </w:tcPr>
          <w:p w14:paraId="44208EB6" w14:textId="77777777" w:rsidR="00102A6B" w:rsidRPr="00C144BB" w:rsidRDefault="00102A6B" w:rsidP="00102A6B">
            <w:pPr>
              <w:spacing w:after="0" w:line="240" w:lineRule="auto"/>
              <w:rPr>
                <w:rFonts w:ascii="Times New Roman" w:eastAsia="Times New Roman" w:hAnsi="Times New Roman" w:cs="Times New Roman"/>
                <w:sz w:val="14"/>
                <w:szCs w:val="24"/>
                <w:lang w:eastAsia="pt-BR"/>
              </w:rPr>
            </w:pPr>
          </w:p>
        </w:tc>
        <w:tc>
          <w:tcPr>
            <w:tcW w:w="459" w:type="pct"/>
            <w:tcBorders>
              <w:top w:val="single" w:sz="4" w:space="0" w:color="auto"/>
              <w:left w:val="nil"/>
              <w:bottom w:val="single" w:sz="4" w:space="0" w:color="auto"/>
              <w:right w:val="nil"/>
            </w:tcBorders>
            <w:shd w:val="clear" w:color="auto" w:fill="auto"/>
            <w:noWrap/>
            <w:vAlign w:val="center"/>
            <w:hideMark/>
          </w:tcPr>
          <w:p w14:paraId="300FB6C8" w14:textId="77777777" w:rsidR="00102A6B" w:rsidRPr="00C144BB" w:rsidRDefault="00102A6B" w:rsidP="00102A6B">
            <w:pPr>
              <w:spacing w:after="0" w:line="240" w:lineRule="auto"/>
              <w:jc w:val="center"/>
              <w:rPr>
                <w:rFonts w:ascii="Verdana" w:eastAsia="Times New Roman" w:hAnsi="Verdana" w:cs="Calibri"/>
                <w:b/>
                <w:bCs/>
                <w:sz w:val="14"/>
                <w:szCs w:val="18"/>
                <w:lang w:eastAsia="pt-BR"/>
              </w:rPr>
            </w:pPr>
            <w:r w:rsidRPr="00C144BB">
              <w:rPr>
                <w:rFonts w:ascii="Verdana" w:eastAsia="Times New Roman" w:hAnsi="Verdana" w:cs="Calibri"/>
                <w:b/>
                <w:bCs/>
                <w:sz w:val="14"/>
                <w:szCs w:val="18"/>
                <w:lang w:eastAsia="pt-BR"/>
              </w:rPr>
              <w:t>2022</w:t>
            </w:r>
          </w:p>
        </w:tc>
        <w:tc>
          <w:tcPr>
            <w:tcW w:w="73" w:type="pct"/>
            <w:tcBorders>
              <w:top w:val="nil"/>
              <w:left w:val="nil"/>
              <w:bottom w:val="nil"/>
              <w:right w:val="nil"/>
            </w:tcBorders>
            <w:shd w:val="clear" w:color="auto" w:fill="auto"/>
            <w:noWrap/>
            <w:vAlign w:val="center"/>
            <w:hideMark/>
          </w:tcPr>
          <w:p w14:paraId="65E3E840" w14:textId="77777777" w:rsidR="00102A6B" w:rsidRPr="00C144BB" w:rsidRDefault="00102A6B" w:rsidP="00102A6B">
            <w:pPr>
              <w:spacing w:after="0" w:line="240" w:lineRule="auto"/>
              <w:jc w:val="center"/>
              <w:rPr>
                <w:rFonts w:ascii="Verdana" w:eastAsia="Times New Roman" w:hAnsi="Verdana" w:cs="Calibri"/>
                <w:b/>
                <w:bCs/>
                <w:sz w:val="14"/>
                <w:szCs w:val="18"/>
                <w:lang w:eastAsia="pt-BR"/>
              </w:rPr>
            </w:pPr>
          </w:p>
        </w:tc>
        <w:tc>
          <w:tcPr>
            <w:tcW w:w="459" w:type="pct"/>
            <w:tcBorders>
              <w:top w:val="single" w:sz="4" w:space="0" w:color="auto"/>
              <w:left w:val="nil"/>
              <w:bottom w:val="single" w:sz="4" w:space="0" w:color="auto"/>
              <w:right w:val="nil"/>
            </w:tcBorders>
            <w:shd w:val="clear" w:color="auto" w:fill="auto"/>
            <w:noWrap/>
            <w:vAlign w:val="center"/>
            <w:hideMark/>
          </w:tcPr>
          <w:p w14:paraId="7351D808" w14:textId="77777777" w:rsidR="00102A6B" w:rsidRPr="00C144BB" w:rsidRDefault="00102A6B" w:rsidP="00102A6B">
            <w:pPr>
              <w:spacing w:after="0" w:line="240" w:lineRule="auto"/>
              <w:jc w:val="center"/>
              <w:rPr>
                <w:rFonts w:ascii="Verdana" w:eastAsia="Times New Roman" w:hAnsi="Verdana" w:cs="Calibri"/>
                <w:b/>
                <w:bCs/>
                <w:sz w:val="14"/>
                <w:szCs w:val="18"/>
                <w:lang w:eastAsia="pt-BR"/>
              </w:rPr>
            </w:pPr>
            <w:r w:rsidRPr="00C144BB">
              <w:rPr>
                <w:rFonts w:ascii="Verdana" w:eastAsia="Times New Roman" w:hAnsi="Verdana" w:cs="Calibri"/>
                <w:b/>
                <w:bCs/>
                <w:sz w:val="14"/>
                <w:szCs w:val="18"/>
                <w:lang w:eastAsia="pt-BR"/>
              </w:rPr>
              <w:t>2023</w:t>
            </w:r>
          </w:p>
        </w:tc>
        <w:tc>
          <w:tcPr>
            <w:tcW w:w="73" w:type="pct"/>
            <w:tcBorders>
              <w:top w:val="nil"/>
              <w:left w:val="nil"/>
              <w:bottom w:val="nil"/>
              <w:right w:val="nil"/>
            </w:tcBorders>
            <w:shd w:val="clear" w:color="auto" w:fill="auto"/>
            <w:noWrap/>
            <w:vAlign w:val="center"/>
            <w:hideMark/>
          </w:tcPr>
          <w:p w14:paraId="25D9A39E" w14:textId="77777777" w:rsidR="00102A6B" w:rsidRPr="00C144BB" w:rsidRDefault="00102A6B" w:rsidP="00102A6B">
            <w:pPr>
              <w:spacing w:after="0" w:line="240" w:lineRule="auto"/>
              <w:jc w:val="center"/>
              <w:rPr>
                <w:rFonts w:ascii="Verdana" w:eastAsia="Times New Roman" w:hAnsi="Verdana" w:cs="Calibri"/>
                <w:b/>
                <w:bCs/>
                <w:sz w:val="14"/>
                <w:szCs w:val="18"/>
                <w:lang w:eastAsia="pt-BR"/>
              </w:rPr>
            </w:pPr>
          </w:p>
        </w:tc>
        <w:tc>
          <w:tcPr>
            <w:tcW w:w="459" w:type="pct"/>
            <w:tcBorders>
              <w:top w:val="single" w:sz="4" w:space="0" w:color="auto"/>
              <w:left w:val="nil"/>
              <w:bottom w:val="single" w:sz="4" w:space="0" w:color="auto"/>
              <w:right w:val="nil"/>
            </w:tcBorders>
            <w:shd w:val="clear" w:color="auto" w:fill="auto"/>
            <w:noWrap/>
            <w:vAlign w:val="center"/>
            <w:hideMark/>
          </w:tcPr>
          <w:p w14:paraId="2966AFDA" w14:textId="77777777" w:rsidR="00102A6B" w:rsidRPr="00C144BB" w:rsidRDefault="00102A6B" w:rsidP="00102A6B">
            <w:pPr>
              <w:spacing w:after="0" w:line="240" w:lineRule="auto"/>
              <w:jc w:val="center"/>
              <w:rPr>
                <w:rFonts w:ascii="Verdana" w:eastAsia="Times New Roman" w:hAnsi="Verdana" w:cs="Calibri"/>
                <w:b/>
                <w:bCs/>
                <w:sz w:val="14"/>
                <w:szCs w:val="18"/>
                <w:lang w:eastAsia="pt-BR"/>
              </w:rPr>
            </w:pPr>
            <w:r w:rsidRPr="00C144BB">
              <w:rPr>
                <w:rFonts w:ascii="Verdana" w:eastAsia="Times New Roman" w:hAnsi="Verdana" w:cs="Calibri"/>
                <w:b/>
                <w:bCs/>
                <w:sz w:val="14"/>
                <w:szCs w:val="18"/>
                <w:lang w:eastAsia="pt-BR"/>
              </w:rPr>
              <w:t>2024</w:t>
            </w:r>
          </w:p>
        </w:tc>
        <w:tc>
          <w:tcPr>
            <w:tcW w:w="73" w:type="pct"/>
            <w:tcBorders>
              <w:top w:val="nil"/>
              <w:left w:val="nil"/>
              <w:bottom w:val="nil"/>
              <w:right w:val="nil"/>
            </w:tcBorders>
            <w:shd w:val="clear" w:color="auto" w:fill="auto"/>
            <w:noWrap/>
            <w:vAlign w:val="center"/>
            <w:hideMark/>
          </w:tcPr>
          <w:p w14:paraId="637514A9" w14:textId="77777777" w:rsidR="00102A6B" w:rsidRPr="00C144BB" w:rsidRDefault="00102A6B" w:rsidP="00102A6B">
            <w:pPr>
              <w:spacing w:after="0" w:line="240" w:lineRule="auto"/>
              <w:jc w:val="center"/>
              <w:rPr>
                <w:rFonts w:ascii="Verdana" w:eastAsia="Times New Roman" w:hAnsi="Verdana" w:cs="Calibri"/>
                <w:b/>
                <w:bCs/>
                <w:sz w:val="14"/>
                <w:szCs w:val="18"/>
                <w:lang w:eastAsia="pt-BR"/>
              </w:rPr>
            </w:pPr>
          </w:p>
        </w:tc>
        <w:tc>
          <w:tcPr>
            <w:tcW w:w="459" w:type="pct"/>
            <w:tcBorders>
              <w:top w:val="single" w:sz="4" w:space="0" w:color="auto"/>
              <w:left w:val="nil"/>
              <w:bottom w:val="single" w:sz="4" w:space="0" w:color="auto"/>
              <w:right w:val="nil"/>
            </w:tcBorders>
            <w:shd w:val="clear" w:color="auto" w:fill="auto"/>
            <w:noWrap/>
            <w:vAlign w:val="center"/>
            <w:hideMark/>
          </w:tcPr>
          <w:p w14:paraId="1DA688C3" w14:textId="77777777" w:rsidR="00102A6B" w:rsidRPr="00C144BB" w:rsidRDefault="00102A6B" w:rsidP="00102A6B">
            <w:pPr>
              <w:spacing w:after="0" w:line="240" w:lineRule="auto"/>
              <w:jc w:val="center"/>
              <w:rPr>
                <w:rFonts w:ascii="Verdana" w:eastAsia="Times New Roman" w:hAnsi="Verdana" w:cs="Calibri"/>
                <w:b/>
                <w:bCs/>
                <w:sz w:val="14"/>
                <w:szCs w:val="18"/>
                <w:lang w:eastAsia="pt-BR"/>
              </w:rPr>
            </w:pPr>
            <w:r w:rsidRPr="00C144BB">
              <w:rPr>
                <w:rFonts w:ascii="Verdana" w:eastAsia="Times New Roman" w:hAnsi="Verdana" w:cs="Calibri"/>
                <w:b/>
                <w:bCs/>
                <w:sz w:val="14"/>
                <w:szCs w:val="18"/>
                <w:lang w:eastAsia="pt-BR"/>
              </w:rPr>
              <w:t>2025</w:t>
            </w:r>
          </w:p>
        </w:tc>
        <w:tc>
          <w:tcPr>
            <w:tcW w:w="73" w:type="pct"/>
            <w:tcBorders>
              <w:top w:val="nil"/>
              <w:left w:val="nil"/>
              <w:bottom w:val="nil"/>
              <w:right w:val="nil"/>
            </w:tcBorders>
            <w:shd w:val="clear" w:color="auto" w:fill="auto"/>
            <w:noWrap/>
            <w:vAlign w:val="center"/>
            <w:hideMark/>
          </w:tcPr>
          <w:p w14:paraId="18D973DD" w14:textId="77777777" w:rsidR="00102A6B" w:rsidRPr="00C144BB" w:rsidRDefault="00102A6B" w:rsidP="00102A6B">
            <w:pPr>
              <w:spacing w:after="0" w:line="240" w:lineRule="auto"/>
              <w:jc w:val="center"/>
              <w:rPr>
                <w:rFonts w:ascii="Verdana" w:eastAsia="Times New Roman" w:hAnsi="Verdana" w:cs="Calibri"/>
                <w:b/>
                <w:bCs/>
                <w:sz w:val="14"/>
                <w:szCs w:val="18"/>
                <w:lang w:eastAsia="pt-BR"/>
              </w:rPr>
            </w:pPr>
          </w:p>
        </w:tc>
        <w:tc>
          <w:tcPr>
            <w:tcW w:w="459" w:type="pct"/>
            <w:tcBorders>
              <w:top w:val="single" w:sz="4" w:space="0" w:color="auto"/>
              <w:left w:val="nil"/>
              <w:bottom w:val="single" w:sz="4" w:space="0" w:color="auto"/>
              <w:right w:val="nil"/>
            </w:tcBorders>
            <w:shd w:val="clear" w:color="auto" w:fill="auto"/>
            <w:noWrap/>
            <w:vAlign w:val="center"/>
            <w:hideMark/>
          </w:tcPr>
          <w:p w14:paraId="693EA2A6" w14:textId="77777777" w:rsidR="00102A6B" w:rsidRPr="00C144BB" w:rsidRDefault="00102A6B" w:rsidP="00102A6B">
            <w:pPr>
              <w:spacing w:after="0" w:line="240" w:lineRule="auto"/>
              <w:jc w:val="center"/>
              <w:rPr>
                <w:rFonts w:ascii="Verdana" w:eastAsia="Times New Roman" w:hAnsi="Verdana" w:cs="Calibri"/>
                <w:b/>
                <w:bCs/>
                <w:sz w:val="14"/>
                <w:szCs w:val="18"/>
                <w:lang w:eastAsia="pt-BR"/>
              </w:rPr>
            </w:pPr>
            <w:r w:rsidRPr="00C144BB">
              <w:rPr>
                <w:rFonts w:ascii="Verdana" w:eastAsia="Times New Roman" w:hAnsi="Verdana" w:cs="Calibri"/>
                <w:b/>
                <w:bCs/>
                <w:sz w:val="14"/>
                <w:szCs w:val="18"/>
                <w:lang w:eastAsia="pt-BR"/>
              </w:rPr>
              <w:t>2026</w:t>
            </w:r>
          </w:p>
        </w:tc>
        <w:tc>
          <w:tcPr>
            <w:tcW w:w="73" w:type="pct"/>
            <w:tcBorders>
              <w:top w:val="nil"/>
              <w:left w:val="nil"/>
              <w:bottom w:val="nil"/>
              <w:right w:val="nil"/>
            </w:tcBorders>
            <w:shd w:val="clear" w:color="auto" w:fill="auto"/>
            <w:noWrap/>
            <w:vAlign w:val="center"/>
            <w:hideMark/>
          </w:tcPr>
          <w:p w14:paraId="22F2B171" w14:textId="77777777" w:rsidR="00102A6B" w:rsidRPr="00C144BB" w:rsidRDefault="00102A6B" w:rsidP="00102A6B">
            <w:pPr>
              <w:spacing w:after="0" w:line="240" w:lineRule="auto"/>
              <w:jc w:val="center"/>
              <w:rPr>
                <w:rFonts w:ascii="Verdana" w:eastAsia="Times New Roman" w:hAnsi="Verdana" w:cs="Calibri"/>
                <w:b/>
                <w:bCs/>
                <w:sz w:val="14"/>
                <w:szCs w:val="18"/>
                <w:lang w:eastAsia="pt-BR"/>
              </w:rPr>
            </w:pPr>
          </w:p>
        </w:tc>
        <w:tc>
          <w:tcPr>
            <w:tcW w:w="459" w:type="pct"/>
            <w:tcBorders>
              <w:top w:val="single" w:sz="4" w:space="0" w:color="auto"/>
              <w:left w:val="nil"/>
              <w:bottom w:val="single" w:sz="4" w:space="0" w:color="auto"/>
              <w:right w:val="nil"/>
            </w:tcBorders>
            <w:shd w:val="clear" w:color="auto" w:fill="auto"/>
            <w:noWrap/>
            <w:vAlign w:val="center"/>
            <w:hideMark/>
          </w:tcPr>
          <w:p w14:paraId="538E0E8C" w14:textId="77777777" w:rsidR="00102A6B" w:rsidRPr="00C144BB" w:rsidRDefault="00102A6B" w:rsidP="00102A6B">
            <w:pPr>
              <w:spacing w:after="0" w:line="240" w:lineRule="auto"/>
              <w:jc w:val="center"/>
              <w:rPr>
                <w:rFonts w:ascii="Verdana" w:eastAsia="Times New Roman" w:hAnsi="Verdana" w:cs="Calibri"/>
                <w:b/>
                <w:bCs/>
                <w:sz w:val="14"/>
                <w:szCs w:val="18"/>
                <w:lang w:eastAsia="pt-BR"/>
              </w:rPr>
            </w:pPr>
            <w:r w:rsidRPr="00C144BB">
              <w:rPr>
                <w:rFonts w:ascii="Verdana" w:eastAsia="Times New Roman" w:hAnsi="Verdana" w:cs="Calibri"/>
                <w:b/>
                <w:bCs/>
                <w:sz w:val="14"/>
                <w:szCs w:val="18"/>
                <w:lang w:eastAsia="pt-BR"/>
              </w:rPr>
              <w:t>2027</w:t>
            </w:r>
          </w:p>
        </w:tc>
        <w:tc>
          <w:tcPr>
            <w:tcW w:w="73" w:type="pct"/>
            <w:tcBorders>
              <w:top w:val="nil"/>
              <w:left w:val="nil"/>
              <w:bottom w:val="nil"/>
              <w:right w:val="nil"/>
            </w:tcBorders>
            <w:shd w:val="clear" w:color="auto" w:fill="auto"/>
            <w:noWrap/>
            <w:vAlign w:val="center"/>
            <w:hideMark/>
          </w:tcPr>
          <w:p w14:paraId="0BD0EA2D" w14:textId="77777777" w:rsidR="00102A6B" w:rsidRPr="00C144BB" w:rsidRDefault="00102A6B" w:rsidP="00102A6B">
            <w:pPr>
              <w:spacing w:after="0" w:line="240" w:lineRule="auto"/>
              <w:jc w:val="center"/>
              <w:rPr>
                <w:rFonts w:ascii="Verdana" w:eastAsia="Times New Roman" w:hAnsi="Verdana" w:cs="Calibri"/>
                <w:b/>
                <w:bCs/>
                <w:sz w:val="14"/>
                <w:szCs w:val="18"/>
                <w:lang w:eastAsia="pt-BR"/>
              </w:rPr>
            </w:pPr>
          </w:p>
        </w:tc>
        <w:tc>
          <w:tcPr>
            <w:tcW w:w="543" w:type="pct"/>
            <w:tcBorders>
              <w:top w:val="single" w:sz="4" w:space="0" w:color="auto"/>
              <w:left w:val="nil"/>
              <w:bottom w:val="single" w:sz="4" w:space="0" w:color="auto"/>
              <w:right w:val="nil"/>
            </w:tcBorders>
            <w:shd w:val="clear" w:color="auto" w:fill="auto"/>
            <w:noWrap/>
            <w:vAlign w:val="center"/>
            <w:hideMark/>
          </w:tcPr>
          <w:p w14:paraId="68B4879A" w14:textId="77777777" w:rsidR="00102A6B" w:rsidRPr="00C144BB" w:rsidRDefault="00102A6B" w:rsidP="00102A6B">
            <w:pPr>
              <w:spacing w:after="0" w:line="240" w:lineRule="auto"/>
              <w:jc w:val="center"/>
              <w:rPr>
                <w:rFonts w:ascii="Verdana" w:eastAsia="Times New Roman" w:hAnsi="Verdana" w:cs="Calibri"/>
                <w:b/>
                <w:bCs/>
                <w:sz w:val="14"/>
                <w:szCs w:val="18"/>
                <w:lang w:eastAsia="pt-BR"/>
              </w:rPr>
            </w:pPr>
            <w:r w:rsidRPr="00C144BB">
              <w:rPr>
                <w:rFonts w:ascii="Verdana" w:eastAsia="Times New Roman" w:hAnsi="Verdana" w:cs="Calibri"/>
                <w:b/>
                <w:bCs/>
                <w:sz w:val="14"/>
                <w:szCs w:val="18"/>
                <w:lang w:eastAsia="pt-BR"/>
              </w:rPr>
              <w:t>Após 2027</w:t>
            </w:r>
          </w:p>
        </w:tc>
        <w:tc>
          <w:tcPr>
            <w:tcW w:w="73" w:type="pct"/>
            <w:tcBorders>
              <w:top w:val="nil"/>
              <w:left w:val="nil"/>
              <w:bottom w:val="nil"/>
              <w:right w:val="nil"/>
            </w:tcBorders>
            <w:shd w:val="clear" w:color="auto" w:fill="auto"/>
            <w:noWrap/>
            <w:vAlign w:val="center"/>
            <w:hideMark/>
          </w:tcPr>
          <w:p w14:paraId="70C3152E" w14:textId="77777777" w:rsidR="00102A6B" w:rsidRPr="00C144BB" w:rsidRDefault="00102A6B" w:rsidP="00102A6B">
            <w:pPr>
              <w:spacing w:after="0" w:line="240" w:lineRule="auto"/>
              <w:jc w:val="center"/>
              <w:rPr>
                <w:rFonts w:ascii="Verdana" w:eastAsia="Times New Roman" w:hAnsi="Verdana" w:cs="Calibri"/>
                <w:b/>
                <w:bCs/>
                <w:sz w:val="14"/>
                <w:szCs w:val="18"/>
                <w:lang w:eastAsia="pt-BR"/>
              </w:rPr>
            </w:pPr>
          </w:p>
        </w:tc>
        <w:tc>
          <w:tcPr>
            <w:tcW w:w="538" w:type="pct"/>
            <w:tcBorders>
              <w:top w:val="single" w:sz="4" w:space="0" w:color="auto"/>
              <w:left w:val="nil"/>
              <w:bottom w:val="single" w:sz="4" w:space="0" w:color="auto"/>
              <w:right w:val="nil"/>
            </w:tcBorders>
            <w:shd w:val="clear" w:color="auto" w:fill="auto"/>
            <w:noWrap/>
            <w:vAlign w:val="center"/>
            <w:hideMark/>
          </w:tcPr>
          <w:p w14:paraId="071077AE" w14:textId="77777777" w:rsidR="00102A6B" w:rsidRPr="00C144BB" w:rsidRDefault="00102A6B" w:rsidP="00102A6B">
            <w:pPr>
              <w:spacing w:after="0" w:line="240" w:lineRule="auto"/>
              <w:jc w:val="center"/>
              <w:rPr>
                <w:rFonts w:ascii="Verdana" w:eastAsia="Times New Roman" w:hAnsi="Verdana" w:cs="Calibri"/>
                <w:b/>
                <w:bCs/>
                <w:sz w:val="14"/>
                <w:szCs w:val="18"/>
                <w:lang w:eastAsia="pt-BR"/>
              </w:rPr>
            </w:pPr>
            <w:r w:rsidRPr="00C144BB">
              <w:rPr>
                <w:rFonts w:ascii="Verdana" w:eastAsia="Times New Roman" w:hAnsi="Verdana" w:cs="Calibri"/>
                <w:b/>
                <w:bCs/>
                <w:sz w:val="14"/>
                <w:szCs w:val="18"/>
                <w:lang w:eastAsia="pt-BR"/>
              </w:rPr>
              <w:t>Total</w:t>
            </w:r>
          </w:p>
        </w:tc>
      </w:tr>
      <w:tr w:rsidR="00102A6B" w:rsidRPr="00C144BB" w14:paraId="581F7319" w14:textId="77777777" w:rsidTr="00DE1EA6">
        <w:trPr>
          <w:trHeight w:val="315"/>
          <w:jc w:val="center"/>
        </w:trPr>
        <w:tc>
          <w:tcPr>
            <w:tcW w:w="654" w:type="pct"/>
            <w:tcBorders>
              <w:top w:val="nil"/>
              <w:left w:val="nil"/>
              <w:bottom w:val="nil"/>
              <w:right w:val="nil"/>
            </w:tcBorders>
            <w:shd w:val="clear" w:color="auto" w:fill="auto"/>
            <w:noWrap/>
            <w:vAlign w:val="center"/>
            <w:hideMark/>
          </w:tcPr>
          <w:p w14:paraId="3801BC3F" w14:textId="77777777" w:rsidR="00102A6B" w:rsidRPr="00C144BB" w:rsidRDefault="00102A6B" w:rsidP="00102A6B">
            <w:pPr>
              <w:spacing w:after="0" w:line="240" w:lineRule="auto"/>
              <w:rPr>
                <w:rFonts w:ascii="Verdana" w:eastAsia="Times New Roman" w:hAnsi="Verdana" w:cs="Calibri"/>
                <w:b/>
                <w:bCs/>
                <w:sz w:val="14"/>
                <w:szCs w:val="18"/>
                <w:lang w:eastAsia="pt-BR"/>
              </w:rPr>
            </w:pPr>
            <w:r w:rsidRPr="00C144BB">
              <w:rPr>
                <w:rFonts w:ascii="Verdana" w:eastAsia="Times New Roman" w:hAnsi="Verdana" w:cs="Calibri"/>
                <w:b/>
                <w:bCs/>
                <w:sz w:val="14"/>
                <w:szCs w:val="18"/>
                <w:lang w:eastAsia="pt-BR"/>
              </w:rPr>
              <w:t>Empréstimos</w:t>
            </w:r>
          </w:p>
        </w:tc>
        <w:tc>
          <w:tcPr>
            <w:tcW w:w="459" w:type="pct"/>
            <w:tcBorders>
              <w:top w:val="nil"/>
              <w:left w:val="nil"/>
              <w:bottom w:val="nil"/>
              <w:right w:val="nil"/>
            </w:tcBorders>
            <w:shd w:val="clear" w:color="auto" w:fill="auto"/>
            <w:noWrap/>
            <w:vAlign w:val="center"/>
            <w:hideMark/>
          </w:tcPr>
          <w:p w14:paraId="359F8C89" w14:textId="77777777" w:rsidR="00102A6B" w:rsidRPr="00C144BB" w:rsidRDefault="00102A6B" w:rsidP="00102A6B">
            <w:pPr>
              <w:spacing w:after="0" w:line="240" w:lineRule="auto"/>
              <w:rPr>
                <w:rFonts w:ascii="Verdana" w:eastAsia="Times New Roman" w:hAnsi="Verdana" w:cs="Calibri"/>
                <w:sz w:val="14"/>
                <w:szCs w:val="18"/>
                <w:lang w:eastAsia="pt-BR"/>
              </w:rPr>
            </w:pPr>
            <w:r w:rsidRPr="00C144BB">
              <w:rPr>
                <w:rFonts w:ascii="Verdana" w:eastAsia="Times New Roman" w:hAnsi="Verdana" w:cs="Calibri"/>
                <w:sz w:val="14"/>
                <w:szCs w:val="18"/>
                <w:lang w:eastAsia="pt-BR"/>
              </w:rPr>
              <w:t xml:space="preserve">  196.753 </w:t>
            </w:r>
          </w:p>
        </w:tc>
        <w:tc>
          <w:tcPr>
            <w:tcW w:w="73" w:type="pct"/>
            <w:tcBorders>
              <w:top w:val="nil"/>
              <w:left w:val="nil"/>
              <w:bottom w:val="nil"/>
              <w:right w:val="nil"/>
            </w:tcBorders>
            <w:shd w:val="clear" w:color="auto" w:fill="auto"/>
            <w:noWrap/>
            <w:vAlign w:val="center"/>
            <w:hideMark/>
          </w:tcPr>
          <w:p w14:paraId="44DF40D5" w14:textId="77777777" w:rsidR="00102A6B" w:rsidRPr="00C144BB" w:rsidRDefault="00102A6B" w:rsidP="00102A6B">
            <w:pPr>
              <w:spacing w:after="0" w:line="240" w:lineRule="auto"/>
              <w:rPr>
                <w:rFonts w:ascii="Verdana" w:eastAsia="Times New Roman" w:hAnsi="Verdana" w:cs="Calibri"/>
                <w:sz w:val="14"/>
                <w:szCs w:val="18"/>
                <w:lang w:eastAsia="pt-BR"/>
              </w:rPr>
            </w:pPr>
          </w:p>
        </w:tc>
        <w:tc>
          <w:tcPr>
            <w:tcW w:w="459" w:type="pct"/>
            <w:tcBorders>
              <w:top w:val="nil"/>
              <w:left w:val="nil"/>
              <w:bottom w:val="nil"/>
              <w:right w:val="nil"/>
            </w:tcBorders>
            <w:shd w:val="clear" w:color="auto" w:fill="auto"/>
            <w:noWrap/>
            <w:vAlign w:val="center"/>
            <w:hideMark/>
          </w:tcPr>
          <w:p w14:paraId="43C6F5C8" w14:textId="77777777" w:rsidR="00102A6B" w:rsidRPr="00C144BB" w:rsidRDefault="00102A6B" w:rsidP="00102A6B">
            <w:pPr>
              <w:spacing w:after="0" w:line="240" w:lineRule="auto"/>
              <w:rPr>
                <w:rFonts w:ascii="Verdana" w:eastAsia="Times New Roman" w:hAnsi="Verdana" w:cs="Calibri"/>
                <w:sz w:val="14"/>
                <w:szCs w:val="18"/>
                <w:lang w:eastAsia="pt-BR"/>
              </w:rPr>
            </w:pPr>
            <w:r w:rsidRPr="00C144BB">
              <w:rPr>
                <w:rFonts w:ascii="Verdana" w:eastAsia="Times New Roman" w:hAnsi="Verdana" w:cs="Calibri"/>
                <w:sz w:val="14"/>
                <w:szCs w:val="18"/>
                <w:lang w:eastAsia="pt-BR"/>
              </w:rPr>
              <w:t xml:space="preserve">  360.666 </w:t>
            </w:r>
          </w:p>
        </w:tc>
        <w:tc>
          <w:tcPr>
            <w:tcW w:w="73" w:type="pct"/>
            <w:tcBorders>
              <w:top w:val="nil"/>
              <w:left w:val="nil"/>
              <w:bottom w:val="nil"/>
              <w:right w:val="nil"/>
            </w:tcBorders>
            <w:shd w:val="clear" w:color="auto" w:fill="auto"/>
            <w:noWrap/>
            <w:vAlign w:val="center"/>
            <w:hideMark/>
          </w:tcPr>
          <w:p w14:paraId="42CFE1A8" w14:textId="77777777" w:rsidR="00102A6B" w:rsidRPr="00C144BB" w:rsidRDefault="00102A6B" w:rsidP="00102A6B">
            <w:pPr>
              <w:spacing w:after="0" w:line="240" w:lineRule="auto"/>
              <w:rPr>
                <w:rFonts w:ascii="Verdana" w:eastAsia="Times New Roman" w:hAnsi="Verdana" w:cs="Calibri"/>
                <w:sz w:val="14"/>
                <w:szCs w:val="18"/>
                <w:lang w:eastAsia="pt-BR"/>
              </w:rPr>
            </w:pPr>
          </w:p>
        </w:tc>
        <w:tc>
          <w:tcPr>
            <w:tcW w:w="459" w:type="pct"/>
            <w:tcBorders>
              <w:top w:val="nil"/>
              <w:left w:val="nil"/>
              <w:bottom w:val="nil"/>
              <w:right w:val="nil"/>
            </w:tcBorders>
            <w:shd w:val="clear" w:color="auto" w:fill="auto"/>
            <w:noWrap/>
            <w:vAlign w:val="center"/>
            <w:hideMark/>
          </w:tcPr>
          <w:p w14:paraId="3C10C85E" w14:textId="77777777" w:rsidR="00102A6B" w:rsidRPr="00C144BB" w:rsidRDefault="00102A6B" w:rsidP="00102A6B">
            <w:pPr>
              <w:spacing w:after="0" w:line="240" w:lineRule="auto"/>
              <w:rPr>
                <w:rFonts w:ascii="Verdana" w:eastAsia="Times New Roman" w:hAnsi="Verdana" w:cs="Calibri"/>
                <w:sz w:val="14"/>
                <w:szCs w:val="18"/>
                <w:lang w:eastAsia="pt-BR"/>
              </w:rPr>
            </w:pPr>
            <w:r w:rsidRPr="00C144BB">
              <w:rPr>
                <w:rFonts w:ascii="Verdana" w:eastAsia="Times New Roman" w:hAnsi="Verdana" w:cs="Calibri"/>
                <w:sz w:val="14"/>
                <w:szCs w:val="18"/>
                <w:lang w:eastAsia="pt-BR"/>
              </w:rPr>
              <w:t xml:space="preserve">  379.294 </w:t>
            </w:r>
          </w:p>
        </w:tc>
        <w:tc>
          <w:tcPr>
            <w:tcW w:w="73" w:type="pct"/>
            <w:tcBorders>
              <w:top w:val="nil"/>
              <w:left w:val="nil"/>
              <w:bottom w:val="nil"/>
              <w:right w:val="nil"/>
            </w:tcBorders>
            <w:shd w:val="clear" w:color="auto" w:fill="auto"/>
            <w:noWrap/>
            <w:vAlign w:val="center"/>
            <w:hideMark/>
          </w:tcPr>
          <w:p w14:paraId="6AE38BEC" w14:textId="77777777" w:rsidR="00102A6B" w:rsidRPr="00C144BB" w:rsidRDefault="00102A6B" w:rsidP="00102A6B">
            <w:pPr>
              <w:spacing w:after="0" w:line="240" w:lineRule="auto"/>
              <w:rPr>
                <w:rFonts w:ascii="Verdana" w:eastAsia="Times New Roman" w:hAnsi="Verdana" w:cs="Calibri"/>
                <w:sz w:val="14"/>
                <w:szCs w:val="18"/>
                <w:lang w:eastAsia="pt-BR"/>
              </w:rPr>
            </w:pPr>
          </w:p>
        </w:tc>
        <w:tc>
          <w:tcPr>
            <w:tcW w:w="459" w:type="pct"/>
            <w:tcBorders>
              <w:top w:val="nil"/>
              <w:left w:val="nil"/>
              <w:bottom w:val="nil"/>
              <w:right w:val="nil"/>
            </w:tcBorders>
            <w:shd w:val="clear" w:color="auto" w:fill="auto"/>
            <w:noWrap/>
            <w:vAlign w:val="center"/>
            <w:hideMark/>
          </w:tcPr>
          <w:p w14:paraId="367BCB68" w14:textId="77777777" w:rsidR="00102A6B" w:rsidRPr="00C144BB" w:rsidRDefault="00102A6B" w:rsidP="00102A6B">
            <w:pPr>
              <w:spacing w:after="0" w:line="240" w:lineRule="auto"/>
              <w:rPr>
                <w:rFonts w:ascii="Verdana" w:eastAsia="Times New Roman" w:hAnsi="Verdana" w:cs="Calibri"/>
                <w:sz w:val="14"/>
                <w:szCs w:val="18"/>
                <w:lang w:eastAsia="pt-BR"/>
              </w:rPr>
            </w:pPr>
            <w:r w:rsidRPr="00C144BB">
              <w:rPr>
                <w:rFonts w:ascii="Verdana" w:eastAsia="Times New Roman" w:hAnsi="Verdana" w:cs="Calibri"/>
                <w:sz w:val="14"/>
                <w:szCs w:val="18"/>
                <w:lang w:eastAsia="pt-BR"/>
              </w:rPr>
              <w:t xml:space="preserve">  398.029 </w:t>
            </w:r>
          </w:p>
        </w:tc>
        <w:tc>
          <w:tcPr>
            <w:tcW w:w="73" w:type="pct"/>
            <w:tcBorders>
              <w:top w:val="nil"/>
              <w:left w:val="nil"/>
              <w:bottom w:val="nil"/>
              <w:right w:val="nil"/>
            </w:tcBorders>
            <w:shd w:val="clear" w:color="auto" w:fill="auto"/>
            <w:noWrap/>
            <w:vAlign w:val="center"/>
            <w:hideMark/>
          </w:tcPr>
          <w:p w14:paraId="46371332" w14:textId="77777777" w:rsidR="00102A6B" w:rsidRPr="00C144BB" w:rsidRDefault="00102A6B" w:rsidP="00102A6B">
            <w:pPr>
              <w:spacing w:after="0" w:line="240" w:lineRule="auto"/>
              <w:rPr>
                <w:rFonts w:ascii="Verdana" w:eastAsia="Times New Roman" w:hAnsi="Verdana" w:cs="Calibri"/>
                <w:sz w:val="14"/>
                <w:szCs w:val="18"/>
                <w:lang w:eastAsia="pt-BR"/>
              </w:rPr>
            </w:pPr>
          </w:p>
        </w:tc>
        <w:tc>
          <w:tcPr>
            <w:tcW w:w="459" w:type="pct"/>
            <w:tcBorders>
              <w:top w:val="nil"/>
              <w:left w:val="nil"/>
              <w:bottom w:val="nil"/>
              <w:right w:val="nil"/>
            </w:tcBorders>
            <w:shd w:val="clear" w:color="auto" w:fill="auto"/>
            <w:noWrap/>
            <w:vAlign w:val="center"/>
            <w:hideMark/>
          </w:tcPr>
          <w:p w14:paraId="49E84AC4" w14:textId="77777777" w:rsidR="00102A6B" w:rsidRPr="00C144BB" w:rsidRDefault="00102A6B" w:rsidP="00102A6B">
            <w:pPr>
              <w:spacing w:after="0" w:line="240" w:lineRule="auto"/>
              <w:rPr>
                <w:rFonts w:ascii="Verdana" w:eastAsia="Times New Roman" w:hAnsi="Verdana" w:cs="Calibri"/>
                <w:sz w:val="14"/>
                <w:szCs w:val="18"/>
                <w:lang w:eastAsia="pt-BR"/>
              </w:rPr>
            </w:pPr>
            <w:r w:rsidRPr="00C144BB">
              <w:rPr>
                <w:rFonts w:ascii="Verdana" w:eastAsia="Times New Roman" w:hAnsi="Verdana" w:cs="Calibri"/>
                <w:sz w:val="14"/>
                <w:szCs w:val="18"/>
                <w:lang w:eastAsia="pt-BR"/>
              </w:rPr>
              <w:t xml:space="preserve">  413.209 </w:t>
            </w:r>
          </w:p>
        </w:tc>
        <w:tc>
          <w:tcPr>
            <w:tcW w:w="73" w:type="pct"/>
            <w:tcBorders>
              <w:top w:val="nil"/>
              <w:left w:val="nil"/>
              <w:bottom w:val="nil"/>
              <w:right w:val="nil"/>
            </w:tcBorders>
            <w:shd w:val="clear" w:color="auto" w:fill="auto"/>
            <w:noWrap/>
            <w:vAlign w:val="center"/>
            <w:hideMark/>
          </w:tcPr>
          <w:p w14:paraId="6F8926BA" w14:textId="77777777" w:rsidR="00102A6B" w:rsidRPr="00C144BB" w:rsidRDefault="00102A6B" w:rsidP="00102A6B">
            <w:pPr>
              <w:spacing w:after="0" w:line="240" w:lineRule="auto"/>
              <w:rPr>
                <w:rFonts w:ascii="Verdana" w:eastAsia="Times New Roman" w:hAnsi="Verdana" w:cs="Calibri"/>
                <w:sz w:val="14"/>
                <w:szCs w:val="18"/>
                <w:lang w:eastAsia="pt-BR"/>
              </w:rPr>
            </w:pPr>
          </w:p>
        </w:tc>
        <w:tc>
          <w:tcPr>
            <w:tcW w:w="459" w:type="pct"/>
            <w:tcBorders>
              <w:top w:val="nil"/>
              <w:left w:val="nil"/>
              <w:bottom w:val="nil"/>
              <w:right w:val="nil"/>
            </w:tcBorders>
            <w:shd w:val="clear" w:color="auto" w:fill="auto"/>
            <w:noWrap/>
            <w:vAlign w:val="center"/>
            <w:hideMark/>
          </w:tcPr>
          <w:p w14:paraId="7B9FB27D" w14:textId="77777777" w:rsidR="00102A6B" w:rsidRPr="00C144BB" w:rsidRDefault="00102A6B" w:rsidP="00102A6B">
            <w:pPr>
              <w:spacing w:after="0" w:line="240" w:lineRule="auto"/>
              <w:rPr>
                <w:rFonts w:ascii="Verdana" w:eastAsia="Times New Roman" w:hAnsi="Verdana" w:cs="Calibri"/>
                <w:sz w:val="14"/>
                <w:szCs w:val="18"/>
                <w:lang w:eastAsia="pt-BR"/>
              </w:rPr>
            </w:pPr>
            <w:r w:rsidRPr="00C144BB">
              <w:rPr>
                <w:rFonts w:ascii="Verdana" w:eastAsia="Times New Roman" w:hAnsi="Verdana" w:cs="Calibri"/>
                <w:sz w:val="14"/>
                <w:szCs w:val="18"/>
                <w:lang w:eastAsia="pt-BR"/>
              </w:rPr>
              <w:t xml:space="preserve">  412.237 </w:t>
            </w:r>
          </w:p>
        </w:tc>
        <w:tc>
          <w:tcPr>
            <w:tcW w:w="73" w:type="pct"/>
            <w:tcBorders>
              <w:top w:val="nil"/>
              <w:left w:val="nil"/>
              <w:bottom w:val="nil"/>
              <w:right w:val="nil"/>
            </w:tcBorders>
            <w:shd w:val="clear" w:color="auto" w:fill="auto"/>
            <w:noWrap/>
            <w:vAlign w:val="center"/>
            <w:hideMark/>
          </w:tcPr>
          <w:p w14:paraId="388F6E9B" w14:textId="77777777" w:rsidR="00102A6B" w:rsidRPr="00C144BB" w:rsidRDefault="00102A6B" w:rsidP="00102A6B">
            <w:pPr>
              <w:spacing w:after="0" w:line="240" w:lineRule="auto"/>
              <w:rPr>
                <w:rFonts w:ascii="Verdana" w:eastAsia="Times New Roman" w:hAnsi="Verdana" w:cs="Calibri"/>
                <w:sz w:val="14"/>
                <w:szCs w:val="18"/>
                <w:lang w:eastAsia="pt-BR"/>
              </w:rPr>
            </w:pPr>
          </w:p>
        </w:tc>
        <w:tc>
          <w:tcPr>
            <w:tcW w:w="543" w:type="pct"/>
            <w:tcBorders>
              <w:top w:val="nil"/>
              <w:left w:val="nil"/>
              <w:bottom w:val="nil"/>
              <w:right w:val="nil"/>
            </w:tcBorders>
            <w:shd w:val="clear" w:color="auto" w:fill="auto"/>
            <w:noWrap/>
            <w:vAlign w:val="center"/>
            <w:hideMark/>
          </w:tcPr>
          <w:p w14:paraId="7192FA43" w14:textId="77777777" w:rsidR="00102A6B" w:rsidRPr="00C144BB" w:rsidRDefault="00102A6B" w:rsidP="00102A6B">
            <w:pPr>
              <w:spacing w:after="0" w:line="240" w:lineRule="auto"/>
              <w:rPr>
                <w:rFonts w:ascii="Verdana" w:eastAsia="Times New Roman" w:hAnsi="Verdana" w:cs="Calibri"/>
                <w:sz w:val="14"/>
                <w:szCs w:val="18"/>
                <w:lang w:eastAsia="pt-BR"/>
              </w:rPr>
            </w:pPr>
            <w:r w:rsidRPr="00C144BB">
              <w:rPr>
                <w:rFonts w:ascii="Verdana" w:eastAsia="Times New Roman" w:hAnsi="Verdana" w:cs="Calibri"/>
                <w:sz w:val="14"/>
                <w:szCs w:val="18"/>
                <w:lang w:eastAsia="pt-BR"/>
              </w:rPr>
              <w:t xml:space="preserve">  5.016.445 </w:t>
            </w:r>
          </w:p>
        </w:tc>
        <w:tc>
          <w:tcPr>
            <w:tcW w:w="73" w:type="pct"/>
            <w:tcBorders>
              <w:top w:val="nil"/>
              <w:left w:val="nil"/>
              <w:bottom w:val="nil"/>
              <w:right w:val="nil"/>
            </w:tcBorders>
            <w:shd w:val="clear" w:color="auto" w:fill="auto"/>
            <w:noWrap/>
            <w:vAlign w:val="center"/>
            <w:hideMark/>
          </w:tcPr>
          <w:p w14:paraId="2E97C0E5" w14:textId="77777777" w:rsidR="00102A6B" w:rsidRPr="00C144BB" w:rsidRDefault="00102A6B" w:rsidP="00102A6B">
            <w:pPr>
              <w:spacing w:after="0" w:line="240" w:lineRule="auto"/>
              <w:rPr>
                <w:rFonts w:ascii="Verdana" w:eastAsia="Times New Roman" w:hAnsi="Verdana" w:cs="Calibri"/>
                <w:sz w:val="14"/>
                <w:szCs w:val="18"/>
                <w:lang w:eastAsia="pt-BR"/>
              </w:rPr>
            </w:pPr>
          </w:p>
        </w:tc>
        <w:tc>
          <w:tcPr>
            <w:tcW w:w="538" w:type="pct"/>
            <w:tcBorders>
              <w:top w:val="nil"/>
              <w:left w:val="nil"/>
              <w:bottom w:val="nil"/>
              <w:right w:val="nil"/>
            </w:tcBorders>
            <w:shd w:val="clear" w:color="auto" w:fill="auto"/>
            <w:noWrap/>
            <w:vAlign w:val="center"/>
            <w:hideMark/>
          </w:tcPr>
          <w:p w14:paraId="0ECFE20B" w14:textId="77777777" w:rsidR="00102A6B" w:rsidRPr="00C144BB" w:rsidRDefault="00102A6B" w:rsidP="00102A6B">
            <w:pPr>
              <w:spacing w:after="0" w:line="240" w:lineRule="auto"/>
              <w:rPr>
                <w:rFonts w:ascii="Verdana" w:eastAsia="Times New Roman" w:hAnsi="Verdana" w:cs="Calibri"/>
                <w:sz w:val="14"/>
                <w:szCs w:val="18"/>
                <w:lang w:eastAsia="pt-BR"/>
              </w:rPr>
            </w:pPr>
            <w:r w:rsidRPr="00C144BB">
              <w:rPr>
                <w:rFonts w:ascii="Verdana" w:eastAsia="Times New Roman" w:hAnsi="Verdana" w:cs="Calibri"/>
                <w:sz w:val="14"/>
                <w:szCs w:val="18"/>
                <w:lang w:eastAsia="pt-BR"/>
              </w:rPr>
              <w:t xml:space="preserve">  7.176.633 </w:t>
            </w:r>
          </w:p>
        </w:tc>
      </w:tr>
    </w:tbl>
    <w:p w14:paraId="498F5B46" w14:textId="0DE5840E" w:rsidR="00E406F0" w:rsidRDefault="00E406F0" w:rsidP="00CB3C02">
      <w:pPr>
        <w:rPr>
          <w:rFonts w:ascii="Verdana" w:hAnsi="Verdana" w:cstheme="minorHAnsi"/>
          <w:noProof/>
          <w:lang w:eastAsia="pt-BR"/>
        </w:rPr>
      </w:pPr>
    </w:p>
    <w:p w14:paraId="3907CC1A" w14:textId="77777777" w:rsidR="00B63957" w:rsidRPr="00116729" w:rsidRDefault="00B63957" w:rsidP="00CB3C02">
      <w:pPr>
        <w:rPr>
          <w:rFonts w:ascii="Verdana" w:hAnsi="Verdana" w:cstheme="minorHAnsi"/>
          <w:noProof/>
          <w:lang w:eastAsia="pt-BR"/>
        </w:rPr>
      </w:pPr>
    </w:p>
    <w:p w14:paraId="1BAD7A6D" w14:textId="68428BA2" w:rsidR="00E406F0" w:rsidRPr="00F7132F" w:rsidRDefault="00590B3C" w:rsidP="00A01E65">
      <w:pPr>
        <w:rPr>
          <w:rFonts w:ascii="Verdana" w:hAnsi="Verdana" w:cstheme="minorHAnsi"/>
          <w:b/>
          <w:bCs/>
        </w:rPr>
      </w:pPr>
      <w:r w:rsidRPr="00F7132F">
        <w:rPr>
          <w:rFonts w:ascii="Verdana" w:hAnsi="Verdana" w:cstheme="minorHAnsi"/>
          <w:b/>
          <w:bCs/>
        </w:rPr>
        <w:lastRenderedPageBreak/>
        <w:t>1</w:t>
      </w:r>
      <w:r>
        <w:rPr>
          <w:rFonts w:ascii="Verdana" w:hAnsi="Verdana" w:cstheme="minorHAnsi"/>
          <w:b/>
          <w:bCs/>
        </w:rPr>
        <w:t>5</w:t>
      </w:r>
      <w:r w:rsidR="00E406F0" w:rsidRPr="00F7132F">
        <w:rPr>
          <w:rFonts w:ascii="Verdana" w:hAnsi="Verdana" w:cstheme="minorHAnsi"/>
          <w:b/>
          <w:bCs/>
        </w:rPr>
        <w:t xml:space="preserve">.2 – Obrigações Assumidas – </w:t>
      </w:r>
      <w:proofErr w:type="spellStart"/>
      <w:r w:rsidR="00E406F0" w:rsidRPr="00F7132F">
        <w:rPr>
          <w:rFonts w:ascii="Verdana" w:hAnsi="Verdana" w:cstheme="minorHAnsi"/>
          <w:b/>
          <w:bCs/>
          <w:i/>
          <w:iCs/>
        </w:rPr>
        <w:t>Covenants</w:t>
      </w:r>
      <w:proofErr w:type="spellEnd"/>
      <w:r w:rsidR="00E406F0" w:rsidRPr="00F7132F">
        <w:rPr>
          <w:rFonts w:ascii="Verdana" w:hAnsi="Verdana" w:cstheme="minorHAnsi"/>
          <w:b/>
          <w:bCs/>
        </w:rPr>
        <w:t xml:space="preserve"> </w:t>
      </w:r>
    </w:p>
    <w:p w14:paraId="693E73F3" w14:textId="77777777" w:rsidR="00E406F0" w:rsidRPr="00116729" w:rsidRDefault="00E406F0" w:rsidP="00E406F0">
      <w:pPr>
        <w:jc w:val="both"/>
        <w:rPr>
          <w:rFonts w:ascii="Verdana" w:hAnsi="Verdana" w:cstheme="minorHAnsi"/>
          <w:bdr w:val="nil"/>
        </w:rPr>
      </w:pPr>
      <w:r w:rsidRPr="00116729">
        <w:rPr>
          <w:rFonts w:ascii="Verdana" w:hAnsi="Verdana" w:cstheme="minorHAnsi"/>
          <w:bdr w:val="nil"/>
        </w:rPr>
        <w:t xml:space="preserve">A </w:t>
      </w:r>
      <w:r w:rsidR="00DA30CF" w:rsidRPr="00116729">
        <w:rPr>
          <w:rFonts w:ascii="Verdana" w:hAnsi="Verdana" w:cstheme="minorHAnsi"/>
          <w:bdr w:val="nil"/>
        </w:rPr>
        <w:t>controlada Eletronuclear</w:t>
      </w:r>
      <w:r w:rsidRPr="00116729">
        <w:rPr>
          <w:rFonts w:ascii="Verdana" w:hAnsi="Verdana" w:cstheme="minorHAnsi"/>
          <w:bdr w:val="nil"/>
        </w:rPr>
        <w:t xml:space="preserve"> possui cláusulas de </w:t>
      </w:r>
      <w:proofErr w:type="spellStart"/>
      <w:r w:rsidRPr="00116729">
        <w:rPr>
          <w:rFonts w:ascii="Verdana" w:hAnsi="Verdana" w:cstheme="minorHAnsi"/>
          <w:i/>
          <w:iCs/>
          <w:bdr w:val="nil"/>
        </w:rPr>
        <w:t>covenants</w:t>
      </w:r>
      <w:proofErr w:type="spellEnd"/>
      <w:r w:rsidRPr="00116729">
        <w:rPr>
          <w:rFonts w:ascii="Verdana" w:hAnsi="Verdana" w:cstheme="minorHAnsi"/>
          <w:i/>
          <w:iCs/>
          <w:bdr w:val="nil"/>
        </w:rPr>
        <w:t xml:space="preserve"> </w:t>
      </w:r>
      <w:r w:rsidRPr="00116729">
        <w:rPr>
          <w:rFonts w:ascii="Verdana" w:hAnsi="Verdana" w:cstheme="minorHAnsi"/>
          <w:bdr w:val="nil"/>
        </w:rPr>
        <w:t xml:space="preserve">em alguns de seus contratos de empréstimos, financiamentos e debêntures. Os principais </w:t>
      </w:r>
      <w:proofErr w:type="spellStart"/>
      <w:r w:rsidRPr="00116729">
        <w:rPr>
          <w:rFonts w:ascii="Verdana" w:hAnsi="Verdana" w:cstheme="minorHAnsi"/>
          <w:i/>
          <w:iCs/>
          <w:bdr w:val="nil"/>
        </w:rPr>
        <w:t>covenants</w:t>
      </w:r>
      <w:proofErr w:type="spellEnd"/>
      <w:r w:rsidRPr="00116729">
        <w:rPr>
          <w:rFonts w:ascii="Verdana" w:hAnsi="Verdana" w:cstheme="minorHAnsi"/>
          <w:bdr w:val="nil"/>
        </w:rPr>
        <w:t xml:space="preserve"> são referentes a: apresentar demonstrações financeiras e auditadas; apresentar trimestralmente Relatório Gerencial sobre a evolução física e financeira do Projeto; cumprir as "Disposições Aplicáveis aos Contratos do BNDES"; permitir ampla inspeção das obras do projeto por parte de representantes do BNDES; enviar quadrimestralmente à STN posição dos créditos empenhados no Contrato de Contragarantia junto à União; no caso de FURNAS, emissão de Nota Promissória no ato da assinatura e a cada dois anos, ao final do exercício, com posição em 31 de dezembro.</w:t>
      </w:r>
    </w:p>
    <w:p w14:paraId="1BF30EA4" w14:textId="77777777" w:rsidR="00DB2D0B" w:rsidRDefault="00E406F0" w:rsidP="00E406F0">
      <w:pPr>
        <w:widowControl w:val="0"/>
        <w:autoSpaceDE w:val="0"/>
        <w:autoSpaceDN w:val="0"/>
        <w:jc w:val="both"/>
        <w:rPr>
          <w:rFonts w:ascii="Verdana" w:hAnsi="Verdana" w:cstheme="minorHAnsi"/>
          <w:bdr w:val="nil"/>
        </w:rPr>
      </w:pPr>
      <w:r w:rsidRPr="00116729">
        <w:rPr>
          <w:rFonts w:ascii="Verdana" w:hAnsi="Verdana" w:cstheme="minorHAnsi"/>
          <w:bdr w:val="nil"/>
        </w:rPr>
        <w:t xml:space="preserve">A </w:t>
      </w:r>
      <w:r w:rsidR="003B1D90" w:rsidRPr="00116729">
        <w:rPr>
          <w:rFonts w:ascii="Verdana" w:hAnsi="Verdana" w:cstheme="minorHAnsi"/>
          <w:bdr w:val="nil"/>
        </w:rPr>
        <w:t>Eletronuclear</w:t>
      </w:r>
      <w:r w:rsidRPr="00116729">
        <w:rPr>
          <w:rFonts w:ascii="Verdana" w:hAnsi="Verdana" w:cstheme="minorHAnsi"/>
          <w:bdr w:val="nil"/>
        </w:rPr>
        <w:t xml:space="preserve"> não identificou a ocorrência de evento de não confor</w:t>
      </w:r>
      <w:r w:rsidR="00CB3C02" w:rsidRPr="00116729">
        <w:rPr>
          <w:rFonts w:ascii="Verdana" w:hAnsi="Verdana" w:cstheme="minorHAnsi"/>
          <w:bdr w:val="nil"/>
        </w:rPr>
        <w:t>midade no 2º trimestre de 2022.</w:t>
      </w:r>
    </w:p>
    <w:p w14:paraId="5685697E" w14:textId="77777777" w:rsidR="002B1787" w:rsidRPr="00F7132F" w:rsidRDefault="00581D1F" w:rsidP="00CF5F07">
      <w:pPr>
        <w:tabs>
          <w:tab w:val="left" w:pos="567"/>
          <w:tab w:val="left" w:pos="1134"/>
          <w:tab w:val="left" w:pos="1701"/>
          <w:tab w:val="left" w:pos="2268"/>
          <w:tab w:val="left" w:pos="2835"/>
        </w:tabs>
        <w:jc w:val="both"/>
        <w:outlineLvl w:val="0"/>
        <w:rPr>
          <w:rFonts w:ascii="Verdana" w:hAnsi="Verdana" w:cstheme="minorHAnsi"/>
          <w:b/>
        </w:rPr>
      </w:pPr>
      <w:r>
        <w:rPr>
          <w:rFonts w:ascii="Verdana" w:hAnsi="Verdana" w:cstheme="minorHAnsi"/>
          <w:b/>
        </w:rPr>
        <w:t>16</w:t>
      </w:r>
      <w:r w:rsidR="00F4139F" w:rsidRPr="00F7132F">
        <w:rPr>
          <w:rFonts w:ascii="Verdana" w:hAnsi="Verdana" w:cstheme="minorHAnsi"/>
          <w:b/>
        </w:rPr>
        <w:t xml:space="preserve"> </w:t>
      </w:r>
      <w:r w:rsidR="002B1787" w:rsidRPr="00F7132F">
        <w:rPr>
          <w:rFonts w:ascii="Verdana" w:hAnsi="Verdana" w:cstheme="minorHAnsi"/>
          <w:b/>
        </w:rPr>
        <w:t>– TRIBUTOS A RECOLHER</w:t>
      </w:r>
    </w:p>
    <w:tbl>
      <w:tblPr>
        <w:tblW w:w="9297" w:type="dxa"/>
        <w:tblCellMar>
          <w:left w:w="70" w:type="dxa"/>
          <w:right w:w="70" w:type="dxa"/>
        </w:tblCellMar>
        <w:tblLook w:val="04A0" w:firstRow="1" w:lastRow="0" w:firstColumn="1" w:lastColumn="0" w:noHBand="0" w:noVBand="1"/>
      </w:tblPr>
      <w:tblGrid>
        <w:gridCol w:w="5195"/>
        <w:gridCol w:w="224"/>
        <w:gridCol w:w="1827"/>
        <w:gridCol w:w="224"/>
        <w:gridCol w:w="1827"/>
      </w:tblGrid>
      <w:tr w:rsidR="00F23ABE" w:rsidRPr="00116729" w14:paraId="26BBEC09" w14:textId="77777777" w:rsidTr="00F7132F">
        <w:trPr>
          <w:trHeight w:val="14"/>
        </w:trPr>
        <w:tc>
          <w:tcPr>
            <w:tcW w:w="5195" w:type="dxa"/>
            <w:tcBorders>
              <w:top w:val="nil"/>
              <w:left w:val="nil"/>
              <w:bottom w:val="nil"/>
              <w:right w:val="nil"/>
            </w:tcBorders>
            <w:shd w:val="clear" w:color="auto" w:fill="auto"/>
            <w:noWrap/>
            <w:vAlign w:val="bottom"/>
            <w:hideMark/>
          </w:tcPr>
          <w:p w14:paraId="572CDE4A" w14:textId="77777777" w:rsidR="00F23ABE" w:rsidRPr="00116729" w:rsidRDefault="00F4130F" w:rsidP="00F23ABE">
            <w:pPr>
              <w:spacing w:after="0" w:line="240" w:lineRule="auto"/>
              <w:rPr>
                <w:rFonts w:ascii="Times New Roman" w:eastAsia="Times New Roman" w:hAnsi="Times New Roman" w:cs="Times New Roman"/>
                <w:sz w:val="24"/>
                <w:szCs w:val="24"/>
                <w:lang w:eastAsia="pt-BR"/>
              </w:rPr>
            </w:pPr>
            <w:r w:rsidRPr="00116729">
              <w:rPr>
                <w:noProof/>
              </w:rPr>
              <w:t xml:space="preserve"> </w:t>
            </w:r>
          </w:p>
        </w:tc>
        <w:tc>
          <w:tcPr>
            <w:tcW w:w="224" w:type="dxa"/>
            <w:tcBorders>
              <w:top w:val="nil"/>
              <w:left w:val="nil"/>
              <w:bottom w:val="nil"/>
              <w:right w:val="nil"/>
            </w:tcBorders>
            <w:shd w:val="clear" w:color="auto" w:fill="auto"/>
            <w:noWrap/>
            <w:vAlign w:val="bottom"/>
            <w:hideMark/>
          </w:tcPr>
          <w:p w14:paraId="6F589CB7" w14:textId="77777777" w:rsidR="00F23ABE" w:rsidRPr="00116729" w:rsidRDefault="00F23ABE" w:rsidP="00F23ABE">
            <w:pPr>
              <w:spacing w:after="0" w:line="240" w:lineRule="auto"/>
              <w:rPr>
                <w:rFonts w:ascii="Times New Roman" w:eastAsia="Times New Roman" w:hAnsi="Times New Roman" w:cs="Times New Roman"/>
                <w:sz w:val="20"/>
                <w:szCs w:val="20"/>
                <w:lang w:eastAsia="pt-BR"/>
              </w:rPr>
            </w:pPr>
          </w:p>
        </w:tc>
        <w:tc>
          <w:tcPr>
            <w:tcW w:w="1827" w:type="dxa"/>
            <w:tcBorders>
              <w:top w:val="nil"/>
              <w:left w:val="nil"/>
              <w:bottom w:val="single" w:sz="4" w:space="0" w:color="auto"/>
              <w:right w:val="nil"/>
            </w:tcBorders>
            <w:shd w:val="clear" w:color="auto" w:fill="auto"/>
            <w:noWrap/>
            <w:vAlign w:val="bottom"/>
            <w:hideMark/>
          </w:tcPr>
          <w:p w14:paraId="3580FE89" w14:textId="77777777" w:rsidR="00F23ABE" w:rsidRPr="00F7132F" w:rsidRDefault="00F23ABE" w:rsidP="00F23ABE">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Controladora</w:t>
            </w:r>
          </w:p>
        </w:tc>
        <w:tc>
          <w:tcPr>
            <w:tcW w:w="224" w:type="dxa"/>
            <w:tcBorders>
              <w:top w:val="nil"/>
              <w:left w:val="nil"/>
              <w:bottom w:val="nil"/>
              <w:right w:val="nil"/>
            </w:tcBorders>
            <w:shd w:val="clear" w:color="auto" w:fill="auto"/>
            <w:noWrap/>
            <w:vAlign w:val="bottom"/>
            <w:hideMark/>
          </w:tcPr>
          <w:p w14:paraId="30B19088" w14:textId="77777777" w:rsidR="00F23ABE" w:rsidRPr="00F7132F" w:rsidRDefault="00F23ABE" w:rsidP="00F23ABE">
            <w:pPr>
              <w:spacing w:after="0" w:line="240" w:lineRule="auto"/>
              <w:jc w:val="center"/>
              <w:rPr>
                <w:rFonts w:ascii="Verdana" w:eastAsia="Times New Roman" w:hAnsi="Verdana" w:cs="Calibri"/>
                <w:b/>
                <w:bCs/>
                <w:sz w:val="18"/>
                <w:szCs w:val="18"/>
                <w:lang w:eastAsia="pt-BR"/>
              </w:rPr>
            </w:pPr>
          </w:p>
        </w:tc>
        <w:tc>
          <w:tcPr>
            <w:tcW w:w="1827" w:type="dxa"/>
            <w:tcBorders>
              <w:top w:val="nil"/>
              <w:left w:val="nil"/>
              <w:bottom w:val="single" w:sz="4" w:space="0" w:color="auto"/>
              <w:right w:val="nil"/>
            </w:tcBorders>
            <w:shd w:val="clear" w:color="auto" w:fill="auto"/>
            <w:noWrap/>
            <w:vAlign w:val="bottom"/>
            <w:hideMark/>
          </w:tcPr>
          <w:p w14:paraId="2702852E" w14:textId="77777777" w:rsidR="00F23ABE" w:rsidRPr="00F7132F" w:rsidRDefault="00F23ABE" w:rsidP="00F23ABE">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Consolidado</w:t>
            </w:r>
          </w:p>
        </w:tc>
      </w:tr>
      <w:tr w:rsidR="00F23ABE" w:rsidRPr="00116729" w14:paraId="4CA853CD" w14:textId="77777777" w:rsidTr="00F7132F">
        <w:trPr>
          <w:trHeight w:val="14"/>
        </w:trPr>
        <w:tc>
          <w:tcPr>
            <w:tcW w:w="5195" w:type="dxa"/>
            <w:tcBorders>
              <w:top w:val="nil"/>
              <w:left w:val="nil"/>
              <w:bottom w:val="nil"/>
              <w:right w:val="nil"/>
            </w:tcBorders>
            <w:shd w:val="clear" w:color="auto" w:fill="auto"/>
            <w:noWrap/>
            <w:vAlign w:val="center"/>
            <w:hideMark/>
          </w:tcPr>
          <w:p w14:paraId="125AE333" w14:textId="77777777" w:rsidR="00F23ABE" w:rsidRPr="00F7132F" w:rsidRDefault="00F23ABE" w:rsidP="00F23ABE">
            <w:pPr>
              <w:spacing w:after="0" w:line="240" w:lineRule="auto"/>
              <w:jc w:val="center"/>
              <w:rPr>
                <w:rFonts w:ascii="Verdana" w:eastAsia="Times New Roman" w:hAnsi="Verdana" w:cs="Calibri"/>
                <w:b/>
                <w:bCs/>
                <w:sz w:val="18"/>
                <w:szCs w:val="18"/>
                <w:lang w:eastAsia="pt-BR"/>
              </w:rPr>
            </w:pPr>
          </w:p>
        </w:tc>
        <w:tc>
          <w:tcPr>
            <w:tcW w:w="224" w:type="dxa"/>
            <w:tcBorders>
              <w:top w:val="nil"/>
              <w:left w:val="nil"/>
              <w:bottom w:val="nil"/>
              <w:right w:val="nil"/>
            </w:tcBorders>
            <w:shd w:val="clear" w:color="auto" w:fill="auto"/>
            <w:noWrap/>
            <w:vAlign w:val="center"/>
            <w:hideMark/>
          </w:tcPr>
          <w:p w14:paraId="43CACB68" w14:textId="77777777" w:rsidR="00F23ABE" w:rsidRPr="00116729" w:rsidRDefault="00F23ABE" w:rsidP="00F23ABE">
            <w:pPr>
              <w:spacing w:after="0" w:line="240" w:lineRule="auto"/>
              <w:rPr>
                <w:rFonts w:ascii="Times New Roman" w:eastAsia="Times New Roman" w:hAnsi="Times New Roman" w:cs="Times New Roman"/>
                <w:sz w:val="20"/>
                <w:szCs w:val="20"/>
                <w:lang w:eastAsia="pt-BR"/>
              </w:rPr>
            </w:pPr>
          </w:p>
        </w:tc>
        <w:tc>
          <w:tcPr>
            <w:tcW w:w="1827" w:type="dxa"/>
            <w:tcBorders>
              <w:top w:val="nil"/>
              <w:left w:val="nil"/>
              <w:bottom w:val="single" w:sz="4" w:space="0" w:color="auto"/>
              <w:right w:val="nil"/>
            </w:tcBorders>
            <w:shd w:val="clear" w:color="auto" w:fill="auto"/>
            <w:noWrap/>
            <w:vAlign w:val="center"/>
            <w:hideMark/>
          </w:tcPr>
          <w:p w14:paraId="55EA313E" w14:textId="77777777" w:rsidR="00F23ABE" w:rsidRPr="00F7132F" w:rsidRDefault="00F23ABE" w:rsidP="00F23ABE">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30/06/2022</w:t>
            </w:r>
          </w:p>
        </w:tc>
        <w:tc>
          <w:tcPr>
            <w:tcW w:w="224" w:type="dxa"/>
            <w:tcBorders>
              <w:top w:val="nil"/>
              <w:left w:val="nil"/>
              <w:bottom w:val="nil"/>
              <w:right w:val="nil"/>
            </w:tcBorders>
            <w:shd w:val="clear" w:color="auto" w:fill="auto"/>
            <w:noWrap/>
            <w:vAlign w:val="center"/>
            <w:hideMark/>
          </w:tcPr>
          <w:p w14:paraId="146FF6E9" w14:textId="77777777" w:rsidR="00F23ABE" w:rsidRPr="00F7132F" w:rsidRDefault="00F23ABE" w:rsidP="00F23ABE">
            <w:pPr>
              <w:spacing w:after="0" w:line="240" w:lineRule="auto"/>
              <w:jc w:val="center"/>
              <w:rPr>
                <w:rFonts w:ascii="Verdana" w:eastAsia="Times New Roman" w:hAnsi="Verdana" w:cs="Calibri"/>
                <w:b/>
                <w:bCs/>
                <w:sz w:val="18"/>
                <w:szCs w:val="18"/>
                <w:lang w:eastAsia="pt-BR"/>
              </w:rPr>
            </w:pPr>
          </w:p>
        </w:tc>
        <w:tc>
          <w:tcPr>
            <w:tcW w:w="1827" w:type="dxa"/>
            <w:tcBorders>
              <w:top w:val="nil"/>
              <w:left w:val="nil"/>
              <w:bottom w:val="single" w:sz="4" w:space="0" w:color="auto"/>
              <w:right w:val="nil"/>
            </w:tcBorders>
            <w:shd w:val="clear" w:color="auto" w:fill="auto"/>
            <w:noWrap/>
            <w:vAlign w:val="center"/>
            <w:hideMark/>
          </w:tcPr>
          <w:p w14:paraId="266004E4" w14:textId="77777777" w:rsidR="00F23ABE" w:rsidRPr="00F7132F" w:rsidRDefault="00F23ABE" w:rsidP="00F23ABE">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30/06/2022</w:t>
            </w:r>
          </w:p>
        </w:tc>
      </w:tr>
      <w:tr w:rsidR="00F23ABE" w:rsidRPr="00116729" w14:paraId="7693C527" w14:textId="77777777" w:rsidTr="00F7132F">
        <w:trPr>
          <w:trHeight w:val="14"/>
        </w:trPr>
        <w:tc>
          <w:tcPr>
            <w:tcW w:w="5195" w:type="dxa"/>
            <w:tcBorders>
              <w:top w:val="nil"/>
              <w:left w:val="nil"/>
              <w:bottom w:val="nil"/>
              <w:right w:val="nil"/>
            </w:tcBorders>
            <w:shd w:val="clear" w:color="auto" w:fill="auto"/>
            <w:noWrap/>
            <w:vAlign w:val="center"/>
            <w:hideMark/>
          </w:tcPr>
          <w:p w14:paraId="70A3C96B" w14:textId="77777777" w:rsidR="00F23ABE" w:rsidRPr="00F7132F" w:rsidRDefault="00F23ABE"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24" w:type="dxa"/>
            <w:tcBorders>
              <w:top w:val="nil"/>
              <w:left w:val="nil"/>
              <w:bottom w:val="nil"/>
              <w:right w:val="nil"/>
            </w:tcBorders>
            <w:shd w:val="clear" w:color="auto" w:fill="auto"/>
            <w:noWrap/>
            <w:vAlign w:val="center"/>
            <w:hideMark/>
          </w:tcPr>
          <w:p w14:paraId="567307EE" w14:textId="77777777" w:rsidR="00F23ABE" w:rsidRPr="00F7132F" w:rsidRDefault="00F23ABE" w:rsidP="00F23ABE">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27" w:type="dxa"/>
            <w:tcBorders>
              <w:top w:val="nil"/>
              <w:left w:val="nil"/>
              <w:bottom w:val="nil"/>
              <w:right w:val="nil"/>
            </w:tcBorders>
            <w:shd w:val="clear" w:color="auto" w:fill="auto"/>
            <w:noWrap/>
            <w:vAlign w:val="center"/>
            <w:hideMark/>
          </w:tcPr>
          <w:p w14:paraId="16040B42" w14:textId="77777777" w:rsidR="00F23ABE" w:rsidRPr="00F7132F" w:rsidRDefault="00F23ABE" w:rsidP="00F23ABE">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24" w:type="dxa"/>
            <w:tcBorders>
              <w:top w:val="nil"/>
              <w:left w:val="nil"/>
              <w:bottom w:val="nil"/>
              <w:right w:val="nil"/>
            </w:tcBorders>
            <w:shd w:val="clear" w:color="auto" w:fill="auto"/>
            <w:noWrap/>
            <w:vAlign w:val="center"/>
            <w:hideMark/>
          </w:tcPr>
          <w:p w14:paraId="343095A1" w14:textId="77777777" w:rsidR="00F23ABE" w:rsidRPr="00F7132F" w:rsidRDefault="00F23ABE" w:rsidP="00F23ABE">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27" w:type="dxa"/>
            <w:tcBorders>
              <w:top w:val="nil"/>
              <w:left w:val="nil"/>
              <w:bottom w:val="nil"/>
              <w:right w:val="nil"/>
            </w:tcBorders>
            <w:shd w:val="clear" w:color="auto" w:fill="auto"/>
            <w:noWrap/>
            <w:vAlign w:val="center"/>
            <w:hideMark/>
          </w:tcPr>
          <w:p w14:paraId="46E9133C" w14:textId="77777777" w:rsidR="00F23ABE" w:rsidRPr="00F7132F" w:rsidRDefault="00F23ABE" w:rsidP="00F23ABE">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r>
      <w:tr w:rsidR="00F23ABE" w:rsidRPr="00116729" w14:paraId="14851AEB" w14:textId="77777777" w:rsidTr="00F7132F">
        <w:trPr>
          <w:trHeight w:val="14"/>
        </w:trPr>
        <w:tc>
          <w:tcPr>
            <w:tcW w:w="5195" w:type="dxa"/>
            <w:tcBorders>
              <w:top w:val="nil"/>
              <w:left w:val="nil"/>
              <w:bottom w:val="nil"/>
              <w:right w:val="nil"/>
            </w:tcBorders>
            <w:shd w:val="clear" w:color="auto" w:fill="auto"/>
            <w:noWrap/>
            <w:vAlign w:val="center"/>
            <w:hideMark/>
          </w:tcPr>
          <w:p w14:paraId="1DFF59A3" w14:textId="77777777" w:rsidR="00F23ABE" w:rsidRPr="00F7132F" w:rsidRDefault="00F23ABE"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IR - Encargos dívida</w:t>
            </w:r>
          </w:p>
        </w:tc>
        <w:tc>
          <w:tcPr>
            <w:tcW w:w="224" w:type="dxa"/>
            <w:tcBorders>
              <w:top w:val="nil"/>
              <w:left w:val="nil"/>
              <w:bottom w:val="nil"/>
              <w:right w:val="nil"/>
            </w:tcBorders>
            <w:shd w:val="clear" w:color="auto" w:fill="auto"/>
            <w:noWrap/>
            <w:vAlign w:val="center"/>
            <w:hideMark/>
          </w:tcPr>
          <w:p w14:paraId="681E8E6A" w14:textId="77777777" w:rsidR="00F23ABE" w:rsidRPr="00F7132F" w:rsidRDefault="00F23ABE" w:rsidP="00F23ABE">
            <w:pPr>
              <w:spacing w:after="0" w:line="240" w:lineRule="auto"/>
              <w:rPr>
                <w:rFonts w:ascii="Verdana" w:eastAsia="Times New Roman" w:hAnsi="Verdana" w:cs="Calibri"/>
                <w:sz w:val="18"/>
                <w:szCs w:val="18"/>
                <w:lang w:eastAsia="pt-BR"/>
              </w:rPr>
            </w:pPr>
          </w:p>
        </w:tc>
        <w:tc>
          <w:tcPr>
            <w:tcW w:w="1827" w:type="dxa"/>
            <w:tcBorders>
              <w:top w:val="nil"/>
              <w:left w:val="nil"/>
              <w:bottom w:val="nil"/>
              <w:right w:val="nil"/>
            </w:tcBorders>
            <w:shd w:val="clear" w:color="auto" w:fill="auto"/>
            <w:noWrap/>
            <w:vAlign w:val="center"/>
            <w:hideMark/>
          </w:tcPr>
          <w:p w14:paraId="774A6E4B" w14:textId="77777777" w:rsidR="00F23ABE" w:rsidRPr="00F7132F" w:rsidRDefault="00F23ABE" w:rsidP="00F23AB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224" w:type="dxa"/>
            <w:tcBorders>
              <w:top w:val="nil"/>
              <w:left w:val="nil"/>
              <w:bottom w:val="nil"/>
              <w:right w:val="nil"/>
            </w:tcBorders>
            <w:shd w:val="clear" w:color="auto" w:fill="auto"/>
            <w:noWrap/>
            <w:vAlign w:val="center"/>
            <w:hideMark/>
          </w:tcPr>
          <w:p w14:paraId="7D7621C3" w14:textId="77777777" w:rsidR="00F23ABE" w:rsidRPr="00F7132F" w:rsidRDefault="00F23ABE" w:rsidP="00F23ABE">
            <w:pPr>
              <w:spacing w:after="0" w:line="240" w:lineRule="auto"/>
              <w:jc w:val="right"/>
              <w:rPr>
                <w:rFonts w:ascii="Verdana" w:eastAsia="Times New Roman" w:hAnsi="Verdana" w:cs="Calibri"/>
                <w:sz w:val="18"/>
                <w:szCs w:val="18"/>
                <w:lang w:eastAsia="pt-BR"/>
              </w:rPr>
            </w:pPr>
          </w:p>
        </w:tc>
        <w:tc>
          <w:tcPr>
            <w:tcW w:w="1827" w:type="dxa"/>
            <w:tcBorders>
              <w:top w:val="nil"/>
              <w:left w:val="nil"/>
              <w:bottom w:val="nil"/>
              <w:right w:val="nil"/>
            </w:tcBorders>
            <w:shd w:val="clear" w:color="auto" w:fill="auto"/>
            <w:noWrap/>
            <w:vAlign w:val="center"/>
            <w:hideMark/>
          </w:tcPr>
          <w:p w14:paraId="37FA330C" w14:textId="77777777" w:rsidR="00F23ABE" w:rsidRPr="00F7132F" w:rsidRDefault="00F23ABE" w:rsidP="00F23AB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1.008 </w:t>
            </w:r>
          </w:p>
        </w:tc>
      </w:tr>
      <w:tr w:rsidR="00F23ABE" w:rsidRPr="00116729" w14:paraId="3145BC8A" w14:textId="77777777" w:rsidTr="00F7132F">
        <w:trPr>
          <w:trHeight w:val="14"/>
        </w:trPr>
        <w:tc>
          <w:tcPr>
            <w:tcW w:w="5195" w:type="dxa"/>
            <w:tcBorders>
              <w:top w:val="nil"/>
              <w:left w:val="nil"/>
              <w:bottom w:val="nil"/>
              <w:right w:val="nil"/>
            </w:tcBorders>
            <w:shd w:val="clear" w:color="auto" w:fill="auto"/>
            <w:noWrap/>
            <w:vAlign w:val="center"/>
            <w:hideMark/>
          </w:tcPr>
          <w:p w14:paraId="51666EC1" w14:textId="77777777" w:rsidR="00F23ABE" w:rsidRPr="00F7132F" w:rsidRDefault="00F23ABE"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ISS sobre importação e outros</w:t>
            </w:r>
          </w:p>
        </w:tc>
        <w:tc>
          <w:tcPr>
            <w:tcW w:w="224" w:type="dxa"/>
            <w:tcBorders>
              <w:top w:val="nil"/>
              <w:left w:val="nil"/>
              <w:bottom w:val="nil"/>
              <w:right w:val="nil"/>
            </w:tcBorders>
            <w:shd w:val="clear" w:color="auto" w:fill="auto"/>
            <w:noWrap/>
            <w:vAlign w:val="center"/>
            <w:hideMark/>
          </w:tcPr>
          <w:p w14:paraId="61B3C398" w14:textId="77777777" w:rsidR="00F23ABE" w:rsidRPr="00F7132F" w:rsidRDefault="00F23ABE"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27" w:type="dxa"/>
            <w:tcBorders>
              <w:top w:val="nil"/>
              <w:left w:val="nil"/>
              <w:bottom w:val="nil"/>
              <w:right w:val="nil"/>
            </w:tcBorders>
            <w:shd w:val="clear" w:color="auto" w:fill="auto"/>
            <w:noWrap/>
            <w:vAlign w:val="center"/>
            <w:hideMark/>
          </w:tcPr>
          <w:p w14:paraId="4863841F" w14:textId="77777777" w:rsidR="00F23ABE" w:rsidRPr="00F7132F" w:rsidRDefault="00F23ABE" w:rsidP="00F23AB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224" w:type="dxa"/>
            <w:tcBorders>
              <w:top w:val="nil"/>
              <w:left w:val="nil"/>
              <w:bottom w:val="nil"/>
              <w:right w:val="nil"/>
            </w:tcBorders>
            <w:shd w:val="clear" w:color="auto" w:fill="auto"/>
            <w:noWrap/>
            <w:vAlign w:val="center"/>
            <w:hideMark/>
          </w:tcPr>
          <w:p w14:paraId="2CD0744D" w14:textId="77777777" w:rsidR="00F23ABE" w:rsidRPr="00F7132F" w:rsidRDefault="00F23ABE"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27" w:type="dxa"/>
            <w:tcBorders>
              <w:top w:val="nil"/>
              <w:left w:val="nil"/>
              <w:bottom w:val="nil"/>
              <w:right w:val="nil"/>
            </w:tcBorders>
            <w:shd w:val="clear" w:color="auto" w:fill="auto"/>
            <w:noWrap/>
            <w:vAlign w:val="center"/>
            <w:hideMark/>
          </w:tcPr>
          <w:p w14:paraId="540A7C0C" w14:textId="77777777" w:rsidR="00F23ABE" w:rsidRPr="00F7132F" w:rsidRDefault="00F23ABE" w:rsidP="00F23AB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2.300 </w:t>
            </w:r>
          </w:p>
        </w:tc>
      </w:tr>
      <w:tr w:rsidR="00F23ABE" w:rsidRPr="00116729" w14:paraId="2E19748B" w14:textId="77777777" w:rsidTr="00F7132F">
        <w:trPr>
          <w:trHeight w:val="14"/>
        </w:trPr>
        <w:tc>
          <w:tcPr>
            <w:tcW w:w="5195" w:type="dxa"/>
            <w:tcBorders>
              <w:top w:val="nil"/>
              <w:left w:val="nil"/>
              <w:bottom w:val="nil"/>
              <w:right w:val="nil"/>
            </w:tcBorders>
            <w:shd w:val="clear" w:color="auto" w:fill="auto"/>
            <w:noWrap/>
            <w:vAlign w:val="center"/>
            <w:hideMark/>
          </w:tcPr>
          <w:p w14:paraId="5B5ECE5A" w14:textId="77777777" w:rsidR="00F23ABE" w:rsidRPr="00F7132F" w:rsidRDefault="00F23ABE"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COSIRF</w:t>
            </w:r>
          </w:p>
        </w:tc>
        <w:tc>
          <w:tcPr>
            <w:tcW w:w="224" w:type="dxa"/>
            <w:tcBorders>
              <w:top w:val="nil"/>
              <w:left w:val="nil"/>
              <w:bottom w:val="nil"/>
              <w:right w:val="nil"/>
            </w:tcBorders>
            <w:shd w:val="clear" w:color="auto" w:fill="auto"/>
            <w:noWrap/>
            <w:vAlign w:val="center"/>
            <w:hideMark/>
          </w:tcPr>
          <w:p w14:paraId="5F1F32D4" w14:textId="77777777" w:rsidR="00F23ABE" w:rsidRPr="00F7132F" w:rsidRDefault="00F23ABE" w:rsidP="00F23ABE">
            <w:pPr>
              <w:spacing w:after="0" w:line="240" w:lineRule="auto"/>
              <w:rPr>
                <w:rFonts w:ascii="Verdana" w:eastAsia="Times New Roman" w:hAnsi="Verdana" w:cs="Calibri"/>
                <w:sz w:val="18"/>
                <w:szCs w:val="18"/>
                <w:lang w:eastAsia="pt-BR"/>
              </w:rPr>
            </w:pPr>
          </w:p>
        </w:tc>
        <w:tc>
          <w:tcPr>
            <w:tcW w:w="1827" w:type="dxa"/>
            <w:tcBorders>
              <w:top w:val="nil"/>
              <w:left w:val="nil"/>
              <w:bottom w:val="nil"/>
              <w:right w:val="nil"/>
            </w:tcBorders>
            <w:shd w:val="clear" w:color="auto" w:fill="auto"/>
            <w:noWrap/>
            <w:vAlign w:val="center"/>
            <w:hideMark/>
          </w:tcPr>
          <w:p w14:paraId="4AEDCA94" w14:textId="77777777" w:rsidR="00F23ABE" w:rsidRPr="00F7132F" w:rsidRDefault="00F23ABE" w:rsidP="00F23AB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224" w:type="dxa"/>
            <w:tcBorders>
              <w:top w:val="nil"/>
              <w:left w:val="nil"/>
              <w:bottom w:val="nil"/>
              <w:right w:val="nil"/>
            </w:tcBorders>
            <w:shd w:val="clear" w:color="auto" w:fill="auto"/>
            <w:noWrap/>
            <w:vAlign w:val="center"/>
            <w:hideMark/>
          </w:tcPr>
          <w:p w14:paraId="1F816842" w14:textId="77777777" w:rsidR="00F23ABE" w:rsidRPr="00F7132F" w:rsidRDefault="00F23ABE" w:rsidP="00F23ABE">
            <w:pPr>
              <w:spacing w:after="0" w:line="240" w:lineRule="auto"/>
              <w:jc w:val="right"/>
              <w:rPr>
                <w:rFonts w:ascii="Verdana" w:eastAsia="Times New Roman" w:hAnsi="Verdana" w:cs="Calibri"/>
                <w:sz w:val="18"/>
                <w:szCs w:val="18"/>
                <w:lang w:eastAsia="pt-BR"/>
              </w:rPr>
            </w:pPr>
          </w:p>
        </w:tc>
        <w:tc>
          <w:tcPr>
            <w:tcW w:w="1827" w:type="dxa"/>
            <w:tcBorders>
              <w:top w:val="nil"/>
              <w:left w:val="nil"/>
              <w:bottom w:val="nil"/>
              <w:right w:val="nil"/>
            </w:tcBorders>
            <w:shd w:val="clear" w:color="auto" w:fill="auto"/>
            <w:noWrap/>
            <w:vAlign w:val="center"/>
            <w:hideMark/>
          </w:tcPr>
          <w:p w14:paraId="4289734F" w14:textId="77777777" w:rsidR="00F23ABE" w:rsidRPr="00F7132F" w:rsidRDefault="00F23ABE" w:rsidP="00F23AB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8.228 </w:t>
            </w:r>
          </w:p>
        </w:tc>
      </w:tr>
      <w:tr w:rsidR="00F23ABE" w:rsidRPr="00116729" w14:paraId="34E3CE8B" w14:textId="77777777" w:rsidTr="00F7132F">
        <w:trPr>
          <w:trHeight w:val="14"/>
        </w:trPr>
        <w:tc>
          <w:tcPr>
            <w:tcW w:w="5195" w:type="dxa"/>
            <w:tcBorders>
              <w:top w:val="nil"/>
              <w:left w:val="nil"/>
              <w:bottom w:val="nil"/>
              <w:right w:val="nil"/>
            </w:tcBorders>
            <w:shd w:val="clear" w:color="auto" w:fill="auto"/>
            <w:noWrap/>
            <w:vAlign w:val="center"/>
            <w:hideMark/>
          </w:tcPr>
          <w:p w14:paraId="2198BFFB" w14:textId="77777777" w:rsidR="00F23ABE" w:rsidRPr="00F7132F" w:rsidRDefault="00F23ABE"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IRPJ a pagar</w:t>
            </w:r>
          </w:p>
        </w:tc>
        <w:tc>
          <w:tcPr>
            <w:tcW w:w="224" w:type="dxa"/>
            <w:tcBorders>
              <w:top w:val="nil"/>
              <w:left w:val="nil"/>
              <w:bottom w:val="nil"/>
              <w:right w:val="nil"/>
            </w:tcBorders>
            <w:shd w:val="clear" w:color="auto" w:fill="auto"/>
            <w:noWrap/>
            <w:vAlign w:val="center"/>
            <w:hideMark/>
          </w:tcPr>
          <w:p w14:paraId="7C09BE98" w14:textId="77777777" w:rsidR="00F23ABE" w:rsidRPr="00F7132F" w:rsidRDefault="00F23ABE"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27" w:type="dxa"/>
            <w:tcBorders>
              <w:top w:val="nil"/>
              <w:left w:val="nil"/>
              <w:bottom w:val="nil"/>
              <w:right w:val="nil"/>
            </w:tcBorders>
            <w:shd w:val="clear" w:color="auto" w:fill="auto"/>
            <w:noWrap/>
            <w:vAlign w:val="center"/>
            <w:hideMark/>
          </w:tcPr>
          <w:p w14:paraId="1CE1D930" w14:textId="77777777" w:rsidR="00F23ABE" w:rsidRPr="00F7132F" w:rsidRDefault="00F23ABE" w:rsidP="00F23AB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21.202 </w:t>
            </w:r>
          </w:p>
        </w:tc>
        <w:tc>
          <w:tcPr>
            <w:tcW w:w="224" w:type="dxa"/>
            <w:tcBorders>
              <w:top w:val="nil"/>
              <w:left w:val="nil"/>
              <w:bottom w:val="nil"/>
              <w:right w:val="nil"/>
            </w:tcBorders>
            <w:shd w:val="clear" w:color="auto" w:fill="auto"/>
            <w:noWrap/>
            <w:vAlign w:val="center"/>
            <w:hideMark/>
          </w:tcPr>
          <w:p w14:paraId="1F55C59B" w14:textId="77777777" w:rsidR="00F23ABE" w:rsidRPr="00F7132F" w:rsidRDefault="00F23ABE"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27" w:type="dxa"/>
            <w:tcBorders>
              <w:top w:val="nil"/>
              <w:left w:val="nil"/>
              <w:bottom w:val="nil"/>
              <w:right w:val="nil"/>
            </w:tcBorders>
            <w:shd w:val="clear" w:color="auto" w:fill="auto"/>
            <w:noWrap/>
            <w:vAlign w:val="center"/>
            <w:hideMark/>
          </w:tcPr>
          <w:p w14:paraId="388A8381" w14:textId="77777777" w:rsidR="00F23ABE" w:rsidRPr="00F7132F" w:rsidRDefault="00F23ABE" w:rsidP="00F23AB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128.164 </w:t>
            </w:r>
          </w:p>
        </w:tc>
      </w:tr>
      <w:tr w:rsidR="00F23ABE" w:rsidRPr="00116729" w14:paraId="48C8290D" w14:textId="77777777" w:rsidTr="00F7132F">
        <w:trPr>
          <w:trHeight w:val="14"/>
        </w:trPr>
        <w:tc>
          <w:tcPr>
            <w:tcW w:w="5195" w:type="dxa"/>
            <w:tcBorders>
              <w:top w:val="nil"/>
              <w:left w:val="nil"/>
              <w:bottom w:val="nil"/>
              <w:right w:val="nil"/>
            </w:tcBorders>
            <w:shd w:val="clear" w:color="auto" w:fill="auto"/>
            <w:noWrap/>
            <w:vAlign w:val="center"/>
            <w:hideMark/>
          </w:tcPr>
          <w:p w14:paraId="22778CCE" w14:textId="77777777" w:rsidR="00F23ABE" w:rsidRPr="00F7132F" w:rsidRDefault="00F23ABE"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CSLL a pagar</w:t>
            </w:r>
          </w:p>
        </w:tc>
        <w:tc>
          <w:tcPr>
            <w:tcW w:w="224" w:type="dxa"/>
            <w:tcBorders>
              <w:top w:val="nil"/>
              <w:left w:val="nil"/>
              <w:bottom w:val="nil"/>
              <w:right w:val="nil"/>
            </w:tcBorders>
            <w:shd w:val="clear" w:color="auto" w:fill="auto"/>
            <w:noWrap/>
            <w:vAlign w:val="center"/>
            <w:hideMark/>
          </w:tcPr>
          <w:p w14:paraId="5F617A4C" w14:textId="77777777" w:rsidR="00F23ABE" w:rsidRPr="00F7132F" w:rsidRDefault="00F23ABE" w:rsidP="00F23ABE">
            <w:pPr>
              <w:spacing w:after="0" w:line="240" w:lineRule="auto"/>
              <w:rPr>
                <w:rFonts w:ascii="Verdana" w:eastAsia="Times New Roman" w:hAnsi="Verdana" w:cs="Calibri"/>
                <w:sz w:val="18"/>
                <w:szCs w:val="18"/>
                <w:lang w:eastAsia="pt-BR"/>
              </w:rPr>
            </w:pPr>
          </w:p>
        </w:tc>
        <w:tc>
          <w:tcPr>
            <w:tcW w:w="1827" w:type="dxa"/>
            <w:tcBorders>
              <w:top w:val="nil"/>
              <w:left w:val="nil"/>
              <w:bottom w:val="nil"/>
              <w:right w:val="nil"/>
            </w:tcBorders>
            <w:shd w:val="clear" w:color="auto" w:fill="auto"/>
            <w:noWrap/>
            <w:vAlign w:val="center"/>
            <w:hideMark/>
          </w:tcPr>
          <w:p w14:paraId="399DB00B" w14:textId="77777777" w:rsidR="00F23ABE" w:rsidRPr="00F7132F" w:rsidRDefault="00F23ABE" w:rsidP="00F23AB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7.635 </w:t>
            </w:r>
          </w:p>
        </w:tc>
        <w:tc>
          <w:tcPr>
            <w:tcW w:w="224" w:type="dxa"/>
            <w:tcBorders>
              <w:top w:val="nil"/>
              <w:left w:val="nil"/>
              <w:bottom w:val="nil"/>
              <w:right w:val="nil"/>
            </w:tcBorders>
            <w:shd w:val="clear" w:color="auto" w:fill="auto"/>
            <w:noWrap/>
            <w:vAlign w:val="center"/>
            <w:hideMark/>
          </w:tcPr>
          <w:p w14:paraId="71776831" w14:textId="77777777" w:rsidR="00F23ABE" w:rsidRPr="00F7132F" w:rsidRDefault="00F23ABE" w:rsidP="00F23ABE">
            <w:pPr>
              <w:spacing w:after="0" w:line="240" w:lineRule="auto"/>
              <w:jc w:val="right"/>
              <w:rPr>
                <w:rFonts w:ascii="Verdana" w:eastAsia="Times New Roman" w:hAnsi="Verdana" w:cs="Calibri"/>
                <w:sz w:val="18"/>
                <w:szCs w:val="18"/>
                <w:lang w:eastAsia="pt-BR"/>
              </w:rPr>
            </w:pPr>
          </w:p>
        </w:tc>
        <w:tc>
          <w:tcPr>
            <w:tcW w:w="1827" w:type="dxa"/>
            <w:tcBorders>
              <w:top w:val="nil"/>
              <w:left w:val="nil"/>
              <w:bottom w:val="nil"/>
              <w:right w:val="nil"/>
            </w:tcBorders>
            <w:shd w:val="clear" w:color="auto" w:fill="auto"/>
            <w:noWrap/>
            <w:vAlign w:val="center"/>
            <w:hideMark/>
          </w:tcPr>
          <w:p w14:paraId="0CE5039C" w14:textId="77777777" w:rsidR="00F23ABE" w:rsidRPr="00F7132F" w:rsidRDefault="00F23ABE" w:rsidP="00F23AB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46.139 </w:t>
            </w:r>
          </w:p>
        </w:tc>
      </w:tr>
      <w:tr w:rsidR="00F23ABE" w:rsidRPr="00116729" w14:paraId="26E71AA2" w14:textId="77777777" w:rsidTr="00F7132F">
        <w:trPr>
          <w:trHeight w:val="14"/>
        </w:trPr>
        <w:tc>
          <w:tcPr>
            <w:tcW w:w="5195" w:type="dxa"/>
            <w:tcBorders>
              <w:top w:val="nil"/>
              <w:left w:val="nil"/>
              <w:bottom w:val="nil"/>
              <w:right w:val="nil"/>
            </w:tcBorders>
            <w:shd w:val="clear" w:color="auto" w:fill="auto"/>
            <w:noWrap/>
            <w:vAlign w:val="center"/>
            <w:hideMark/>
          </w:tcPr>
          <w:p w14:paraId="41DBA619" w14:textId="77777777" w:rsidR="00F23ABE" w:rsidRPr="00F7132F" w:rsidRDefault="00F23ABE"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INSS</w:t>
            </w:r>
          </w:p>
        </w:tc>
        <w:tc>
          <w:tcPr>
            <w:tcW w:w="224" w:type="dxa"/>
            <w:tcBorders>
              <w:top w:val="nil"/>
              <w:left w:val="nil"/>
              <w:bottom w:val="nil"/>
              <w:right w:val="nil"/>
            </w:tcBorders>
            <w:shd w:val="clear" w:color="auto" w:fill="auto"/>
            <w:noWrap/>
            <w:vAlign w:val="center"/>
            <w:hideMark/>
          </w:tcPr>
          <w:p w14:paraId="227FE6C6" w14:textId="77777777" w:rsidR="00F23ABE" w:rsidRPr="00F7132F" w:rsidRDefault="00F23ABE"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27" w:type="dxa"/>
            <w:tcBorders>
              <w:top w:val="nil"/>
              <w:left w:val="nil"/>
              <w:bottom w:val="nil"/>
              <w:right w:val="nil"/>
            </w:tcBorders>
            <w:shd w:val="clear" w:color="auto" w:fill="auto"/>
            <w:noWrap/>
            <w:vAlign w:val="center"/>
            <w:hideMark/>
          </w:tcPr>
          <w:p w14:paraId="1FC4FDAB" w14:textId="77777777" w:rsidR="00F23ABE" w:rsidRPr="00F7132F" w:rsidRDefault="00F23ABE" w:rsidP="00F23AB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169 </w:t>
            </w:r>
          </w:p>
        </w:tc>
        <w:tc>
          <w:tcPr>
            <w:tcW w:w="224" w:type="dxa"/>
            <w:tcBorders>
              <w:top w:val="nil"/>
              <w:left w:val="nil"/>
              <w:bottom w:val="nil"/>
              <w:right w:val="nil"/>
            </w:tcBorders>
            <w:shd w:val="clear" w:color="auto" w:fill="auto"/>
            <w:noWrap/>
            <w:vAlign w:val="center"/>
            <w:hideMark/>
          </w:tcPr>
          <w:p w14:paraId="63444463" w14:textId="77777777" w:rsidR="00F23ABE" w:rsidRPr="00F7132F" w:rsidRDefault="00F23ABE"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27" w:type="dxa"/>
            <w:tcBorders>
              <w:top w:val="nil"/>
              <w:left w:val="nil"/>
              <w:bottom w:val="nil"/>
              <w:right w:val="nil"/>
            </w:tcBorders>
            <w:shd w:val="clear" w:color="auto" w:fill="auto"/>
            <w:noWrap/>
            <w:vAlign w:val="center"/>
            <w:hideMark/>
          </w:tcPr>
          <w:p w14:paraId="4D007DCE" w14:textId="77777777" w:rsidR="00F23ABE" w:rsidRPr="00F7132F" w:rsidRDefault="00F23ABE" w:rsidP="00F23AB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4.452 </w:t>
            </w:r>
          </w:p>
        </w:tc>
      </w:tr>
      <w:tr w:rsidR="00F23ABE" w:rsidRPr="00116729" w14:paraId="6D04539E" w14:textId="77777777" w:rsidTr="00F7132F">
        <w:trPr>
          <w:trHeight w:val="14"/>
        </w:trPr>
        <w:tc>
          <w:tcPr>
            <w:tcW w:w="5195" w:type="dxa"/>
            <w:tcBorders>
              <w:top w:val="nil"/>
              <w:left w:val="nil"/>
              <w:bottom w:val="nil"/>
              <w:right w:val="nil"/>
            </w:tcBorders>
            <w:shd w:val="clear" w:color="auto" w:fill="auto"/>
            <w:noWrap/>
            <w:vAlign w:val="center"/>
            <w:hideMark/>
          </w:tcPr>
          <w:p w14:paraId="0AF587AE" w14:textId="77777777" w:rsidR="00F23ABE" w:rsidRPr="00F7132F" w:rsidRDefault="00F23ABE"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PASEP e COFINS</w:t>
            </w:r>
          </w:p>
        </w:tc>
        <w:tc>
          <w:tcPr>
            <w:tcW w:w="224" w:type="dxa"/>
            <w:tcBorders>
              <w:top w:val="nil"/>
              <w:left w:val="nil"/>
              <w:bottom w:val="nil"/>
              <w:right w:val="nil"/>
            </w:tcBorders>
            <w:shd w:val="clear" w:color="auto" w:fill="auto"/>
            <w:noWrap/>
            <w:vAlign w:val="center"/>
            <w:hideMark/>
          </w:tcPr>
          <w:p w14:paraId="0862D4FD" w14:textId="77777777" w:rsidR="00F23ABE" w:rsidRPr="00F7132F" w:rsidRDefault="00F23ABE" w:rsidP="00F23ABE">
            <w:pPr>
              <w:spacing w:after="0" w:line="240" w:lineRule="auto"/>
              <w:rPr>
                <w:rFonts w:ascii="Verdana" w:eastAsia="Times New Roman" w:hAnsi="Verdana" w:cs="Calibri"/>
                <w:sz w:val="18"/>
                <w:szCs w:val="18"/>
                <w:lang w:eastAsia="pt-BR"/>
              </w:rPr>
            </w:pPr>
          </w:p>
        </w:tc>
        <w:tc>
          <w:tcPr>
            <w:tcW w:w="1827" w:type="dxa"/>
            <w:tcBorders>
              <w:top w:val="nil"/>
              <w:left w:val="nil"/>
              <w:bottom w:val="nil"/>
              <w:right w:val="nil"/>
            </w:tcBorders>
            <w:shd w:val="clear" w:color="auto" w:fill="auto"/>
            <w:noWrap/>
            <w:vAlign w:val="center"/>
            <w:hideMark/>
          </w:tcPr>
          <w:p w14:paraId="529198EB" w14:textId="77777777" w:rsidR="00F23ABE" w:rsidRPr="00F7132F" w:rsidRDefault="00F23ABE" w:rsidP="00F23AB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129.974 </w:t>
            </w:r>
          </w:p>
        </w:tc>
        <w:tc>
          <w:tcPr>
            <w:tcW w:w="224" w:type="dxa"/>
            <w:tcBorders>
              <w:top w:val="nil"/>
              <w:left w:val="nil"/>
              <w:bottom w:val="nil"/>
              <w:right w:val="nil"/>
            </w:tcBorders>
            <w:shd w:val="clear" w:color="auto" w:fill="auto"/>
            <w:noWrap/>
            <w:vAlign w:val="center"/>
            <w:hideMark/>
          </w:tcPr>
          <w:p w14:paraId="36A45340" w14:textId="77777777" w:rsidR="00F23ABE" w:rsidRPr="00F7132F" w:rsidRDefault="00F23ABE" w:rsidP="00F23ABE">
            <w:pPr>
              <w:spacing w:after="0" w:line="240" w:lineRule="auto"/>
              <w:jc w:val="right"/>
              <w:rPr>
                <w:rFonts w:ascii="Verdana" w:eastAsia="Times New Roman" w:hAnsi="Verdana" w:cs="Calibri"/>
                <w:sz w:val="18"/>
                <w:szCs w:val="18"/>
                <w:lang w:eastAsia="pt-BR"/>
              </w:rPr>
            </w:pPr>
          </w:p>
        </w:tc>
        <w:tc>
          <w:tcPr>
            <w:tcW w:w="1827" w:type="dxa"/>
            <w:tcBorders>
              <w:top w:val="nil"/>
              <w:left w:val="nil"/>
              <w:bottom w:val="nil"/>
              <w:right w:val="nil"/>
            </w:tcBorders>
            <w:shd w:val="clear" w:color="auto" w:fill="auto"/>
            <w:noWrap/>
            <w:vAlign w:val="center"/>
            <w:hideMark/>
          </w:tcPr>
          <w:p w14:paraId="591A9CF5" w14:textId="77777777" w:rsidR="00F23ABE" w:rsidRPr="00F7132F" w:rsidRDefault="00F23ABE" w:rsidP="00F23AB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166.204 </w:t>
            </w:r>
          </w:p>
        </w:tc>
      </w:tr>
      <w:tr w:rsidR="00F23ABE" w:rsidRPr="00116729" w14:paraId="34CD36E7" w14:textId="77777777" w:rsidTr="00F7132F">
        <w:trPr>
          <w:trHeight w:val="14"/>
        </w:trPr>
        <w:tc>
          <w:tcPr>
            <w:tcW w:w="5195" w:type="dxa"/>
            <w:tcBorders>
              <w:top w:val="nil"/>
              <w:left w:val="nil"/>
              <w:bottom w:val="nil"/>
              <w:right w:val="nil"/>
            </w:tcBorders>
            <w:shd w:val="clear" w:color="auto" w:fill="auto"/>
            <w:noWrap/>
            <w:vAlign w:val="center"/>
            <w:hideMark/>
          </w:tcPr>
          <w:p w14:paraId="5A08D4D3" w14:textId="77777777" w:rsidR="00F23ABE" w:rsidRPr="00F7132F" w:rsidRDefault="00F23ABE"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PASEP e COFINS - Diferidos</w:t>
            </w:r>
          </w:p>
        </w:tc>
        <w:tc>
          <w:tcPr>
            <w:tcW w:w="224" w:type="dxa"/>
            <w:tcBorders>
              <w:top w:val="nil"/>
              <w:left w:val="nil"/>
              <w:bottom w:val="nil"/>
              <w:right w:val="nil"/>
            </w:tcBorders>
            <w:shd w:val="clear" w:color="auto" w:fill="auto"/>
            <w:noWrap/>
            <w:vAlign w:val="center"/>
            <w:hideMark/>
          </w:tcPr>
          <w:p w14:paraId="1FD98962" w14:textId="77777777" w:rsidR="00F23ABE" w:rsidRPr="00F7132F" w:rsidRDefault="00F23ABE"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27" w:type="dxa"/>
            <w:tcBorders>
              <w:top w:val="nil"/>
              <w:left w:val="nil"/>
              <w:bottom w:val="nil"/>
              <w:right w:val="nil"/>
            </w:tcBorders>
            <w:shd w:val="clear" w:color="auto" w:fill="auto"/>
            <w:noWrap/>
            <w:vAlign w:val="center"/>
            <w:hideMark/>
          </w:tcPr>
          <w:p w14:paraId="77782933" w14:textId="77777777" w:rsidR="00F23ABE" w:rsidRPr="00F7132F" w:rsidRDefault="00F23ABE" w:rsidP="00F23AB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224" w:type="dxa"/>
            <w:tcBorders>
              <w:top w:val="nil"/>
              <w:left w:val="nil"/>
              <w:bottom w:val="nil"/>
              <w:right w:val="nil"/>
            </w:tcBorders>
            <w:shd w:val="clear" w:color="auto" w:fill="auto"/>
            <w:noWrap/>
            <w:vAlign w:val="center"/>
            <w:hideMark/>
          </w:tcPr>
          <w:p w14:paraId="57D176FF" w14:textId="77777777" w:rsidR="00F23ABE" w:rsidRPr="00F7132F" w:rsidRDefault="00F23ABE"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27" w:type="dxa"/>
            <w:tcBorders>
              <w:top w:val="nil"/>
              <w:left w:val="nil"/>
              <w:bottom w:val="nil"/>
              <w:right w:val="nil"/>
            </w:tcBorders>
            <w:shd w:val="clear" w:color="auto" w:fill="auto"/>
            <w:noWrap/>
            <w:vAlign w:val="center"/>
            <w:hideMark/>
          </w:tcPr>
          <w:p w14:paraId="19CEFD04" w14:textId="77777777" w:rsidR="00F23ABE" w:rsidRPr="00F7132F" w:rsidRDefault="00F23ABE" w:rsidP="00F23AB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3.347 </w:t>
            </w:r>
          </w:p>
        </w:tc>
      </w:tr>
      <w:tr w:rsidR="00F23ABE" w:rsidRPr="00116729" w14:paraId="7C626E7E" w14:textId="77777777" w:rsidTr="00F7132F">
        <w:trPr>
          <w:trHeight w:val="14"/>
        </w:trPr>
        <w:tc>
          <w:tcPr>
            <w:tcW w:w="5195" w:type="dxa"/>
            <w:tcBorders>
              <w:top w:val="nil"/>
              <w:left w:val="nil"/>
              <w:bottom w:val="nil"/>
              <w:right w:val="nil"/>
            </w:tcBorders>
            <w:shd w:val="clear" w:color="auto" w:fill="auto"/>
            <w:noWrap/>
            <w:vAlign w:val="center"/>
            <w:hideMark/>
          </w:tcPr>
          <w:p w14:paraId="3FC01B74" w14:textId="77777777" w:rsidR="00F23ABE" w:rsidRPr="00F7132F" w:rsidRDefault="00F23ABE"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FGTS</w:t>
            </w:r>
          </w:p>
        </w:tc>
        <w:tc>
          <w:tcPr>
            <w:tcW w:w="224" w:type="dxa"/>
            <w:tcBorders>
              <w:top w:val="nil"/>
              <w:left w:val="nil"/>
              <w:bottom w:val="nil"/>
              <w:right w:val="nil"/>
            </w:tcBorders>
            <w:shd w:val="clear" w:color="auto" w:fill="auto"/>
            <w:noWrap/>
            <w:vAlign w:val="center"/>
            <w:hideMark/>
          </w:tcPr>
          <w:p w14:paraId="47E9FB52" w14:textId="77777777" w:rsidR="00F23ABE" w:rsidRPr="00F7132F" w:rsidRDefault="00F23ABE" w:rsidP="00F23ABE">
            <w:pPr>
              <w:spacing w:after="0" w:line="240" w:lineRule="auto"/>
              <w:rPr>
                <w:rFonts w:ascii="Verdana" w:eastAsia="Times New Roman" w:hAnsi="Verdana" w:cs="Calibri"/>
                <w:sz w:val="18"/>
                <w:szCs w:val="18"/>
                <w:lang w:eastAsia="pt-BR"/>
              </w:rPr>
            </w:pPr>
          </w:p>
        </w:tc>
        <w:tc>
          <w:tcPr>
            <w:tcW w:w="1827" w:type="dxa"/>
            <w:tcBorders>
              <w:top w:val="nil"/>
              <w:left w:val="nil"/>
              <w:bottom w:val="nil"/>
              <w:right w:val="nil"/>
            </w:tcBorders>
            <w:shd w:val="clear" w:color="auto" w:fill="auto"/>
            <w:noWrap/>
            <w:vAlign w:val="center"/>
            <w:hideMark/>
          </w:tcPr>
          <w:p w14:paraId="765B4BE2" w14:textId="5BF3A1A3" w:rsidR="00F23ABE" w:rsidRPr="00F7132F" w:rsidRDefault="00863A04" w:rsidP="00F23ABE">
            <w:pPr>
              <w:spacing w:after="0" w:line="240" w:lineRule="auto"/>
              <w:jc w:val="right"/>
              <w:rPr>
                <w:rFonts w:ascii="Verdana" w:eastAsia="Times New Roman" w:hAnsi="Verdana" w:cs="Calibri"/>
                <w:sz w:val="18"/>
                <w:szCs w:val="18"/>
                <w:lang w:eastAsia="pt-BR"/>
              </w:rPr>
            </w:pPr>
            <w:r>
              <w:rPr>
                <w:rFonts w:ascii="Verdana" w:eastAsia="Times New Roman" w:hAnsi="Verdana" w:cs="Calibri"/>
                <w:sz w:val="18"/>
                <w:szCs w:val="18"/>
                <w:lang w:eastAsia="pt-BR"/>
              </w:rPr>
              <w:t>48</w:t>
            </w:r>
            <w:r w:rsidR="00F23ABE" w:rsidRPr="00F7132F">
              <w:rPr>
                <w:rFonts w:ascii="Verdana" w:eastAsia="Times New Roman" w:hAnsi="Verdana" w:cs="Calibri"/>
                <w:sz w:val="18"/>
                <w:szCs w:val="18"/>
                <w:lang w:eastAsia="pt-BR"/>
              </w:rPr>
              <w:t xml:space="preserve">   </w:t>
            </w:r>
          </w:p>
        </w:tc>
        <w:tc>
          <w:tcPr>
            <w:tcW w:w="224" w:type="dxa"/>
            <w:tcBorders>
              <w:top w:val="nil"/>
              <w:left w:val="nil"/>
              <w:bottom w:val="nil"/>
              <w:right w:val="nil"/>
            </w:tcBorders>
            <w:shd w:val="clear" w:color="auto" w:fill="auto"/>
            <w:noWrap/>
            <w:vAlign w:val="center"/>
            <w:hideMark/>
          </w:tcPr>
          <w:p w14:paraId="277B07CD" w14:textId="77777777" w:rsidR="00F23ABE" w:rsidRPr="00F7132F" w:rsidRDefault="00F23ABE" w:rsidP="00F23ABE">
            <w:pPr>
              <w:spacing w:after="0" w:line="240" w:lineRule="auto"/>
              <w:jc w:val="right"/>
              <w:rPr>
                <w:rFonts w:ascii="Verdana" w:eastAsia="Times New Roman" w:hAnsi="Verdana" w:cs="Calibri"/>
                <w:sz w:val="18"/>
                <w:szCs w:val="18"/>
                <w:lang w:eastAsia="pt-BR"/>
              </w:rPr>
            </w:pPr>
          </w:p>
        </w:tc>
        <w:tc>
          <w:tcPr>
            <w:tcW w:w="1827" w:type="dxa"/>
            <w:tcBorders>
              <w:top w:val="nil"/>
              <w:left w:val="nil"/>
              <w:bottom w:val="nil"/>
              <w:right w:val="nil"/>
            </w:tcBorders>
            <w:shd w:val="clear" w:color="auto" w:fill="auto"/>
            <w:noWrap/>
            <w:vAlign w:val="center"/>
            <w:hideMark/>
          </w:tcPr>
          <w:p w14:paraId="35E71020" w14:textId="2C8CD79D" w:rsidR="00F23ABE" w:rsidRPr="00F7132F" w:rsidRDefault="00F23ABE" w:rsidP="00F23AB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w:t>
            </w:r>
            <w:r w:rsidR="00863A04">
              <w:rPr>
                <w:rFonts w:ascii="Verdana" w:eastAsia="Times New Roman" w:hAnsi="Verdana" w:cs="Calibri"/>
                <w:sz w:val="18"/>
                <w:szCs w:val="18"/>
                <w:lang w:eastAsia="pt-BR"/>
              </w:rPr>
              <w:t>2.309</w:t>
            </w:r>
            <w:r w:rsidRPr="00F7132F">
              <w:rPr>
                <w:rFonts w:ascii="Verdana" w:eastAsia="Times New Roman" w:hAnsi="Verdana" w:cs="Calibri"/>
                <w:sz w:val="18"/>
                <w:szCs w:val="18"/>
                <w:lang w:eastAsia="pt-BR"/>
              </w:rPr>
              <w:t xml:space="preserve"> </w:t>
            </w:r>
          </w:p>
        </w:tc>
      </w:tr>
      <w:tr w:rsidR="00F23ABE" w:rsidRPr="00116729" w14:paraId="7BCB39DE" w14:textId="77777777" w:rsidTr="00F7132F">
        <w:trPr>
          <w:trHeight w:val="14"/>
        </w:trPr>
        <w:tc>
          <w:tcPr>
            <w:tcW w:w="5195" w:type="dxa"/>
            <w:tcBorders>
              <w:top w:val="nil"/>
              <w:left w:val="nil"/>
              <w:bottom w:val="nil"/>
              <w:right w:val="nil"/>
            </w:tcBorders>
            <w:shd w:val="clear" w:color="auto" w:fill="auto"/>
            <w:noWrap/>
            <w:vAlign w:val="center"/>
            <w:hideMark/>
          </w:tcPr>
          <w:p w14:paraId="6735D3ED" w14:textId="77777777" w:rsidR="00F23ABE" w:rsidRPr="00F7132F" w:rsidRDefault="00F23ABE"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Outros</w:t>
            </w:r>
          </w:p>
        </w:tc>
        <w:tc>
          <w:tcPr>
            <w:tcW w:w="224" w:type="dxa"/>
            <w:tcBorders>
              <w:top w:val="nil"/>
              <w:left w:val="nil"/>
              <w:bottom w:val="nil"/>
              <w:right w:val="nil"/>
            </w:tcBorders>
            <w:shd w:val="clear" w:color="auto" w:fill="auto"/>
            <w:noWrap/>
            <w:vAlign w:val="center"/>
            <w:hideMark/>
          </w:tcPr>
          <w:p w14:paraId="17102A8E" w14:textId="77777777" w:rsidR="00F23ABE" w:rsidRPr="00F7132F" w:rsidRDefault="00F23ABE"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27" w:type="dxa"/>
            <w:tcBorders>
              <w:top w:val="nil"/>
              <w:left w:val="nil"/>
              <w:bottom w:val="nil"/>
              <w:right w:val="nil"/>
            </w:tcBorders>
            <w:shd w:val="clear" w:color="auto" w:fill="auto"/>
            <w:noWrap/>
            <w:vAlign w:val="center"/>
            <w:hideMark/>
          </w:tcPr>
          <w:p w14:paraId="623D3BF0" w14:textId="32385D01" w:rsidR="00F23ABE" w:rsidRPr="00F7132F" w:rsidRDefault="00863A04" w:rsidP="00F23ABE">
            <w:pPr>
              <w:spacing w:after="0" w:line="240" w:lineRule="auto"/>
              <w:jc w:val="right"/>
              <w:rPr>
                <w:rFonts w:ascii="Verdana" w:eastAsia="Times New Roman" w:hAnsi="Verdana" w:cs="Calibri"/>
                <w:sz w:val="18"/>
                <w:szCs w:val="18"/>
                <w:lang w:eastAsia="pt-BR"/>
              </w:rPr>
            </w:pPr>
            <w:r>
              <w:rPr>
                <w:rFonts w:ascii="Verdana" w:eastAsia="Times New Roman" w:hAnsi="Verdana" w:cs="Calibri"/>
                <w:sz w:val="18"/>
                <w:szCs w:val="18"/>
                <w:lang w:eastAsia="pt-BR"/>
              </w:rPr>
              <w:t>157</w:t>
            </w:r>
            <w:r w:rsidR="00F23ABE" w:rsidRPr="00F7132F">
              <w:rPr>
                <w:rFonts w:ascii="Verdana" w:eastAsia="Times New Roman" w:hAnsi="Verdana" w:cs="Calibri"/>
                <w:sz w:val="18"/>
                <w:szCs w:val="18"/>
                <w:lang w:eastAsia="pt-BR"/>
              </w:rPr>
              <w:t xml:space="preserve">   </w:t>
            </w:r>
          </w:p>
        </w:tc>
        <w:tc>
          <w:tcPr>
            <w:tcW w:w="224" w:type="dxa"/>
            <w:tcBorders>
              <w:top w:val="nil"/>
              <w:left w:val="nil"/>
              <w:bottom w:val="nil"/>
              <w:right w:val="nil"/>
            </w:tcBorders>
            <w:shd w:val="clear" w:color="auto" w:fill="auto"/>
            <w:noWrap/>
            <w:vAlign w:val="center"/>
            <w:hideMark/>
          </w:tcPr>
          <w:p w14:paraId="6231426C" w14:textId="77777777" w:rsidR="00F23ABE" w:rsidRPr="00F7132F" w:rsidRDefault="00F23ABE"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27" w:type="dxa"/>
            <w:tcBorders>
              <w:top w:val="nil"/>
              <w:left w:val="nil"/>
              <w:bottom w:val="nil"/>
              <w:right w:val="nil"/>
            </w:tcBorders>
            <w:shd w:val="clear" w:color="auto" w:fill="auto"/>
            <w:noWrap/>
            <w:vAlign w:val="center"/>
            <w:hideMark/>
          </w:tcPr>
          <w:p w14:paraId="16CE1A14" w14:textId="4A6FC4CC" w:rsidR="00F23ABE" w:rsidRPr="00F7132F" w:rsidRDefault="00F23ABE" w:rsidP="00F23AB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19.</w:t>
            </w:r>
            <w:r w:rsidR="00863A04">
              <w:rPr>
                <w:rFonts w:ascii="Verdana" w:eastAsia="Times New Roman" w:hAnsi="Verdana" w:cs="Calibri"/>
                <w:sz w:val="18"/>
                <w:szCs w:val="18"/>
                <w:lang w:eastAsia="pt-BR"/>
              </w:rPr>
              <w:t>351</w:t>
            </w:r>
            <w:r w:rsidRPr="00F7132F">
              <w:rPr>
                <w:rFonts w:ascii="Verdana" w:eastAsia="Times New Roman" w:hAnsi="Verdana" w:cs="Calibri"/>
                <w:sz w:val="18"/>
                <w:szCs w:val="18"/>
                <w:lang w:eastAsia="pt-BR"/>
              </w:rPr>
              <w:t xml:space="preserve"> </w:t>
            </w:r>
          </w:p>
        </w:tc>
      </w:tr>
      <w:tr w:rsidR="00F23ABE" w:rsidRPr="00116729" w14:paraId="6415AA5B" w14:textId="77777777" w:rsidTr="00F7132F">
        <w:trPr>
          <w:trHeight w:val="14"/>
        </w:trPr>
        <w:tc>
          <w:tcPr>
            <w:tcW w:w="5195" w:type="dxa"/>
            <w:tcBorders>
              <w:top w:val="nil"/>
              <w:left w:val="nil"/>
              <w:bottom w:val="nil"/>
              <w:right w:val="nil"/>
            </w:tcBorders>
            <w:shd w:val="clear" w:color="auto" w:fill="auto"/>
            <w:noWrap/>
            <w:vAlign w:val="center"/>
            <w:hideMark/>
          </w:tcPr>
          <w:p w14:paraId="3E77FA3A" w14:textId="77777777" w:rsidR="00F23ABE" w:rsidRPr="00F7132F" w:rsidRDefault="00F23ABE" w:rsidP="00F23ABE">
            <w:pPr>
              <w:spacing w:after="0" w:line="240" w:lineRule="auto"/>
              <w:jc w:val="right"/>
              <w:rPr>
                <w:rFonts w:ascii="Verdana" w:eastAsia="Times New Roman" w:hAnsi="Verdana" w:cs="Calibri"/>
                <w:sz w:val="18"/>
                <w:szCs w:val="18"/>
                <w:lang w:eastAsia="pt-BR"/>
              </w:rPr>
            </w:pPr>
          </w:p>
        </w:tc>
        <w:tc>
          <w:tcPr>
            <w:tcW w:w="224" w:type="dxa"/>
            <w:tcBorders>
              <w:top w:val="nil"/>
              <w:left w:val="nil"/>
              <w:bottom w:val="nil"/>
              <w:right w:val="nil"/>
            </w:tcBorders>
            <w:shd w:val="clear" w:color="auto" w:fill="auto"/>
            <w:noWrap/>
            <w:vAlign w:val="center"/>
            <w:hideMark/>
          </w:tcPr>
          <w:p w14:paraId="1BC75139" w14:textId="77777777" w:rsidR="00F23ABE" w:rsidRPr="00116729" w:rsidRDefault="00F23ABE" w:rsidP="00F23ABE">
            <w:pPr>
              <w:spacing w:after="0" w:line="240" w:lineRule="auto"/>
              <w:rPr>
                <w:rFonts w:ascii="Times New Roman" w:eastAsia="Times New Roman" w:hAnsi="Times New Roman" w:cs="Times New Roman"/>
                <w:sz w:val="20"/>
                <w:szCs w:val="20"/>
                <w:lang w:eastAsia="pt-BR"/>
              </w:rPr>
            </w:pPr>
          </w:p>
        </w:tc>
        <w:tc>
          <w:tcPr>
            <w:tcW w:w="1827" w:type="dxa"/>
            <w:tcBorders>
              <w:top w:val="single" w:sz="4" w:space="0" w:color="auto"/>
              <w:left w:val="nil"/>
              <w:bottom w:val="double" w:sz="6" w:space="0" w:color="auto"/>
              <w:right w:val="nil"/>
            </w:tcBorders>
            <w:shd w:val="clear" w:color="auto" w:fill="auto"/>
            <w:noWrap/>
            <w:vAlign w:val="center"/>
            <w:hideMark/>
          </w:tcPr>
          <w:p w14:paraId="4883BC7E" w14:textId="3CDD9370" w:rsidR="00F23ABE" w:rsidRPr="00F7132F" w:rsidRDefault="00F23ABE" w:rsidP="00F23ABE">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xml:space="preserve">          </w:t>
            </w:r>
            <w:r w:rsidR="00863A04">
              <w:rPr>
                <w:rFonts w:ascii="Verdana" w:eastAsia="Times New Roman" w:hAnsi="Verdana" w:cs="Calibri"/>
                <w:b/>
                <w:bCs/>
                <w:sz w:val="18"/>
                <w:szCs w:val="18"/>
                <w:lang w:eastAsia="pt-BR"/>
              </w:rPr>
              <w:t>159.185</w:t>
            </w:r>
            <w:r w:rsidRPr="00F7132F">
              <w:rPr>
                <w:rFonts w:ascii="Verdana" w:eastAsia="Times New Roman" w:hAnsi="Verdana" w:cs="Calibri"/>
                <w:b/>
                <w:bCs/>
                <w:sz w:val="18"/>
                <w:szCs w:val="18"/>
                <w:lang w:eastAsia="pt-BR"/>
              </w:rPr>
              <w:t xml:space="preserve"> </w:t>
            </w:r>
          </w:p>
        </w:tc>
        <w:tc>
          <w:tcPr>
            <w:tcW w:w="224" w:type="dxa"/>
            <w:tcBorders>
              <w:top w:val="nil"/>
              <w:left w:val="nil"/>
              <w:bottom w:val="nil"/>
              <w:right w:val="nil"/>
            </w:tcBorders>
            <w:shd w:val="clear" w:color="auto" w:fill="auto"/>
            <w:noWrap/>
            <w:vAlign w:val="center"/>
            <w:hideMark/>
          </w:tcPr>
          <w:p w14:paraId="00E2FDE0" w14:textId="77777777" w:rsidR="00F23ABE" w:rsidRPr="00F7132F" w:rsidRDefault="00F23ABE" w:rsidP="00F23ABE">
            <w:pPr>
              <w:spacing w:after="0" w:line="240" w:lineRule="auto"/>
              <w:jc w:val="right"/>
              <w:rPr>
                <w:rFonts w:ascii="Verdana" w:eastAsia="Times New Roman" w:hAnsi="Verdana" w:cs="Calibri"/>
                <w:b/>
                <w:bCs/>
                <w:sz w:val="18"/>
                <w:szCs w:val="18"/>
                <w:lang w:eastAsia="pt-BR"/>
              </w:rPr>
            </w:pPr>
          </w:p>
        </w:tc>
        <w:tc>
          <w:tcPr>
            <w:tcW w:w="1827" w:type="dxa"/>
            <w:tcBorders>
              <w:top w:val="single" w:sz="4" w:space="0" w:color="auto"/>
              <w:left w:val="nil"/>
              <w:bottom w:val="double" w:sz="6" w:space="0" w:color="auto"/>
              <w:right w:val="nil"/>
            </w:tcBorders>
            <w:shd w:val="clear" w:color="auto" w:fill="auto"/>
            <w:noWrap/>
            <w:vAlign w:val="center"/>
            <w:hideMark/>
          </w:tcPr>
          <w:p w14:paraId="1F323486" w14:textId="1B6DF48D" w:rsidR="00F23ABE" w:rsidRPr="00F7132F" w:rsidRDefault="00F23ABE" w:rsidP="00F23ABE">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xml:space="preserve">          381.</w:t>
            </w:r>
            <w:r w:rsidR="00863A04">
              <w:rPr>
                <w:rFonts w:ascii="Verdana" w:eastAsia="Times New Roman" w:hAnsi="Verdana" w:cs="Calibri"/>
                <w:b/>
                <w:bCs/>
                <w:sz w:val="18"/>
                <w:szCs w:val="18"/>
                <w:lang w:eastAsia="pt-BR"/>
              </w:rPr>
              <w:t>502</w:t>
            </w:r>
            <w:r w:rsidRPr="00F7132F">
              <w:rPr>
                <w:rFonts w:ascii="Verdana" w:eastAsia="Times New Roman" w:hAnsi="Verdana" w:cs="Calibri"/>
                <w:b/>
                <w:bCs/>
                <w:sz w:val="18"/>
                <w:szCs w:val="18"/>
                <w:lang w:eastAsia="pt-BR"/>
              </w:rPr>
              <w:t xml:space="preserve"> </w:t>
            </w:r>
          </w:p>
        </w:tc>
      </w:tr>
    </w:tbl>
    <w:p w14:paraId="2E355ACF" w14:textId="77777777" w:rsidR="002B1787" w:rsidRPr="00F7132F" w:rsidRDefault="00581D1F" w:rsidP="00CF5F07">
      <w:pPr>
        <w:tabs>
          <w:tab w:val="left" w:pos="567"/>
          <w:tab w:val="left" w:pos="1134"/>
          <w:tab w:val="left" w:pos="1701"/>
          <w:tab w:val="left" w:pos="2268"/>
          <w:tab w:val="left" w:pos="2835"/>
        </w:tabs>
        <w:jc w:val="both"/>
        <w:outlineLvl w:val="0"/>
        <w:rPr>
          <w:rFonts w:ascii="Verdana" w:hAnsi="Verdana" w:cstheme="minorHAnsi"/>
          <w:b/>
        </w:rPr>
      </w:pPr>
      <w:r>
        <w:rPr>
          <w:rFonts w:ascii="Verdana" w:hAnsi="Verdana" w:cstheme="minorHAnsi"/>
          <w:b/>
        </w:rPr>
        <w:t>17</w:t>
      </w:r>
      <w:r w:rsidR="00F4139F" w:rsidRPr="00F7132F">
        <w:rPr>
          <w:rFonts w:ascii="Verdana" w:hAnsi="Verdana" w:cstheme="minorHAnsi"/>
          <w:b/>
        </w:rPr>
        <w:t xml:space="preserve"> </w:t>
      </w:r>
      <w:r w:rsidR="002B1787" w:rsidRPr="00F7132F">
        <w:rPr>
          <w:rFonts w:ascii="Verdana" w:hAnsi="Verdana" w:cstheme="minorHAnsi"/>
          <w:b/>
        </w:rPr>
        <w:t>– OBRIGAÇÕES ESTIMADAS</w:t>
      </w:r>
    </w:p>
    <w:tbl>
      <w:tblPr>
        <w:tblW w:w="9307" w:type="dxa"/>
        <w:tblCellMar>
          <w:left w:w="70" w:type="dxa"/>
          <w:right w:w="70" w:type="dxa"/>
        </w:tblCellMar>
        <w:tblLook w:val="04A0" w:firstRow="1" w:lastRow="0" w:firstColumn="1" w:lastColumn="0" w:noHBand="0" w:noVBand="1"/>
      </w:tblPr>
      <w:tblGrid>
        <w:gridCol w:w="5201"/>
        <w:gridCol w:w="224"/>
        <w:gridCol w:w="1829"/>
        <w:gridCol w:w="224"/>
        <w:gridCol w:w="1829"/>
      </w:tblGrid>
      <w:tr w:rsidR="00F23ABE" w:rsidRPr="00116729" w14:paraId="5B1D84CA" w14:textId="77777777" w:rsidTr="00F23ABE">
        <w:trPr>
          <w:trHeight w:val="22"/>
        </w:trPr>
        <w:tc>
          <w:tcPr>
            <w:tcW w:w="5201" w:type="dxa"/>
            <w:tcBorders>
              <w:top w:val="nil"/>
              <w:left w:val="nil"/>
              <w:bottom w:val="nil"/>
              <w:right w:val="nil"/>
            </w:tcBorders>
            <w:shd w:val="clear" w:color="auto" w:fill="auto"/>
            <w:noWrap/>
            <w:vAlign w:val="bottom"/>
            <w:hideMark/>
          </w:tcPr>
          <w:p w14:paraId="4FE98F04" w14:textId="77777777" w:rsidR="00F23ABE" w:rsidRPr="00116729" w:rsidRDefault="00F23ABE" w:rsidP="00F23ABE">
            <w:pPr>
              <w:spacing w:after="0" w:line="240" w:lineRule="auto"/>
              <w:rPr>
                <w:rFonts w:ascii="Times New Roman" w:eastAsia="Times New Roman" w:hAnsi="Times New Roman" w:cs="Times New Roman"/>
                <w:sz w:val="24"/>
                <w:szCs w:val="24"/>
                <w:lang w:eastAsia="pt-BR"/>
              </w:rPr>
            </w:pPr>
          </w:p>
        </w:tc>
        <w:tc>
          <w:tcPr>
            <w:tcW w:w="224" w:type="dxa"/>
            <w:tcBorders>
              <w:top w:val="nil"/>
              <w:left w:val="nil"/>
              <w:bottom w:val="nil"/>
              <w:right w:val="nil"/>
            </w:tcBorders>
            <w:shd w:val="clear" w:color="auto" w:fill="auto"/>
            <w:noWrap/>
            <w:vAlign w:val="bottom"/>
            <w:hideMark/>
          </w:tcPr>
          <w:p w14:paraId="4E2061CC" w14:textId="77777777" w:rsidR="00F23ABE" w:rsidRPr="00116729" w:rsidRDefault="00F23ABE" w:rsidP="00F23ABE">
            <w:pPr>
              <w:spacing w:after="0" w:line="240" w:lineRule="auto"/>
              <w:rPr>
                <w:rFonts w:ascii="Times New Roman" w:eastAsia="Times New Roman" w:hAnsi="Times New Roman" w:cs="Times New Roman"/>
                <w:sz w:val="20"/>
                <w:szCs w:val="20"/>
                <w:lang w:eastAsia="pt-BR"/>
              </w:rPr>
            </w:pPr>
          </w:p>
        </w:tc>
        <w:tc>
          <w:tcPr>
            <w:tcW w:w="1829" w:type="dxa"/>
            <w:tcBorders>
              <w:top w:val="nil"/>
              <w:left w:val="nil"/>
              <w:bottom w:val="single" w:sz="4" w:space="0" w:color="auto"/>
              <w:right w:val="nil"/>
            </w:tcBorders>
            <w:shd w:val="clear" w:color="auto" w:fill="auto"/>
            <w:noWrap/>
            <w:vAlign w:val="bottom"/>
            <w:hideMark/>
          </w:tcPr>
          <w:p w14:paraId="4B54A4AD" w14:textId="77777777" w:rsidR="00F23ABE" w:rsidRPr="00F7132F" w:rsidRDefault="00F23ABE" w:rsidP="00F23ABE">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Controladora</w:t>
            </w:r>
          </w:p>
        </w:tc>
        <w:tc>
          <w:tcPr>
            <w:tcW w:w="224" w:type="dxa"/>
            <w:tcBorders>
              <w:top w:val="nil"/>
              <w:left w:val="nil"/>
              <w:bottom w:val="nil"/>
              <w:right w:val="nil"/>
            </w:tcBorders>
            <w:shd w:val="clear" w:color="auto" w:fill="auto"/>
            <w:noWrap/>
            <w:vAlign w:val="bottom"/>
            <w:hideMark/>
          </w:tcPr>
          <w:p w14:paraId="093E6B53" w14:textId="77777777" w:rsidR="00F23ABE" w:rsidRPr="00F7132F" w:rsidRDefault="00F23ABE" w:rsidP="00F23ABE">
            <w:pPr>
              <w:spacing w:after="0" w:line="240" w:lineRule="auto"/>
              <w:jc w:val="center"/>
              <w:rPr>
                <w:rFonts w:ascii="Verdana" w:eastAsia="Times New Roman" w:hAnsi="Verdana" w:cs="Calibri"/>
                <w:b/>
                <w:bCs/>
                <w:sz w:val="18"/>
                <w:szCs w:val="18"/>
                <w:lang w:eastAsia="pt-BR"/>
              </w:rPr>
            </w:pPr>
          </w:p>
        </w:tc>
        <w:tc>
          <w:tcPr>
            <w:tcW w:w="1829" w:type="dxa"/>
            <w:tcBorders>
              <w:top w:val="nil"/>
              <w:left w:val="nil"/>
              <w:bottom w:val="single" w:sz="4" w:space="0" w:color="auto"/>
              <w:right w:val="nil"/>
            </w:tcBorders>
            <w:shd w:val="clear" w:color="auto" w:fill="auto"/>
            <w:noWrap/>
            <w:vAlign w:val="bottom"/>
            <w:hideMark/>
          </w:tcPr>
          <w:p w14:paraId="3AA806E6" w14:textId="77777777" w:rsidR="00F23ABE" w:rsidRPr="00F7132F" w:rsidRDefault="00F23ABE" w:rsidP="00F23ABE">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Consolidado</w:t>
            </w:r>
          </w:p>
        </w:tc>
      </w:tr>
      <w:tr w:rsidR="00F23ABE" w:rsidRPr="00116729" w14:paraId="5285943B" w14:textId="77777777" w:rsidTr="00F23ABE">
        <w:trPr>
          <w:trHeight w:val="22"/>
        </w:trPr>
        <w:tc>
          <w:tcPr>
            <w:tcW w:w="5201" w:type="dxa"/>
            <w:tcBorders>
              <w:top w:val="nil"/>
              <w:left w:val="nil"/>
              <w:bottom w:val="nil"/>
              <w:right w:val="nil"/>
            </w:tcBorders>
            <w:shd w:val="clear" w:color="auto" w:fill="auto"/>
            <w:noWrap/>
            <w:vAlign w:val="center"/>
            <w:hideMark/>
          </w:tcPr>
          <w:p w14:paraId="167C0E0E" w14:textId="77777777" w:rsidR="00F23ABE" w:rsidRPr="00F7132F" w:rsidRDefault="00F23ABE" w:rsidP="00F23ABE">
            <w:pPr>
              <w:spacing w:after="0" w:line="240" w:lineRule="auto"/>
              <w:jc w:val="center"/>
              <w:rPr>
                <w:rFonts w:ascii="Verdana" w:eastAsia="Times New Roman" w:hAnsi="Verdana" w:cs="Calibri"/>
                <w:b/>
                <w:bCs/>
                <w:sz w:val="18"/>
                <w:szCs w:val="18"/>
                <w:lang w:eastAsia="pt-BR"/>
              </w:rPr>
            </w:pPr>
          </w:p>
        </w:tc>
        <w:tc>
          <w:tcPr>
            <w:tcW w:w="224" w:type="dxa"/>
            <w:tcBorders>
              <w:top w:val="nil"/>
              <w:left w:val="nil"/>
              <w:bottom w:val="nil"/>
              <w:right w:val="nil"/>
            </w:tcBorders>
            <w:shd w:val="clear" w:color="auto" w:fill="auto"/>
            <w:noWrap/>
            <w:vAlign w:val="center"/>
            <w:hideMark/>
          </w:tcPr>
          <w:p w14:paraId="3033EC4E" w14:textId="77777777" w:rsidR="00F23ABE" w:rsidRPr="00116729" w:rsidRDefault="00F23ABE" w:rsidP="00F23ABE">
            <w:pPr>
              <w:spacing w:after="0" w:line="240" w:lineRule="auto"/>
              <w:rPr>
                <w:rFonts w:ascii="Times New Roman" w:eastAsia="Times New Roman" w:hAnsi="Times New Roman" w:cs="Times New Roman"/>
                <w:sz w:val="20"/>
                <w:szCs w:val="20"/>
                <w:lang w:eastAsia="pt-BR"/>
              </w:rPr>
            </w:pPr>
          </w:p>
        </w:tc>
        <w:tc>
          <w:tcPr>
            <w:tcW w:w="1829" w:type="dxa"/>
            <w:tcBorders>
              <w:top w:val="nil"/>
              <w:left w:val="nil"/>
              <w:bottom w:val="single" w:sz="4" w:space="0" w:color="auto"/>
              <w:right w:val="nil"/>
            </w:tcBorders>
            <w:shd w:val="clear" w:color="auto" w:fill="auto"/>
            <w:noWrap/>
            <w:vAlign w:val="center"/>
            <w:hideMark/>
          </w:tcPr>
          <w:p w14:paraId="52FD2F2C" w14:textId="77777777" w:rsidR="00F23ABE" w:rsidRPr="00F7132F" w:rsidRDefault="00F23ABE" w:rsidP="00F23ABE">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30/06/2022</w:t>
            </w:r>
          </w:p>
        </w:tc>
        <w:tc>
          <w:tcPr>
            <w:tcW w:w="224" w:type="dxa"/>
            <w:tcBorders>
              <w:top w:val="nil"/>
              <w:left w:val="nil"/>
              <w:bottom w:val="nil"/>
              <w:right w:val="nil"/>
            </w:tcBorders>
            <w:shd w:val="clear" w:color="auto" w:fill="auto"/>
            <w:noWrap/>
            <w:vAlign w:val="center"/>
            <w:hideMark/>
          </w:tcPr>
          <w:p w14:paraId="560785B9" w14:textId="77777777" w:rsidR="00F23ABE" w:rsidRPr="00F7132F" w:rsidRDefault="00F23ABE" w:rsidP="00F23ABE">
            <w:pPr>
              <w:spacing w:after="0" w:line="240" w:lineRule="auto"/>
              <w:jc w:val="center"/>
              <w:rPr>
                <w:rFonts w:ascii="Verdana" w:eastAsia="Times New Roman" w:hAnsi="Verdana" w:cs="Calibri"/>
                <w:b/>
                <w:bCs/>
                <w:sz w:val="18"/>
                <w:szCs w:val="18"/>
                <w:lang w:eastAsia="pt-BR"/>
              </w:rPr>
            </w:pPr>
          </w:p>
        </w:tc>
        <w:tc>
          <w:tcPr>
            <w:tcW w:w="1829" w:type="dxa"/>
            <w:tcBorders>
              <w:top w:val="nil"/>
              <w:left w:val="nil"/>
              <w:bottom w:val="single" w:sz="4" w:space="0" w:color="auto"/>
              <w:right w:val="nil"/>
            </w:tcBorders>
            <w:shd w:val="clear" w:color="auto" w:fill="auto"/>
            <w:noWrap/>
            <w:vAlign w:val="center"/>
            <w:hideMark/>
          </w:tcPr>
          <w:p w14:paraId="79A1E2C5" w14:textId="77777777" w:rsidR="00F23ABE" w:rsidRPr="00F7132F" w:rsidRDefault="00F23ABE" w:rsidP="00F23ABE">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30/06/2022</w:t>
            </w:r>
          </w:p>
        </w:tc>
      </w:tr>
      <w:tr w:rsidR="00F23ABE" w:rsidRPr="00116729" w14:paraId="7639C77E" w14:textId="77777777" w:rsidTr="00F7132F">
        <w:trPr>
          <w:trHeight w:val="22"/>
        </w:trPr>
        <w:tc>
          <w:tcPr>
            <w:tcW w:w="5201" w:type="dxa"/>
            <w:tcBorders>
              <w:top w:val="nil"/>
              <w:left w:val="nil"/>
              <w:bottom w:val="nil"/>
              <w:right w:val="nil"/>
            </w:tcBorders>
            <w:shd w:val="clear" w:color="auto" w:fill="auto"/>
            <w:noWrap/>
            <w:vAlign w:val="center"/>
            <w:hideMark/>
          </w:tcPr>
          <w:p w14:paraId="69946E3A" w14:textId="77777777" w:rsidR="00F23ABE" w:rsidRPr="00F7132F" w:rsidRDefault="00F23ABE"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24" w:type="dxa"/>
            <w:tcBorders>
              <w:top w:val="nil"/>
              <w:left w:val="nil"/>
              <w:bottom w:val="nil"/>
              <w:right w:val="nil"/>
            </w:tcBorders>
            <w:shd w:val="clear" w:color="auto" w:fill="auto"/>
            <w:noWrap/>
            <w:vAlign w:val="center"/>
            <w:hideMark/>
          </w:tcPr>
          <w:p w14:paraId="7E559C41" w14:textId="77777777" w:rsidR="00F23ABE" w:rsidRPr="00F7132F" w:rsidRDefault="00F23ABE" w:rsidP="00F23ABE">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29" w:type="dxa"/>
            <w:tcBorders>
              <w:top w:val="nil"/>
              <w:left w:val="nil"/>
              <w:bottom w:val="nil"/>
              <w:right w:val="nil"/>
            </w:tcBorders>
            <w:shd w:val="clear" w:color="auto" w:fill="auto"/>
            <w:noWrap/>
            <w:vAlign w:val="center"/>
            <w:hideMark/>
          </w:tcPr>
          <w:p w14:paraId="35586D1D" w14:textId="77777777" w:rsidR="00F23ABE" w:rsidRPr="00F7132F" w:rsidRDefault="00F23ABE" w:rsidP="00F23ABE">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24" w:type="dxa"/>
            <w:tcBorders>
              <w:top w:val="nil"/>
              <w:left w:val="nil"/>
              <w:bottom w:val="nil"/>
              <w:right w:val="nil"/>
            </w:tcBorders>
            <w:shd w:val="clear" w:color="auto" w:fill="auto"/>
            <w:noWrap/>
            <w:vAlign w:val="center"/>
            <w:hideMark/>
          </w:tcPr>
          <w:p w14:paraId="1C5EC2FC" w14:textId="77777777" w:rsidR="00F23ABE" w:rsidRPr="00F7132F" w:rsidRDefault="00F23ABE" w:rsidP="00F23ABE">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29" w:type="dxa"/>
            <w:tcBorders>
              <w:top w:val="nil"/>
              <w:left w:val="nil"/>
              <w:bottom w:val="nil"/>
              <w:right w:val="nil"/>
            </w:tcBorders>
            <w:shd w:val="clear" w:color="auto" w:fill="auto"/>
            <w:noWrap/>
            <w:vAlign w:val="center"/>
            <w:hideMark/>
          </w:tcPr>
          <w:p w14:paraId="7A6B0207" w14:textId="77777777" w:rsidR="00F23ABE" w:rsidRPr="00F7132F" w:rsidRDefault="00F23ABE" w:rsidP="00F23ABE">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r>
      <w:tr w:rsidR="00F23ABE" w:rsidRPr="00116729" w14:paraId="3C043CB8" w14:textId="77777777" w:rsidTr="00F23ABE">
        <w:trPr>
          <w:trHeight w:val="22"/>
        </w:trPr>
        <w:tc>
          <w:tcPr>
            <w:tcW w:w="5201" w:type="dxa"/>
            <w:tcBorders>
              <w:top w:val="nil"/>
              <w:left w:val="nil"/>
              <w:bottom w:val="nil"/>
              <w:right w:val="nil"/>
            </w:tcBorders>
            <w:shd w:val="clear" w:color="auto" w:fill="auto"/>
            <w:noWrap/>
            <w:vAlign w:val="center"/>
            <w:hideMark/>
          </w:tcPr>
          <w:p w14:paraId="21A71DD8" w14:textId="644B75ED" w:rsidR="00F23ABE" w:rsidRPr="00F7132F" w:rsidRDefault="00F23ABE"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Provisão de férias</w:t>
            </w:r>
            <w:r w:rsidR="00863A04">
              <w:rPr>
                <w:rFonts w:ascii="Verdana" w:eastAsia="Times New Roman" w:hAnsi="Verdana" w:cs="Calibri"/>
                <w:sz w:val="18"/>
                <w:szCs w:val="18"/>
                <w:lang w:eastAsia="pt-BR"/>
              </w:rPr>
              <w:t xml:space="preserve"> e encargos</w:t>
            </w:r>
          </w:p>
        </w:tc>
        <w:tc>
          <w:tcPr>
            <w:tcW w:w="224" w:type="dxa"/>
            <w:tcBorders>
              <w:top w:val="nil"/>
              <w:left w:val="nil"/>
              <w:bottom w:val="nil"/>
              <w:right w:val="nil"/>
            </w:tcBorders>
            <w:shd w:val="clear" w:color="auto" w:fill="auto"/>
            <w:noWrap/>
            <w:vAlign w:val="center"/>
            <w:hideMark/>
          </w:tcPr>
          <w:p w14:paraId="23309EB1" w14:textId="77777777" w:rsidR="00F23ABE" w:rsidRPr="00F7132F" w:rsidRDefault="00F23ABE" w:rsidP="00F23ABE">
            <w:pPr>
              <w:spacing w:after="0" w:line="240" w:lineRule="auto"/>
              <w:rPr>
                <w:rFonts w:ascii="Verdana" w:eastAsia="Times New Roman" w:hAnsi="Verdana" w:cs="Calibri"/>
                <w:sz w:val="18"/>
                <w:szCs w:val="18"/>
                <w:lang w:eastAsia="pt-BR"/>
              </w:rPr>
            </w:pPr>
          </w:p>
        </w:tc>
        <w:tc>
          <w:tcPr>
            <w:tcW w:w="1829" w:type="dxa"/>
            <w:tcBorders>
              <w:top w:val="nil"/>
              <w:left w:val="nil"/>
              <w:bottom w:val="nil"/>
              <w:right w:val="nil"/>
            </w:tcBorders>
            <w:shd w:val="clear" w:color="auto" w:fill="auto"/>
            <w:noWrap/>
            <w:vAlign w:val="center"/>
            <w:hideMark/>
          </w:tcPr>
          <w:p w14:paraId="1B44C11F" w14:textId="3DF7E17C" w:rsidR="00F23ABE" w:rsidRPr="00F7132F" w:rsidRDefault="00F23ABE" w:rsidP="00F23AB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23</w:t>
            </w:r>
            <w:r w:rsidR="00863A04">
              <w:rPr>
                <w:rFonts w:ascii="Verdana" w:eastAsia="Times New Roman" w:hAnsi="Verdana" w:cs="Calibri"/>
                <w:sz w:val="18"/>
                <w:szCs w:val="18"/>
                <w:lang w:eastAsia="pt-BR"/>
              </w:rPr>
              <w:t>8</w:t>
            </w:r>
            <w:r w:rsidRPr="00F7132F">
              <w:rPr>
                <w:rFonts w:ascii="Verdana" w:eastAsia="Times New Roman" w:hAnsi="Verdana" w:cs="Calibri"/>
                <w:sz w:val="18"/>
                <w:szCs w:val="18"/>
                <w:lang w:eastAsia="pt-BR"/>
              </w:rPr>
              <w:t xml:space="preserve"> </w:t>
            </w:r>
          </w:p>
        </w:tc>
        <w:tc>
          <w:tcPr>
            <w:tcW w:w="224" w:type="dxa"/>
            <w:tcBorders>
              <w:top w:val="nil"/>
              <w:left w:val="nil"/>
              <w:bottom w:val="nil"/>
              <w:right w:val="nil"/>
            </w:tcBorders>
            <w:shd w:val="clear" w:color="auto" w:fill="auto"/>
            <w:noWrap/>
            <w:vAlign w:val="center"/>
            <w:hideMark/>
          </w:tcPr>
          <w:p w14:paraId="37B18D6A" w14:textId="77777777" w:rsidR="00F23ABE" w:rsidRPr="00F7132F" w:rsidRDefault="00F23ABE" w:rsidP="00F23ABE">
            <w:pPr>
              <w:spacing w:after="0" w:line="240" w:lineRule="auto"/>
              <w:jc w:val="right"/>
              <w:rPr>
                <w:rFonts w:ascii="Verdana" w:eastAsia="Times New Roman" w:hAnsi="Verdana" w:cs="Calibri"/>
                <w:sz w:val="18"/>
                <w:szCs w:val="18"/>
                <w:lang w:eastAsia="pt-BR"/>
              </w:rPr>
            </w:pPr>
          </w:p>
        </w:tc>
        <w:tc>
          <w:tcPr>
            <w:tcW w:w="1829" w:type="dxa"/>
            <w:tcBorders>
              <w:top w:val="nil"/>
              <w:left w:val="nil"/>
              <w:bottom w:val="nil"/>
              <w:right w:val="nil"/>
            </w:tcBorders>
            <w:shd w:val="clear" w:color="auto" w:fill="auto"/>
            <w:noWrap/>
            <w:vAlign w:val="center"/>
            <w:hideMark/>
          </w:tcPr>
          <w:p w14:paraId="318AFC77" w14:textId="69922A76" w:rsidR="00F23ABE" w:rsidRPr="00F7132F" w:rsidRDefault="00F23ABE" w:rsidP="00F23AB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w:t>
            </w:r>
            <w:r w:rsidR="00863A04">
              <w:rPr>
                <w:rFonts w:ascii="Verdana" w:eastAsia="Times New Roman" w:hAnsi="Verdana" w:cs="Calibri"/>
                <w:sz w:val="18"/>
                <w:szCs w:val="18"/>
                <w:lang w:eastAsia="pt-BR"/>
              </w:rPr>
              <w:t>83.467</w:t>
            </w:r>
            <w:r w:rsidRPr="00F7132F">
              <w:rPr>
                <w:rFonts w:ascii="Verdana" w:eastAsia="Times New Roman" w:hAnsi="Verdana" w:cs="Calibri"/>
                <w:sz w:val="18"/>
                <w:szCs w:val="18"/>
                <w:lang w:eastAsia="pt-BR"/>
              </w:rPr>
              <w:t xml:space="preserve"> </w:t>
            </w:r>
          </w:p>
        </w:tc>
      </w:tr>
      <w:tr w:rsidR="00F23ABE" w:rsidRPr="00116729" w14:paraId="219C8518" w14:textId="77777777" w:rsidTr="00F23ABE">
        <w:trPr>
          <w:trHeight w:val="22"/>
        </w:trPr>
        <w:tc>
          <w:tcPr>
            <w:tcW w:w="5201" w:type="dxa"/>
            <w:tcBorders>
              <w:top w:val="nil"/>
              <w:left w:val="nil"/>
              <w:bottom w:val="nil"/>
              <w:right w:val="nil"/>
            </w:tcBorders>
            <w:shd w:val="clear" w:color="auto" w:fill="auto"/>
            <w:noWrap/>
            <w:vAlign w:val="center"/>
            <w:hideMark/>
          </w:tcPr>
          <w:p w14:paraId="79751C35" w14:textId="77777777" w:rsidR="00F23ABE" w:rsidRPr="00F7132F" w:rsidRDefault="00F23ABE"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Adiantamento 13º salário</w:t>
            </w:r>
          </w:p>
        </w:tc>
        <w:tc>
          <w:tcPr>
            <w:tcW w:w="224" w:type="dxa"/>
            <w:tcBorders>
              <w:top w:val="nil"/>
              <w:left w:val="nil"/>
              <w:bottom w:val="nil"/>
              <w:right w:val="nil"/>
            </w:tcBorders>
            <w:shd w:val="clear" w:color="auto" w:fill="auto"/>
            <w:noWrap/>
            <w:vAlign w:val="center"/>
            <w:hideMark/>
          </w:tcPr>
          <w:p w14:paraId="1CC81511" w14:textId="77777777" w:rsidR="00F23ABE" w:rsidRPr="00F7132F" w:rsidRDefault="00F23ABE" w:rsidP="00F23ABE">
            <w:pPr>
              <w:spacing w:after="0" w:line="240" w:lineRule="auto"/>
              <w:rPr>
                <w:rFonts w:ascii="Verdana" w:eastAsia="Times New Roman" w:hAnsi="Verdana" w:cs="Calibri"/>
                <w:sz w:val="18"/>
                <w:szCs w:val="18"/>
                <w:lang w:eastAsia="pt-BR"/>
              </w:rPr>
            </w:pPr>
          </w:p>
        </w:tc>
        <w:tc>
          <w:tcPr>
            <w:tcW w:w="1829" w:type="dxa"/>
            <w:tcBorders>
              <w:top w:val="nil"/>
              <w:left w:val="nil"/>
              <w:bottom w:val="nil"/>
              <w:right w:val="nil"/>
            </w:tcBorders>
            <w:shd w:val="clear" w:color="auto" w:fill="auto"/>
            <w:noWrap/>
            <w:vAlign w:val="center"/>
            <w:hideMark/>
          </w:tcPr>
          <w:p w14:paraId="42DCF1BC" w14:textId="77777777" w:rsidR="00F23ABE" w:rsidRPr="00F7132F" w:rsidRDefault="00F23ABE" w:rsidP="00F23AB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(94)</w:t>
            </w:r>
          </w:p>
        </w:tc>
        <w:tc>
          <w:tcPr>
            <w:tcW w:w="224" w:type="dxa"/>
            <w:tcBorders>
              <w:top w:val="nil"/>
              <w:left w:val="nil"/>
              <w:bottom w:val="nil"/>
              <w:right w:val="nil"/>
            </w:tcBorders>
            <w:shd w:val="clear" w:color="auto" w:fill="auto"/>
            <w:noWrap/>
            <w:vAlign w:val="center"/>
            <w:hideMark/>
          </w:tcPr>
          <w:p w14:paraId="31329ADB" w14:textId="77777777" w:rsidR="00F23ABE" w:rsidRPr="00F7132F" w:rsidRDefault="00F23ABE" w:rsidP="00F23ABE">
            <w:pPr>
              <w:spacing w:after="0" w:line="240" w:lineRule="auto"/>
              <w:jc w:val="right"/>
              <w:rPr>
                <w:rFonts w:ascii="Verdana" w:eastAsia="Times New Roman" w:hAnsi="Verdana" w:cs="Calibri"/>
                <w:sz w:val="18"/>
                <w:szCs w:val="18"/>
                <w:lang w:eastAsia="pt-BR"/>
              </w:rPr>
            </w:pPr>
          </w:p>
        </w:tc>
        <w:tc>
          <w:tcPr>
            <w:tcW w:w="1829" w:type="dxa"/>
            <w:tcBorders>
              <w:top w:val="nil"/>
              <w:left w:val="nil"/>
              <w:bottom w:val="nil"/>
              <w:right w:val="nil"/>
            </w:tcBorders>
            <w:shd w:val="clear" w:color="auto" w:fill="auto"/>
            <w:noWrap/>
            <w:vAlign w:val="center"/>
            <w:hideMark/>
          </w:tcPr>
          <w:p w14:paraId="7D6B8A10" w14:textId="77777777" w:rsidR="00F23ABE" w:rsidRPr="00F7132F" w:rsidRDefault="00F23ABE" w:rsidP="00F23AB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(10.491)</w:t>
            </w:r>
          </w:p>
        </w:tc>
      </w:tr>
      <w:tr w:rsidR="00F23ABE" w:rsidRPr="00116729" w14:paraId="3C8A4AB0" w14:textId="77777777" w:rsidTr="00F7132F">
        <w:trPr>
          <w:trHeight w:val="22"/>
        </w:trPr>
        <w:tc>
          <w:tcPr>
            <w:tcW w:w="5201" w:type="dxa"/>
            <w:tcBorders>
              <w:top w:val="nil"/>
              <w:left w:val="nil"/>
              <w:bottom w:val="nil"/>
              <w:right w:val="nil"/>
            </w:tcBorders>
            <w:shd w:val="clear" w:color="auto" w:fill="auto"/>
            <w:noWrap/>
            <w:vAlign w:val="center"/>
            <w:hideMark/>
          </w:tcPr>
          <w:p w14:paraId="0CAAB82C" w14:textId="43E4F3F3" w:rsidR="00F23ABE" w:rsidRPr="00F7132F" w:rsidRDefault="00F23ABE"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Provisão 13º salário</w:t>
            </w:r>
            <w:r w:rsidR="00863A04">
              <w:rPr>
                <w:rFonts w:ascii="Verdana" w:eastAsia="Times New Roman" w:hAnsi="Verdana" w:cs="Calibri"/>
                <w:sz w:val="18"/>
                <w:szCs w:val="18"/>
                <w:lang w:eastAsia="pt-BR"/>
              </w:rPr>
              <w:t xml:space="preserve"> e encargos</w:t>
            </w:r>
          </w:p>
        </w:tc>
        <w:tc>
          <w:tcPr>
            <w:tcW w:w="224" w:type="dxa"/>
            <w:tcBorders>
              <w:top w:val="nil"/>
              <w:left w:val="nil"/>
              <w:bottom w:val="nil"/>
              <w:right w:val="nil"/>
            </w:tcBorders>
            <w:shd w:val="clear" w:color="auto" w:fill="auto"/>
            <w:noWrap/>
            <w:vAlign w:val="center"/>
            <w:hideMark/>
          </w:tcPr>
          <w:p w14:paraId="0C682A48" w14:textId="77777777" w:rsidR="00F23ABE" w:rsidRPr="00F7132F" w:rsidRDefault="00F23ABE"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29" w:type="dxa"/>
            <w:tcBorders>
              <w:top w:val="nil"/>
              <w:left w:val="nil"/>
              <w:bottom w:val="nil"/>
              <w:right w:val="nil"/>
            </w:tcBorders>
            <w:shd w:val="clear" w:color="auto" w:fill="auto"/>
            <w:noWrap/>
            <w:vAlign w:val="center"/>
            <w:hideMark/>
          </w:tcPr>
          <w:p w14:paraId="132ACBC6" w14:textId="2773D798" w:rsidR="00F23ABE" w:rsidRPr="00F7132F" w:rsidRDefault="00F23ABE" w:rsidP="00F23AB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w:t>
            </w:r>
            <w:r w:rsidR="00863A04">
              <w:rPr>
                <w:rFonts w:ascii="Verdana" w:eastAsia="Times New Roman" w:hAnsi="Verdana" w:cs="Calibri"/>
                <w:sz w:val="18"/>
                <w:szCs w:val="18"/>
                <w:lang w:eastAsia="pt-BR"/>
              </w:rPr>
              <w:t>246</w:t>
            </w:r>
            <w:r w:rsidR="00863A04" w:rsidRPr="00F7132F">
              <w:rPr>
                <w:rFonts w:ascii="Verdana" w:eastAsia="Times New Roman" w:hAnsi="Verdana" w:cs="Calibri"/>
                <w:sz w:val="18"/>
                <w:szCs w:val="18"/>
                <w:lang w:eastAsia="pt-BR"/>
              </w:rPr>
              <w:t xml:space="preserve"> </w:t>
            </w:r>
          </w:p>
        </w:tc>
        <w:tc>
          <w:tcPr>
            <w:tcW w:w="224" w:type="dxa"/>
            <w:tcBorders>
              <w:top w:val="nil"/>
              <w:left w:val="nil"/>
              <w:bottom w:val="nil"/>
              <w:right w:val="nil"/>
            </w:tcBorders>
            <w:shd w:val="clear" w:color="auto" w:fill="auto"/>
            <w:noWrap/>
            <w:vAlign w:val="center"/>
            <w:hideMark/>
          </w:tcPr>
          <w:p w14:paraId="6BD82692" w14:textId="77777777" w:rsidR="00F23ABE" w:rsidRPr="00F7132F" w:rsidRDefault="00F23ABE"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29" w:type="dxa"/>
            <w:tcBorders>
              <w:top w:val="nil"/>
              <w:left w:val="nil"/>
              <w:bottom w:val="nil"/>
              <w:right w:val="nil"/>
            </w:tcBorders>
            <w:shd w:val="clear" w:color="auto" w:fill="auto"/>
            <w:noWrap/>
            <w:vAlign w:val="center"/>
            <w:hideMark/>
          </w:tcPr>
          <w:p w14:paraId="5E4C9F5B" w14:textId="2222BD2F" w:rsidR="00F23ABE" w:rsidRPr="00F7132F" w:rsidRDefault="00F23ABE" w:rsidP="00F23AB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w:t>
            </w:r>
            <w:r w:rsidR="00863A04">
              <w:rPr>
                <w:rFonts w:ascii="Verdana" w:eastAsia="Times New Roman" w:hAnsi="Verdana" w:cs="Calibri"/>
                <w:sz w:val="18"/>
                <w:szCs w:val="18"/>
                <w:lang w:eastAsia="pt-BR"/>
              </w:rPr>
              <w:t>26.242</w:t>
            </w:r>
            <w:r w:rsidRPr="00F7132F">
              <w:rPr>
                <w:rFonts w:ascii="Verdana" w:eastAsia="Times New Roman" w:hAnsi="Verdana" w:cs="Calibri"/>
                <w:sz w:val="18"/>
                <w:szCs w:val="18"/>
                <w:lang w:eastAsia="pt-BR"/>
              </w:rPr>
              <w:t xml:space="preserve"> </w:t>
            </w:r>
          </w:p>
        </w:tc>
      </w:tr>
      <w:tr w:rsidR="00F23ABE" w:rsidRPr="00116729" w14:paraId="1F683BF3" w14:textId="77777777" w:rsidTr="003072B4">
        <w:trPr>
          <w:trHeight w:val="22"/>
        </w:trPr>
        <w:tc>
          <w:tcPr>
            <w:tcW w:w="5201" w:type="dxa"/>
            <w:tcBorders>
              <w:top w:val="nil"/>
              <w:left w:val="nil"/>
              <w:bottom w:val="nil"/>
              <w:right w:val="nil"/>
            </w:tcBorders>
            <w:shd w:val="clear" w:color="auto" w:fill="auto"/>
            <w:noWrap/>
            <w:vAlign w:val="center"/>
          </w:tcPr>
          <w:p w14:paraId="2060199B" w14:textId="29C07B2F" w:rsidR="00F23ABE" w:rsidRPr="00F7132F" w:rsidRDefault="00F23ABE" w:rsidP="00F23ABE">
            <w:pPr>
              <w:spacing w:after="0" w:line="240" w:lineRule="auto"/>
              <w:rPr>
                <w:rFonts w:ascii="Verdana" w:eastAsia="Times New Roman" w:hAnsi="Verdana" w:cs="Calibri"/>
                <w:sz w:val="18"/>
                <w:szCs w:val="18"/>
                <w:lang w:eastAsia="pt-BR"/>
              </w:rPr>
            </w:pPr>
          </w:p>
        </w:tc>
        <w:tc>
          <w:tcPr>
            <w:tcW w:w="224" w:type="dxa"/>
            <w:tcBorders>
              <w:top w:val="nil"/>
              <w:left w:val="nil"/>
              <w:bottom w:val="nil"/>
              <w:right w:val="nil"/>
            </w:tcBorders>
            <w:shd w:val="clear" w:color="auto" w:fill="auto"/>
            <w:noWrap/>
            <w:vAlign w:val="center"/>
          </w:tcPr>
          <w:p w14:paraId="21C316B8" w14:textId="77777777" w:rsidR="00F23ABE" w:rsidRPr="00F7132F" w:rsidRDefault="00F23ABE" w:rsidP="00F23ABE">
            <w:pPr>
              <w:spacing w:after="0" w:line="240" w:lineRule="auto"/>
              <w:rPr>
                <w:rFonts w:ascii="Verdana" w:eastAsia="Times New Roman" w:hAnsi="Verdana" w:cs="Calibri"/>
                <w:sz w:val="18"/>
                <w:szCs w:val="18"/>
                <w:lang w:eastAsia="pt-BR"/>
              </w:rPr>
            </w:pPr>
          </w:p>
        </w:tc>
        <w:tc>
          <w:tcPr>
            <w:tcW w:w="1829" w:type="dxa"/>
            <w:tcBorders>
              <w:top w:val="nil"/>
              <w:left w:val="nil"/>
              <w:bottom w:val="nil"/>
              <w:right w:val="nil"/>
            </w:tcBorders>
            <w:shd w:val="clear" w:color="auto" w:fill="auto"/>
            <w:noWrap/>
            <w:vAlign w:val="center"/>
          </w:tcPr>
          <w:p w14:paraId="544B484A" w14:textId="58427C03" w:rsidR="00F23ABE" w:rsidRPr="00F7132F" w:rsidRDefault="00F23ABE" w:rsidP="00F23ABE">
            <w:pPr>
              <w:spacing w:after="0" w:line="240" w:lineRule="auto"/>
              <w:jc w:val="right"/>
              <w:rPr>
                <w:rFonts w:ascii="Verdana" w:eastAsia="Times New Roman" w:hAnsi="Verdana" w:cs="Calibri"/>
                <w:sz w:val="18"/>
                <w:szCs w:val="18"/>
                <w:lang w:eastAsia="pt-BR"/>
              </w:rPr>
            </w:pPr>
          </w:p>
        </w:tc>
        <w:tc>
          <w:tcPr>
            <w:tcW w:w="224" w:type="dxa"/>
            <w:tcBorders>
              <w:top w:val="nil"/>
              <w:left w:val="nil"/>
              <w:bottom w:val="nil"/>
              <w:right w:val="nil"/>
            </w:tcBorders>
            <w:shd w:val="clear" w:color="auto" w:fill="auto"/>
            <w:noWrap/>
            <w:vAlign w:val="center"/>
          </w:tcPr>
          <w:p w14:paraId="6721289B" w14:textId="77777777" w:rsidR="00F23ABE" w:rsidRPr="00F7132F" w:rsidRDefault="00F23ABE" w:rsidP="00F23ABE">
            <w:pPr>
              <w:spacing w:after="0" w:line="240" w:lineRule="auto"/>
              <w:jc w:val="right"/>
              <w:rPr>
                <w:rFonts w:ascii="Verdana" w:eastAsia="Times New Roman" w:hAnsi="Verdana" w:cs="Calibri"/>
                <w:sz w:val="18"/>
                <w:szCs w:val="18"/>
                <w:lang w:eastAsia="pt-BR"/>
              </w:rPr>
            </w:pPr>
          </w:p>
        </w:tc>
        <w:tc>
          <w:tcPr>
            <w:tcW w:w="1829" w:type="dxa"/>
            <w:tcBorders>
              <w:top w:val="nil"/>
              <w:left w:val="nil"/>
              <w:bottom w:val="nil"/>
              <w:right w:val="nil"/>
            </w:tcBorders>
            <w:shd w:val="clear" w:color="auto" w:fill="auto"/>
            <w:noWrap/>
            <w:vAlign w:val="center"/>
          </w:tcPr>
          <w:p w14:paraId="7E1FA775" w14:textId="099C52F0" w:rsidR="00F23ABE" w:rsidRPr="00F7132F" w:rsidRDefault="00F23ABE" w:rsidP="00F23ABE">
            <w:pPr>
              <w:spacing w:after="0" w:line="240" w:lineRule="auto"/>
              <w:jc w:val="right"/>
              <w:rPr>
                <w:rFonts w:ascii="Verdana" w:eastAsia="Times New Roman" w:hAnsi="Verdana" w:cs="Calibri"/>
                <w:sz w:val="18"/>
                <w:szCs w:val="18"/>
                <w:lang w:eastAsia="pt-BR"/>
              </w:rPr>
            </w:pPr>
          </w:p>
        </w:tc>
      </w:tr>
      <w:tr w:rsidR="00F23ABE" w:rsidRPr="00116729" w14:paraId="19A362B6" w14:textId="77777777" w:rsidTr="00F7132F">
        <w:trPr>
          <w:trHeight w:val="22"/>
        </w:trPr>
        <w:tc>
          <w:tcPr>
            <w:tcW w:w="5201" w:type="dxa"/>
            <w:tcBorders>
              <w:top w:val="nil"/>
              <w:left w:val="nil"/>
              <w:bottom w:val="nil"/>
              <w:right w:val="nil"/>
            </w:tcBorders>
            <w:shd w:val="clear" w:color="auto" w:fill="auto"/>
            <w:noWrap/>
            <w:vAlign w:val="center"/>
            <w:hideMark/>
          </w:tcPr>
          <w:p w14:paraId="7CD0AA45" w14:textId="58CEFE7D" w:rsidR="00F23ABE" w:rsidRPr="00F7132F" w:rsidRDefault="00863A04" w:rsidP="00F23ABE">
            <w:pPr>
              <w:spacing w:after="0" w:line="240" w:lineRule="auto"/>
              <w:rPr>
                <w:rFonts w:ascii="Verdana" w:eastAsia="Times New Roman" w:hAnsi="Verdana" w:cs="Calibri"/>
                <w:sz w:val="18"/>
                <w:szCs w:val="18"/>
                <w:lang w:eastAsia="pt-BR"/>
              </w:rPr>
            </w:pPr>
            <w:r>
              <w:rPr>
                <w:rFonts w:ascii="Verdana" w:eastAsia="Times New Roman" w:hAnsi="Verdana" w:cs="Calibri"/>
                <w:sz w:val="18"/>
                <w:szCs w:val="18"/>
                <w:lang w:eastAsia="pt-BR"/>
              </w:rPr>
              <w:t>Provisão Gratificação Natalina</w:t>
            </w:r>
          </w:p>
        </w:tc>
        <w:tc>
          <w:tcPr>
            <w:tcW w:w="224" w:type="dxa"/>
            <w:tcBorders>
              <w:top w:val="nil"/>
              <w:left w:val="nil"/>
              <w:bottom w:val="nil"/>
              <w:right w:val="nil"/>
            </w:tcBorders>
            <w:shd w:val="clear" w:color="auto" w:fill="auto"/>
            <w:noWrap/>
            <w:vAlign w:val="center"/>
            <w:hideMark/>
          </w:tcPr>
          <w:p w14:paraId="6C2126D4" w14:textId="77777777" w:rsidR="00F23ABE" w:rsidRPr="00F7132F" w:rsidRDefault="00F23ABE"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29" w:type="dxa"/>
            <w:tcBorders>
              <w:top w:val="nil"/>
              <w:left w:val="nil"/>
              <w:bottom w:val="nil"/>
              <w:right w:val="nil"/>
            </w:tcBorders>
            <w:shd w:val="clear" w:color="auto" w:fill="auto"/>
            <w:noWrap/>
            <w:vAlign w:val="center"/>
            <w:hideMark/>
          </w:tcPr>
          <w:p w14:paraId="4EDB8654" w14:textId="333D5D7C" w:rsidR="00F23ABE" w:rsidRPr="00F7132F" w:rsidRDefault="00863A04" w:rsidP="00F23ABE">
            <w:pPr>
              <w:spacing w:after="0" w:line="240" w:lineRule="auto"/>
              <w:jc w:val="right"/>
              <w:rPr>
                <w:rFonts w:ascii="Verdana" w:eastAsia="Times New Roman" w:hAnsi="Verdana" w:cs="Calibri"/>
                <w:sz w:val="18"/>
                <w:szCs w:val="18"/>
                <w:lang w:eastAsia="pt-BR"/>
              </w:rPr>
            </w:pPr>
            <w:r>
              <w:rPr>
                <w:rFonts w:ascii="Verdana" w:eastAsia="Times New Roman" w:hAnsi="Verdana" w:cs="Calibri"/>
                <w:sz w:val="18"/>
                <w:szCs w:val="18"/>
                <w:lang w:eastAsia="pt-BR"/>
              </w:rPr>
              <w:t>89</w:t>
            </w:r>
            <w:r w:rsidR="00F23ABE" w:rsidRPr="00F7132F">
              <w:rPr>
                <w:rFonts w:ascii="Verdana" w:eastAsia="Times New Roman" w:hAnsi="Verdana" w:cs="Calibri"/>
                <w:sz w:val="18"/>
                <w:szCs w:val="18"/>
                <w:lang w:eastAsia="pt-BR"/>
              </w:rPr>
              <w:t xml:space="preserve"> </w:t>
            </w:r>
          </w:p>
        </w:tc>
        <w:tc>
          <w:tcPr>
            <w:tcW w:w="224" w:type="dxa"/>
            <w:tcBorders>
              <w:top w:val="nil"/>
              <w:left w:val="nil"/>
              <w:bottom w:val="nil"/>
              <w:right w:val="nil"/>
            </w:tcBorders>
            <w:shd w:val="clear" w:color="auto" w:fill="auto"/>
            <w:noWrap/>
            <w:vAlign w:val="center"/>
            <w:hideMark/>
          </w:tcPr>
          <w:p w14:paraId="56BD3355" w14:textId="77777777" w:rsidR="00F23ABE" w:rsidRPr="00F7132F" w:rsidRDefault="00F23ABE"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29" w:type="dxa"/>
            <w:tcBorders>
              <w:top w:val="nil"/>
              <w:left w:val="nil"/>
              <w:bottom w:val="nil"/>
              <w:right w:val="nil"/>
            </w:tcBorders>
            <w:shd w:val="clear" w:color="auto" w:fill="auto"/>
            <w:noWrap/>
            <w:vAlign w:val="center"/>
            <w:hideMark/>
          </w:tcPr>
          <w:p w14:paraId="33673685" w14:textId="543828D3" w:rsidR="00F23ABE" w:rsidRPr="00F7132F" w:rsidRDefault="00F23ABE" w:rsidP="00F23AB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w:t>
            </w:r>
            <w:r w:rsidR="00863A04">
              <w:rPr>
                <w:rFonts w:ascii="Verdana" w:eastAsia="Times New Roman" w:hAnsi="Verdana" w:cs="Calibri"/>
                <w:sz w:val="18"/>
                <w:szCs w:val="18"/>
                <w:lang w:eastAsia="pt-BR"/>
              </w:rPr>
              <w:t>89</w:t>
            </w:r>
            <w:r w:rsidR="00863A04" w:rsidRPr="00F7132F">
              <w:rPr>
                <w:rFonts w:ascii="Verdana" w:eastAsia="Times New Roman" w:hAnsi="Verdana" w:cs="Calibri"/>
                <w:sz w:val="18"/>
                <w:szCs w:val="18"/>
                <w:lang w:eastAsia="pt-BR"/>
              </w:rPr>
              <w:t xml:space="preserve"> </w:t>
            </w:r>
          </w:p>
        </w:tc>
      </w:tr>
      <w:tr w:rsidR="00863A04" w:rsidRPr="00116729" w14:paraId="6360DA33" w14:textId="77777777" w:rsidTr="00F7132F">
        <w:trPr>
          <w:trHeight w:val="22"/>
        </w:trPr>
        <w:tc>
          <w:tcPr>
            <w:tcW w:w="5201" w:type="dxa"/>
            <w:tcBorders>
              <w:top w:val="nil"/>
              <w:left w:val="nil"/>
              <w:bottom w:val="nil"/>
              <w:right w:val="nil"/>
            </w:tcBorders>
            <w:shd w:val="clear" w:color="auto" w:fill="auto"/>
            <w:noWrap/>
            <w:vAlign w:val="center"/>
          </w:tcPr>
          <w:p w14:paraId="1BFDED81" w14:textId="237FAE9A" w:rsidR="00863A04" w:rsidRPr="00F7132F" w:rsidDel="00863A04" w:rsidRDefault="00863A04" w:rsidP="00F23ABE">
            <w:pPr>
              <w:spacing w:after="0" w:line="240" w:lineRule="auto"/>
              <w:rPr>
                <w:rFonts w:ascii="Verdana" w:eastAsia="Times New Roman" w:hAnsi="Verdana" w:cs="Calibri"/>
                <w:sz w:val="18"/>
                <w:szCs w:val="18"/>
                <w:lang w:eastAsia="pt-BR"/>
              </w:rPr>
            </w:pPr>
            <w:r>
              <w:rPr>
                <w:rFonts w:ascii="Verdana" w:eastAsia="Times New Roman" w:hAnsi="Verdana" w:cs="Calibri"/>
                <w:sz w:val="18"/>
                <w:szCs w:val="18"/>
                <w:lang w:eastAsia="pt-BR"/>
              </w:rPr>
              <w:t>Outros</w:t>
            </w:r>
          </w:p>
        </w:tc>
        <w:tc>
          <w:tcPr>
            <w:tcW w:w="224" w:type="dxa"/>
            <w:tcBorders>
              <w:top w:val="nil"/>
              <w:left w:val="nil"/>
              <w:bottom w:val="nil"/>
              <w:right w:val="nil"/>
            </w:tcBorders>
            <w:shd w:val="clear" w:color="auto" w:fill="auto"/>
            <w:noWrap/>
            <w:vAlign w:val="center"/>
          </w:tcPr>
          <w:p w14:paraId="778D4108" w14:textId="77777777" w:rsidR="00863A04" w:rsidRPr="00F7132F" w:rsidRDefault="00863A04" w:rsidP="00F23ABE">
            <w:pPr>
              <w:spacing w:after="0" w:line="240" w:lineRule="auto"/>
              <w:rPr>
                <w:rFonts w:ascii="Verdana" w:eastAsia="Times New Roman" w:hAnsi="Verdana" w:cs="Calibri"/>
                <w:sz w:val="18"/>
                <w:szCs w:val="18"/>
                <w:lang w:eastAsia="pt-BR"/>
              </w:rPr>
            </w:pPr>
          </w:p>
        </w:tc>
        <w:tc>
          <w:tcPr>
            <w:tcW w:w="1829" w:type="dxa"/>
            <w:tcBorders>
              <w:top w:val="nil"/>
              <w:left w:val="nil"/>
              <w:bottom w:val="nil"/>
              <w:right w:val="nil"/>
            </w:tcBorders>
            <w:shd w:val="clear" w:color="auto" w:fill="auto"/>
            <w:noWrap/>
            <w:vAlign w:val="center"/>
          </w:tcPr>
          <w:p w14:paraId="0104C194" w14:textId="6204CBFC" w:rsidR="00863A04" w:rsidRPr="00F7132F" w:rsidRDefault="00863A04" w:rsidP="00F23ABE">
            <w:pPr>
              <w:spacing w:after="0" w:line="240" w:lineRule="auto"/>
              <w:jc w:val="right"/>
              <w:rPr>
                <w:rFonts w:ascii="Verdana" w:eastAsia="Times New Roman" w:hAnsi="Verdana" w:cs="Calibri"/>
                <w:sz w:val="18"/>
                <w:szCs w:val="18"/>
                <w:lang w:eastAsia="pt-BR"/>
              </w:rPr>
            </w:pPr>
            <w:r>
              <w:rPr>
                <w:rFonts w:ascii="Verdana" w:eastAsia="Times New Roman" w:hAnsi="Verdana" w:cs="Calibri"/>
                <w:sz w:val="18"/>
                <w:szCs w:val="18"/>
                <w:lang w:eastAsia="pt-BR"/>
              </w:rPr>
              <w:t>-</w:t>
            </w:r>
          </w:p>
        </w:tc>
        <w:tc>
          <w:tcPr>
            <w:tcW w:w="224" w:type="dxa"/>
            <w:tcBorders>
              <w:top w:val="nil"/>
              <w:left w:val="nil"/>
              <w:bottom w:val="nil"/>
              <w:right w:val="nil"/>
            </w:tcBorders>
            <w:shd w:val="clear" w:color="auto" w:fill="auto"/>
            <w:noWrap/>
            <w:vAlign w:val="center"/>
          </w:tcPr>
          <w:p w14:paraId="2E82ED02" w14:textId="77777777" w:rsidR="00863A04" w:rsidRPr="00F7132F" w:rsidRDefault="00863A04" w:rsidP="00F23ABE">
            <w:pPr>
              <w:spacing w:after="0" w:line="240" w:lineRule="auto"/>
              <w:rPr>
                <w:rFonts w:ascii="Verdana" w:eastAsia="Times New Roman" w:hAnsi="Verdana" w:cs="Calibri"/>
                <w:sz w:val="18"/>
                <w:szCs w:val="18"/>
                <w:lang w:eastAsia="pt-BR"/>
              </w:rPr>
            </w:pPr>
          </w:p>
        </w:tc>
        <w:tc>
          <w:tcPr>
            <w:tcW w:w="1829" w:type="dxa"/>
            <w:tcBorders>
              <w:top w:val="nil"/>
              <w:left w:val="nil"/>
              <w:bottom w:val="nil"/>
              <w:right w:val="nil"/>
            </w:tcBorders>
            <w:shd w:val="clear" w:color="auto" w:fill="auto"/>
            <w:noWrap/>
            <w:vAlign w:val="center"/>
          </w:tcPr>
          <w:p w14:paraId="6FCB3FF0" w14:textId="0BA42923" w:rsidR="00863A04" w:rsidRPr="00F7132F" w:rsidRDefault="00863A04" w:rsidP="00F23ABE">
            <w:pPr>
              <w:spacing w:after="0" w:line="240" w:lineRule="auto"/>
              <w:jc w:val="right"/>
              <w:rPr>
                <w:rFonts w:ascii="Verdana" w:eastAsia="Times New Roman" w:hAnsi="Verdana" w:cs="Calibri"/>
                <w:sz w:val="18"/>
                <w:szCs w:val="18"/>
                <w:lang w:eastAsia="pt-BR"/>
              </w:rPr>
            </w:pPr>
            <w:r>
              <w:rPr>
                <w:rFonts w:ascii="Verdana" w:eastAsia="Times New Roman" w:hAnsi="Verdana" w:cs="Calibri"/>
                <w:sz w:val="18"/>
                <w:szCs w:val="18"/>
                <w:lang w:eastAsia="pt-BR"/>
              </w:rPr>
              <w:t>763</w:t>
            </w:r>
          </w:p>
        </w:tc>
      </w:tr>
      <w:tr w:rsidR="00F23ABE" w:rsidRPr="00116729" w14:paraId="44D8DAEB" w14:textId="77777777" w:rsidTr="00F23ABE">
        <w:trPr>
          <w:trHeight w:val="22"/>
        </w:trPr>
        <w:tc>
          <w:tcPr>
            <w:tcW w:w="5201" w:type="dxa"/>
            <w:tcBorders>
              <w:top w:val="nil"/>
              <w:left w:val="nil"/>
              <w:bottom w:val="nil"/>
              <w:right w:val="nil"/>
            </w:tcBorders>
            <w:shd w:val="clear" w:color="auto" w:fill="auto"/>
            <w:noWrap/>
            <w:vAlign w:val="center"/>
            <w:hideMark/>
          </w:tcPr>
          <w:p w14:paraId="2C0EA427" w14:textId="77777777" w:rsidR="00F23ABE" w:rsidRPr="00F7132F" w:rsidRDefault="00F23ABE" w:rsidP="00F23ABE">
            <w:pPr>
              <w:spacing w:after="0" w:line="240" w:lineRule="auto"/>
              <w:jc w:val="right"/>
              <w:rPr>
                <w:rFonts w:ascii="Verdana" w:eastAsia="Times New Roman" w:hAnsi="Verdana" w:cs="Calibri"/>
                <w:sz w:val="18"/>
                <w:szCs w:val="18"/>
                <w:lang w:eastAsia="pt-BR"/>
              </w:rPr>
            </w:pPr>
          </w:p>
        </w:tc>
        <w:tc>
          <w:tcPr>
            <w:tcW w:w="224" w:type="dxa"/>
            <w:tcBorders>
              <w:top w:val="nil"/>
              <w:left w:val="nil"/>
              <w:bottom w:val="nil"/>
              <w:right w:val="nil"/>
            </w:tcBorders>
            <w:shd w:val="clear" w:color="auto" w:fill="auto"/>
            <w:noWrap/>
            <w:vAlign w:val="center"/>
            <w:hideMark/>
          </w:tcPr>
          <w:p w14:paraId="48BC434F" w14:textId="77777777" w:rsidR="00F23ABE" w:rsidRPr="00116729" w:rsidRDefault="00F23ABE" w:rsidP="00F23ABE">
            <w:pPr>
              <w:spacing w:after="0" w:line="240" w:lineRule="auto"/>
              <w:rPr>
                <w:rFonts w:ascii="Times New Roman" w:eastAsia="Times New Roman" w:hAnsi="Times New Roman" w:cs="Times New Roman"/>
                <w:sz w:val="20"/>
                <w:szCs w:val="20"/>
                <w:lang w:eastAsia="pt-BR"/>
              </w:rPr>
            </w:pPr>
          </w:p>
        </w:tc>
        <w:tc>
          <w:tcPr>
            <w:tcW w:w="1829" w:type="dxa"/>
            <w:tcBorders>
              <w:top w:val="single" w:sz="4" w:space="0" w:color="auto"/>
              <w:left w:val="nil"/>
              <w:bottom w:val="double" w:sz="6" w:space="0" w:color="auto"/>
              <w:right w:val="nil"/>
            </w:tcBorders>
            <w:shd w:val="clear" w:color="auto" w:fill="auto"/>
            <w:noWrap/>
            <w:vAlign w:val="center"/>
            <w:hideMark/>
          </w:tcPr>
          <w:p w14:paraId="796F110D" w14:textId="09830B23" w:rsidR="00F23ABE" w:rsidRPr="00F7132F" w:rsidRDefault="00863A04" w:rsidP="00F23ABE">
            <w:pPr>
              <w:spacing w:after="0" w:line="240" w:lineRule="auto"/>
              <w:jc w:val="right"/>
              <w:rPr>
                <w:rFonts w:ascii="Verdana" w:eastAsia="Times New Roman" w:hAnsi="Verdana" w:cs="Calibri"/>
                <w:b/>
                <w:bCs/>
                <w:sz w:val="18"/>
                <w:szCs w:val="18"/>
                <w:lang w:eastAsia="pt-BR"/>
              </w:rPr>
            </w:pPr>
            <w:r>
              <w:rPr>
                <w:rFonts w:ascii="Verdana" w:eastAsia="Times New Roman" w:hAnsi="Verdana" w:cs="Calibri"/>
                <w:b/>
                <w:bCs/>
                <w:sz w:val="18"/>
                <w:szCs w:val="18"/>
                <w:lang w:eastAsia="pt-BR"/>
              </w:rPr>
              <w:t>479</w:t>
            </w:r>
            <w:r w:rsidR="00F23ABE" w:rsidRPr="00F7132F">
              <w:rPr>
                <w:rFonts w:ascii="Verdana" w:eastAsia="Times New Roman" w:hAnsi="Verdana" w:cs="Calibri"/>
                <w:b/>
                <w:bCs/>
                <w:sz w:val="18"/>
                <w:szCs w:val="18"/>
                <w:lang w:eastAsia="pt-BR"/>
              </w:rPr>
              <w:t xml:space="preserve"> </w:t>
            </w:r>
          </w:p>
        </w:tc>
        <w:tc>
          <w:tcPr>
            <w:tcW w:w="224" w:type="dxa"/>
            <w:tcBorders>
              <w:top w:val="nil"/>
              <w:left w:val="nil"/>
              <w:bottom w:val="nil"/>
              <w:right w:val="nil"/>
            </w:tcBorders>
            <w:shd w:val="clear" w:color="auto" w:fill="auto"/>
            <w:noWrap/>
            <w:vAlign w:val="center"/>
            <w:hideMark/>
          </w:tcPr>
          <w:p w14:paraId="34EE1A62" w14:textId="77777777" w:rsidR="00F23ABE" w:rsidRPr="00F7132F" w:rsidRDefault="00F23ABE" w:rsidP="00F23ABE">
            <w:pPr>
              <w:spacing w:after="0" w:line="240" w:lineRule="auto"/>
              <w:jc w:val="right"/>
              <w:rPr>
                <w:rFonts w:ascii="Verdana" w:eastAsia="Times New Roman" w:hAnsi="Verdana" w:cs="Calibri"/>
                <w:b/>
                <w:bCs/>
                <w:sz w:val="18"/>
                <w:szCs w:val="18"/>
                <w:lang w:eastAsia="pt-BR"/>
              </w:rPr>
            </w:pPr>
          </w:p>
        </w:tc>
        <w:tc>
          <w:tcPr>
            <w:tcW w:w="1829" w:type="dxa"/>
            <w:tcBorders>
              <w:top w:val="single" w:sz="4" w:space="0" w:color="auto"/>
              <w:left w:val="nil"/>
              <w:bottom w:val="double" w:sz="6" w:space="0" w:color="auto"/>
              <w:right w:val="nil"/>
            </w:tcBorders>
            <w:shd w:val="clear" w:color="auto" w:fill="auto"/>
            <w:noWrap/>
            <w:vAlign w:val="center"/>
            <w:hideMark/>
          </w:tcPr>
          <w:p w14:paraId="2D76E26A" w14:textId="034EE116" w:rsidR="00F23ABE" w:rsidRPr="00F7132F" w:rsidRDefault="00863A04" w:rsidP="00F23ABE">
            <w:pPr>
              <w:spacing w:after="0" w:line="240" w:lineRule="auto"/>
              <w:jc w:val="right"/>
              <w:rPr>
                <w:rFonts w:ascii="Verdana" w:eastAsia="Times New Roman" w:hAnsi="Verdana" w:cs="Calibri"/>
                <w:b/>
                <w:bCs/>
                <w:sz w:val="18"/>
                <w:szCs w:val="18"/>
                <w:lang w:eastAsia="pt-BR"/>
              </w:rPr>
            </w:pPr>
            <w:r>
              <w:rPr>
                <w:rFonts w:ascii="Verdana" w:eastAsia="Times New Roman" w:hAnsi="Verdana" w:cs="Calibri"/>
                <w:b/>
                <w:bCs/>
                <w:sz w:val="18"/>
                <w:szCs w:val="18"/>
                <w:lang w:eastAsia="pt-BR"/>
              </w:rPr>
              <w:t>100.070</w:t>
            </w:r>
            <w:r w:rsidR="00F23ABE" w:rsidRPr="00F7132F">
              <w:rPr>
                <w:rFonts w:ascii="Verdana" w:eastAsia="Times New Roman" w:hAnsi="Verdana" w:cs="Calibri"/>
                <w:b/>
                <w:bCs/>
                <w:sz w:val="18"/>
                <w:szCs w:val="18"/>
                <w:lang w:eastAsia="pt-BR"/>
              </w:rPr>
              <w:t xml:space="preserve"> </w:t>
            </w:r>
          </w:p>
        </w:tc>
      </w:tr>
    </w:tbl>
    <w:p w14:paraId="4E533E1D" w14:textId="77777777" w:rsidR="008B6200" w:rsidRPr="00DE1EA6" w:rsidRDefault="008B6200" w:rsidP="00CB3C02">
      <w:pPr>
        <w:rPr>
          <w:rFonts w:ascii="Verdana" w:hAnsi="Verdana" w:cstheme="minorHAnsi"/>
          <w:noProof/>
          <w:sz w:val="10"/>
          <w:szCs w:val="10"/>
          <w:lang w:eastAsia="pt-BR"/>
        </w:rPr>
      </w:pPr>
    </w:p>
    <w:p w14:paraId="6A82C915" w14:textId="77777777" w:rsidR="00C40278" w:rsidRDefault="00C40278">
      <w:pPr>
        <w:rPr>
          <w:rFonts w:ascii="Verdana" w:hAnsi="Verdana" w:cstheme="minorHAnsi"/>
          <w:b/>
        </w:rPr>
      </w:pPr>
      <w:r>
        <w:rPr>
          <w:rFonts w:ascii="Verdana" w:hAnsi="Verdana" w:cstheme="minorHAnsi"/>
          <w:b/>
        </w:rPr>
        <w:br w:type="page"/>
      </w:r>
    </w:p>
    <w:p w14:paraId="36690FB5" w14:textId="77777777" w:rsidR="009B5AFB" w:rsidRPr="00F7132F" w:rsidRDefault="00581D1F" w:rsidP="00720E7B">
      <w:pPr>
        <w:tabs>
          <w:tab w:val="left" w:pos="567"/>
          <w:tab w:val="left" w:pos="1134"/>
          <w:tab w:val="left" w:pos="1701"/>
          <w:tab w:val="left" w:pos="2268"/>
          <w:tab w:val="left" w:pos="2835"/>
        </w:tabs>
        <w:jc w:val="both"/>
        <w:outlineLvl w:val="0"/>
        <w:rPr>
          <w:rFonts w:ascii="Verdana" w:hAnsi="Verdana" w:cstheme="minorHAnsi"/>
          <w:b/>
        </w:rPr>
      </w:pPr>
      <w:r>
        <w:rPr>
          <w:rFonts w:ascii="Verdana" w:hAnsi="Verdana" w:cstheme="minorHAnsi"/>
          <w:b/>
        </w:rPr>
        <w:lastRenderedPageBreak/>
        <w:t>18</w:t>
      </w:r>
      <w:r w:rsidR="00F4139F" w:rsidRPr="00F7132F">
        <w:rPr>
          <w:rFonts w:ascii="Verdana" w:hAnsi="Verdana" w:cstheme="minorHAnsi"/>
          <w:b/>
        </w:rPr>
        <w:t xml:space="preserve"> </w:t>
      </w:r>
      <w:r w:rsidR="009B5AFB" w:rsidRPr="00F7132F">
        <w:rPr>
          <w:rFonts w:ascii="Verdana" w:hAnsi="Verdana" w:cstheme="minorHAnsi"/>
          <w:b/>
        </w:rPr>
        <w:t>– CONTAS A PAGAR POR AQUISIÇÃO DE INVESTIMENTOS</w:t>
      </w:r>
    </w:p>
    <w:p w14:paraId="778C6DDD" w14:textId="77777777" w:rsidR="009B5AFB" w:rsidRPr="00F7132F" w:rsidRDefault="009B5AFB" w:rsidP="009B5AFB">
      <w:pPr>
        <w:widowControl w:val="0"/>
        <w:ind w:right="17"/>
        <w:jc w:val="both"/>
        <w:rPr>
          <w:rFonts w:ascii="Verdana" w:hAnsi="Verdana" w:cstheme="minorHAnsi"/>
        </w:rPr>
      </w:pPr>
      <w:r w:rsidRPr="00F7132F">
        <w:rPr>
          <w:rFonts w:ascii="Verdana" w:hAnsi="Verdana" w:cstheme="minorHAnsi"/>
        </w:rPr>
        <w:t xml:space="preserve">O saldo de contas a pagar por aquisição de investimento refere-se ao </w:t>
      </w:r>
      <w:r w:rsidRPr="00116729">
        <w:rPr>
          <w:rFonts w:ascii="Verdana" w:hAnsi="Verdana" w:cstheme="minorHAnsi"/>
        </w:rPr>
        <w:t xml:space="preserve">Contrato de Transferência de Participação Societária de Itaipu que a Eletrobras transferiu a totalidade de sua participação societária no capital social da Itaipu para a </w:t>
      </w:r>
      <w:proofErr w:type="spellStart"/>
      <w:r w:rsidRPr="00116729">
        <w:rPr>
          <w:rFonts w:ascii="Verdana" w:hAnsi="Verdana" w:cstheme="minorHAnsi"/>
        </w:rPr>
        <w:t>ENBPar</w:t>
      </w:r>
      <w:proofErr w:type="spellEnd"/>
      <w:r w:rsidRPr="00116729">
        <w:rPr>
          <w:rFonts w:ascii="Verdana" w:hAnsi="Verdana" w:cstheme="minorHAnsi"/>
        </w:rPr>
        <w:t xml:space="preserve">. Esse valor será pago em 240 parcelas mensais, sendo a primeira com vencimento em </w:t>
      </w:r>
      <w:r w:rsidR="00DB2D0B" w:rsidRPr="00116729">
        <w:rPr>
          <w:rFonts w:ascii="Verdana" w:hAnsi="Verdana" w:cstheme="minorHAnsi"/>
        </w:rPr>
        <w:t>17 de julho de 2022.</w:t>
      </w:r>
    </w:p>
    <w:p w14:paraId="615FB2B1" w14:textId="77777777" w:rsidR="00116729" w:rsidRPr="00116729" w:rsidRDefault="009B5AFB" w:rsidP="00F7132F">
      <w:pPr>
        <w:autoSpaceDE w:val="0"/>
        <w:autoSpaceDN w:val="0"/>
        <w:adjustRightInd w:val="0"/>
        <w:spacing w:line="240" w:lineRule="auto"/>
        <w:jc w:val="both"/>
        <w:rPr>
          <w:rFonts w:ascii="Verdana" w:hAnsi="Verdana" w:cstheme="minorHAnsi"/>
          <w:noProof/>
          <w:lang w:eastAsia="pt-BR"/>
        </w:rPr>
      </w:pPr>
      <w:r w:rsidRPr="00F7132F">
        <w:rPr>
          <w:rFonts w:ascii="Verdana" w:hAnsi="Verdana" w:cstheme="minorHAnsi"/>
        </w:rPr>
        <w:t>A posição do saldo em 30 de junho de 2022 é como se segue:</w:t>
      </w:r>
    </w:p>
    <w:tbl>
      <w:tblPr>
        <w:tblW w:w="9221" w:type="dxa"/>
        <w:tblCellMar>
          <w:left w:w="70" w:type="dxa"/>
          <w:right w:w="70" w:type="dxa"/>
        </w:tblCellMar>
        <w:tblLook w:val="04A0" w:firstRow="1" w:lastRow="0" w:firstColumn="1" w:lastColumn="0" w:noHBand="0" w:noVBand="1"/>
      </w:tblPr>
      <w:tblGrid>
        <w:gridCol w:w="5153"/>
        <w:gridCol w:w="222"/>
        <w:gridCol w:w="1812"/>
        <w:gridCol w:w="222"/>
        <w:gridCol w:w="1812"/>
      </w:tblGrid>
      <w:tr w:rsidR="00116729" w:rsidRPr="00116729" w14:paraId="6668BC79" w14:textId="77777777" w:rsidTr="00116729">
        <w:trPr>
          <w:trHeight w:val="20"/>
        </w:trPr>
        <w:tc>
          <w:tcPr>
            <w:tcW w:w="5153" w:type="dxa"/>
            <w:tcBorders>
              <w:top w:val="nil"/>
              <w:left w:val="nil"/>
              <w:bottom w:val="nil"/>
              <w:right w:val="nil"/>
            </w:tcBorders>
            <w:shd w:val="clear" w:color="auto" w:fill="auto"/>
            <w:noWrap/>
            <w:vAlign w:val="bottom"/>
            <w:hideMark/>
          </w:tcPr>
          <w:p w14:paraId="2F57106F" w14:textId="77777777" w:rsidR="00116729" w:rsidRPr="00116729" w:rsidRDefault="00116729" w:rsidP="00116729">
            <w:pPr>
              <w:spacing w:after="0" w:line="240" w:lineRule="auto"/>
              <w:rPr>
                <w:rFonts w:ascii="Times New Roman" w:eastAsia="Times New Roman" w:hAnsi="Times New Roman" w:cs="Times New Roman"/>
                <w:sz w:val="24"/>
                <w:szCs w:val="24"/>
                <w:lang w:eastAsia="pt-BR"/>
              </w:rPr>
            </w:pPr>
          </w:p>
        </w:tc>
        <w:tc>
          <w:tcPr>
            <w:tcW w:w="222" w:type="dxa"/>
            <w:tcBorders>
              <w:top w:val="nil"/>
              <w:left w:val="nil"/>
              <w:bottom w:val="nil"/>
              <w:right w:val="nil"/>
            </w:tcBorders>
            <w:shd w:val="clear" w:color="auto" w:fill="auto"/>
            <w:noWrap/>
            <w:vAlign w:val="bottom"/>
            <w:hideMark/>
          </w:tcPr>
          <w:p w14:paraId="3A1E4DE3" w14:textId="77777777" w:rsidR="00116729" w:rsidRPr="00116729" w:rsidRDefault="00116729" w:rsidP="00116729">
            <w:pPr>
              <w:spacing w:after="0" w:line="240" w:lineRule="auto"/>
              <w:rPr>
                <w:rFonts w:ascii="Times New Roman" w:eastAsia="Times New Roman" w:hAnsi="Times New Roman" w:cs="Times New Roman"/>
                <w:sz w:val="20"/>
                <w:szCs w:val="20"/>
                <w:lang w:eastAsia="pt-BR"/>
              </w:rPr>
            </w:pPr>
          </w:p>
        </w:tc>
        <w:tc>
          <w:tcPr>
            <w:tcW w:w="1812" w:type="dxa"/>
            <w:tcBorders>
              <w:top w:val="nil"/>
              <w:left w:val="nil"/>
              <w:bottom w:val="single" w:sz="4" w:space="0" w:color="auto"/>
              <w:right w:val="nil"/>
            </w:tcBorders>
            <w:shd w:val="clear" w:color="auto" w:fill="auto"/>
            <w:noWrap/>
            <w:vAlign w:val="bottom"/>
            <w:hideMark/>
          </w:tcPr>
          <w:p w14:paraId="379ED5F5" w14:textId="77777777" w:rsidR="00116729" w:rsidRPr="00F7132F" w:rsidRDefault="00116729" w:rsidP="0011672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Controladora</w:t>
            </w:r>
          </w:p>
        </w:tc>
        <w:tc>
          <w:tcPr>
            <w:tcW w:w="222" w:type="dxa"/>
            <w:tcBorders>
              <w:top w:val="nil"/>
              <w:left w:val="nil"/>
              <w:bottom w:val="nil"/>
              <w:right w:val="nil"/>
            </w:tcBorders>
            <w:shd w:val="clear" w:color="auto" w:fill="auto"/>
            <w:noWrap/>
            <w:vAlign w:val="bottom"/>
            <w:hideMark/>
          </w:tcPr>
          <w:p w14:paraId="6382DF55" w14:textId="77777777" w:rsidR="00116729" w:rsidRPr="00F7132F" w:rsidRDefault="00116729" w:rsidP="00116729">
            <w:pPr>
              <w:spacing w:after="0" w:line="240" w:lineRule="auto"/>
              <w:jc w:val="center"/>
              <w:rPr>
                <w:rFonts w:ascii="Verdana" w:eastAsia="Times New Roman" w:hAnsi="Verdana" w:cs="Calibri"/>
                <w:b/>
                <w:bCs/>
                <w:sz w:val="18"/>
                <w:szCs w:val="18"/>
                <w:lang w:eastAsia="pt-BR"/>
              </w:rPr>
            </w:pPr>
          </w:p>
        </w:tc>
        <w:tc>
          <w:tcPr>
            <w:tcW w:w="1812" w:type="dxa"/>
            <w:tcBorders>
              <w:top w:val="nil"/>
              <w:left w:val="nil"/>
              <w:bottom w:val="single" w:sz="4" w:space="0" w:color="auto"/>
              <w:right w:val="nil"/>
            </w:tcBorders>
            <w:shd w:val="clear" w:color="auto" w:fill="auto"/>
            <w:noWrap/>
            <w:vAlign w:val="bottom"/>
            <w:hideMark/>
          </w:tcPr>
          <w:p w14:paraId="2EBEBD16" w14:textId="77777777" w:rsidR="00116729" w:rsidRPr="00F7132F" w:rsidRDefault="00116729" w:rsidP="0011672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Consolidado</w:t>
            </w:r>
          </w:p>
        </w:tc>
      </w:tr>
      <w:tr w:rsidR="00116729" w:rsidRPr="00116729" w14:paraId="39E96534" w14:textId="77777777" w:rsidTr="00116729">
        <w:trPr>
          <w:trHeight w:val="20"/>
        </w:trPr>
        <w:tc>
          <w:tcPr>
            <w:tcW w:w="5153" w:type="dxa"/>
            <w:tcBorders>
              <w:top w:val="nil"/>
              <w:left w:val="nil"/>
              <w:bottom w:val="nil"/>
              <w:right w:val="nil"/>
            </w:tcBorders>
            <w:shd w:val="clear" w:color="auto" w:fill="auto"/>
            <w:noWrap/>
            <w:vAlign w:val="center"/>
            <w:hideMark/>
          </w:tcPr>
          <w:p w14:paraId="5B1352BC" w14:textId="77777777" w:rsidR="00116729" w:rsidRPr="00F7132F" w:rsidRDefault="00116729" w:rsidP="00116729">
            <w:pPr>
              <w:spacing w:after="0" w:line="240" w:lineRule="auto"/>
              <w:jc w:val="center"/>
              <w:rPr>
                <w:rFonts w:ascii="Verdana" w:eastAsia="Times New Roman" w:hAnsi="Verdana" w:cs="Calibri"/>
                <w:b/>
                <w:bCs/>
                <w:sz w:val="18"/>
                <w:szCs w:val="18"/>
                <w:lang w:eastAsia="pt-BR"/>
              </w:rPr>
            </w:pPr>
          </w:p>
        </w:tc>
        <w:tc>
          <w:tcPr>
            <w:tcW w:w="222" w:type="dxa"/>
            <w:tcBorders>
              <w:top w:val="nil"/>
              <w:left w:val="nil"/>
              <w:bottom w:val="nil"/>
              <w:right w:val="nil"/>
            </w:tcBorders>
            <w:shd w:val="clear" w:color="auto" w:fill="auto"/>
            <w:noWrap/>
            <w:vAlign w:val="center"/>
            <w:hideMark/>
          </w:tcPr>
          <w:p w14:paraId="0F59DBE7" w14:textId="77777777" w:rsidR="00116729" w:rsidRPr="00116729" w:rsidRDefault="00116729" w:rsidP="00116729">
            <w:pPr>
              <w:spacing w:after="0" w:line="240" w:lineRule="auto"/>
              <w:rPr>
                <w:rFonts w:ascii="Times New Roman" w:eastAsia="Times New Roman" w:hAnsi="Times New Roman" w:cs="Times New Roman"/>
                <w:sz w:val="20"/>
                <w:szCs w:val="20"/>
                <w:lang w:eastAsia="pt-BR"/>
              </w:rPr>
            </w:pPr>
          </w:p>
        </w:tc>
        <w:tc>
          <w:tcPr>
            <w:tcW w:w="1812" w:type="dxa"/>
            <w:tcBorders>
              <w:top w:val="nil"/>
              <w:left w:val="nil"/>
              <w:bottom w:val="single" w:sz="4" w:space="0" w:color="auto"/>
              <w:right w:val="nil"/>
            </w:tcBorders>
            <w:shd w:val="clear" w:color="auto" w:fill="auto"/>
            <w:noWrap/>
            <w:vAlign w:val="center"/>
            <w:hideMark/>
          </w:tcPr>
          <w:p w14:paraId="0555EC16" w14:textId="77777777" w:rsidR="00116729" w:rsidRPr="00F7132F" w:rsidRDefault="00116729" w:rsidP="0011672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30/06/2022</w:t>
            </w:r>
          </w:p>
        </w:tc>
        <w:tc>
          <w:tcPr>
            <w:tcW w:w="222" w:type="dxa"/>
            <w:tcBorders>
              <w:top w:val="nil"/>
              <w:left w:val="nil"/>
              <w:bottom w:val="nil"/>
              <w:right w:val="nil"/>
            </w:tcBorders>
            <w:shd w:val="clear" w:color="auto" w:fill="auto"/>
            <w:noWrap/>
            <w:vAlign w:val="center"/>
            <w:hideMark/>
          </w:tcPr>
          <w:p w14:paraId="4C4EC030" w14:textId="77777777" w:rsidR="00116729" w:rsidRPr="00F7132F" w:rsidRDefault="00116729" w:rsidP="00116729">
            <w:pPr>
              <w:spacing w:after="0" w:line="240" w:lineRule="auto"/>
              <w:jc w:val="center"/>
              <w:rPr>
                <w:rFonts w:ascii="Verdana" w:eastAsia="Times New Roman" w:hAnsi="Verdana" w:cs="Calibri"/>
                <w:b/>
                <w:bCs/>
                <w:sz w:val="18"/>
                <w:szCs w:val="18"/>
                <w:lang w:eastAsia="pt-BR"/>
              </w:rPr>
            </w:pPr>
          </w:p>
        </w:tc>
        <w:tc>
          <w:tcPr>
            <w:tcW w:w="1812" w:type="dxa"/>
            <w:tcBorders>
              <w:top w:val="nil"/>
              <w:left w:val="nil"/>
              <w:bottom w:val="single" w:sz="4" w:space="0" w:color="auto"/>
              <w:right w:val="nil"/>
            </w:tcBorders>
            <w:shd w:val="clear" w:color="auto" w:fill="auto"/>
            <w:noWrap/>
            <w:vAlign w:val="center"/>
            <w:hideMark/>
          </w:tcPr>
          <w:p w14:paraId="042FD41F" w14:textId="77777777" w:rsidR="00116729" w:rsidRPr="00F7132F" w:rsidRDefault="00116729" w:rsidP="0011672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30/06/2022</w:t>
            </w:r>
          </w:p>
        </w:tc>
      </w:tr>
      <w:tr w:rsidR="00116729" w:rsidRPr="00116729" w14:paraId="0D507829" w14:textId="77777777" w:rsidTr="00116729">
        <w:trPr>
          <w:trHeight w:val="20"/>
        </w:trPr>
        <w:tc>
          <w:tcPr>
            <w:tcW w:w="5153" w:type="dxa"/>
            <w:tcBorders>
              <w:top w:val="nil"/>
              <w:left w:val="nil"/>
              <w:bottom w:val="nil"/>
              <w:right w:val="nil"/>
            </w:tcBorders>
            <w:shd w:val="clear" w:color="auto" w:fill="auto"/>
            <w:noWrap/>
            <w:vAlign w:val="center"/>
            <w:hideMark/>
          </w:tcPr>
          <w:p w14:paraId="49DC61B8" w14:textId="77777777" w:rsidR="00116729" w:rsidRPr="00F7132F" w:rsidRDefault="00116729" w:rsidP="00116729">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Passivo circulante</w:t>
            </w:r>
          </w:p>
        </w:tc>
        <w:tc>
          <w:tcPr>
            <w:tcW w:w="222" w:type="dxa"/>
            <w:tcBorders>
              <w:top w:val="nil"/>
              <w:left w:val="nil"/>
              <w:bottom w:val="nil"/>
              <w:right w:val="nil"/>
            </w:tcBorders>
            <w:shd w:val="clear" w:color="auto" w:fill="auto"/>
            <w:noWrap/>
            <w:vAlign w:val="center"/>
            <w:hideMark/>
          </w:tcPr>
          <w:p w14:paraId="269DA3EA" w14:textId="77777777" w:rsidR="00116729" w:rsidRPr="00F7132F" w:rsidRDefault="00116729" w:rsidP="00116729">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12" w:type="dxa"/>
            <w:tcBorders>
              <w:top w:val="nil"/>
              <w:left w:val="nil"/>
              <w:bottom w:val="nil"/>
              <w:right w:val="nil"/>
            </w:tcBorders>
            <w:shd w:val="clear" w:color="auto" w:fill="auto"/>
            <w:noWrap/>
            <w:vAlign w:val="center"/>
            <w:hideMark/>
          </w:tcPr>
          <w:p w14:paraId="08A61A35" w14:textId="77777777" w:rsidR="00116729" w:rsidRPr="00F7132F" w:rsidRDefault="00116729" w:rsidP="00116729">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22" w:type="dxa"/>
            <w:tcBorders>
              <w:top w:val="nil"/>
              <w:left w:val="nil"/>
              <w:bottom w:val="nil"/>
              <w:right w:val="nil"/>
            </w:tcBorders>
            <w:shd w:val="clear" w:color="auto" w:fill="auto"/>
            <w:noWrap/>
            <w:vAlign w:val="center"/>
            <w:hideMark/>
          </w:tcPr>
          <w:p w14:paraId="674820B1" w14:textId="77777777" w:rsidR="00116729" w:rsidRPr="00F7132F" w:rsidRDefault="00116729" w:rsidP="00116729">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12" w:type="dxa"/>
            <w:tcBorders>
              <w:top w:val="nil"/>
              <w:left w:val="nil"/>
              <w:bottom w:val="nil"/>
              <w:right w:val="nil"/>
            </w:tcBorders>
            <w:shd w:val="clear" w:color="auto" w:fill="auto"/>
            <w:noWrap/>
            <w:vAlign w:val="center"/>
            <w:hideMark/>
          </w:tcPr>
          <w:p w14:paraId="551B2467" w14:textId="77777777" w:rsidR="00116729" w:rsidRPr="00F7132F" w:rsidRDefault="00116729" w:rsidP="00116729">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r>
      <w:tr w:rsidR="00116729" w:rsidRPr="00116729" w14:paraId="69DAFAE1" w14:textId="77777777" w:rsidTr="00116729">
        <w:trPr>
          <w:trHeight w:val="20"/>
        </w:trPr>
        <w:tc>
          <w:tcPr>
            <w:tcW w:w="5153" w:type="dxa"/>
            <w:tcBorders>
              <w:top w:val="nil"/>
              <w:left w:val="nil"/>
              <w:bottom w:val="nil"/>
              <w:right w:val="nil"/>
            </w:tcBorders>
            <w:shd w:val="clear" w:color="auto" w:fill="auto"/>
            <w:noWrap/>
            <w:vAlign w:val="center"/>
            <w:hideMark/>
          </w:tcPr>
          <w:p w14:paraId="631E7038" w14:textId="77777777" w:rsidR="00116729" w:rsidRPr="00F7132F" w:rsidRDefault="00116729" w:rsidP="00116729">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Aquisição de investimento</w:t>
            </w:r>
          </w:p>
        </w:tc>
        <w:tc>
          <w:tcPr>
            <w:tcW w:w="222" w:type="dxa"/>
            <w:tcBorders>
              <w:top w:val="nil"/>
              <w:left w:val="nil"/>
              <w:bottom w:val="nil"/>
              <w:right w:val="nil"/>
            </w:tcBorders>
            <w:shd w:val="clear" w:color="auto" w:fill="auto"/>
            <w:noWrap/>
            <w:vAlign w:val="center"/>
            <w:hideMark/>
          </w:tcPr>
          <w:p w14:paraId="21C3FE72" w14:textId="77777777" w:rsidR="00116729" w:rsidRPr="00F7132F" w:rsidRDefault="00116729" w:rsidP="00116729">
            <w:pPr>
              <w:spacing w:after="0" w:line="240" w:lineRule="auto"/>
              <w:rPr>
                <w:rFonts w:ascii="Verdana" w:eastAsia="Times New Roman" w:hAnsi="Verdana" w:cs="Calibri"/>
                <w:sz w:val="18"/>
                <w:szCs w:val="18"/>
                <w:lang w:eastAsia="pt-BR"/>
              </w:rPr>
            </w:pPr>
          </w:p>
        </w:tc>
        <w:tc>
          <w:tcPr>
            <w:tcW w:w="1812" w:type="dxa"/>
            <w:tcBorders>
              <w:top w:val="nil"/>
              <w:left w:val="nil"/>
              <w:bottom w:val="nil"/>
              <w:right w:val="nil"/>
            </w:tcBorders>
            <w:shd w:val="clear" w:color="auto" w:fill="auto"/>
            <w:noWrap/>
            <w:vAlign w:val="center"/>
            <w:hideMark/>
          </w:tcPr>
          <w:p w14:paraId="770516AE" w14:textId="77777777" w:rsidR="00116729" w:rsidRPr="00F7132F" w:rsidRDefault="00116729" w:rsidP="00116729">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43.549 </w:t>
            </w:r>
          </w:p>
        </w:tc>
        <w:tc>
          <w:tcPr>
            <w:tcW w:w="222" w:type="dxa"/>
            <w:tcBorders>
              <w:top w:val="nil"/>
              <w:left w:val="nil"/>
              <w:bottom w:val="nil"/>
              <w:right w:val="nil"/>
            </w:tcBorders>
            <w:shd w:val="clear" w:color="auto" w:fill="auto"/>
            <w:noWrap/>
            <w:vAlign w:val="center"/>
            <w:hideMark/>
          </w:tcPr>
          <w:p w14:paraId="1944050E" w14:textId="77777777" w:rsidR="00116729" w:rsidRPr="00F7132F" w:rsidRDefault="00116729" w:rsidP="00116729">
            <w:pPr>
              <w:spacing w:after="0" w:line="240" w:lineRule="auto"/>
              <w:jc w:val="right"/>
              <w:rPr>
                <w:rFonts w:ascii="Verdana" w:eastAsia="Times New Roman" w:hAnsi="Verdana" w:cs="Calibri"/>
                <w:sz w:val="18"/>
                <w:szCs w:val="18"/>
                <w:lang w:eastAsia="pt-BR"/>
              </w:rPr>
            </w:pPr>
          </w:p>
        </w:tc>
        <w:tc>
          <w:tcPr>
            <w:tcW w:w="1812" w:type="dxa"/>
            <w:tcBorders>
              <w:top w:val="nil"/>
              <w:left w:val="nil"/>
              <w:bottom w:val="nil"/>
              <w:right w:val="nil"/>
            </w:tcBorders>
            <w:shd w:val="clear" w:color="auto" w:fill="auto"/>
            <w:noWrap/>
            <w:vAlign w:val="center"/>
            <w:hideMark/>
          </w:tcPr>
          <w:p w14:paraId="618296AB" w14:textId="77777777" w:rsidR="00116729" w:rsidRPr="00F7132F" w:rsidRDefault="00116729" w:rsidP="00116729">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43.549 </w:t>
            </w:r>
          </w:p>
        </w:tc>
      </w:tr>
      <w:tr w:rsidR="00116729" w:rsidRPr="00DE1EA6" w14:paraId="06A4654C" w14:textId="77777777" w:rsidTr="00116729">
        <w:trPr>
          <w:trHeight w:val="20"/>
        </w:trPr>
        <w:tc>
          <w:tcPr>
            <w:tcW w:w="5153" w:type="dxa"/>
            <w:tcBorders>
              <w:top w:val="nil"/>
              <w:left w:val="nil"/>
              <w:bottom w:val="nil"/>
              <w:right w:val="nil"/>
            </w:tcBorders>
            <w:shd w:val="clear" w:color="auto" w:fill="auto"/>
            <w:noWrap/>
            <w:vAlign w:val="center"/>
            <w:hideMark/>
          </w:tcPr>
          <w:p w14:paraId="10D78500" w14:textId="77777777" w:rsidR="00116729" w:rsidRPr="00DE1EA6" w:rsidRDefault="00116729" w:rsidP="00116729">
            <w:pPr>
              <w:spacing w:after="0" w:line="240" w:lineRule="auto"/>
              <w:rPr>
                <w:rFonts w:ascii="Verdana" w:eastAsia="Times New Roman" w:hAnsi="Verdana" w:cs="Calibri"/>
                <w:sz w:val="10"/>
                <w:szCs w:val="10"/>
                <w:lang w:eastAsia="pt-BR"/>
              </w:rPr>
            </w:pPr>
            <w:r w:rsidRPr="00DE1EA6">
              <w:rPr>
                <w:rFonts w:ascii="Verdana" w:eastAsia="Times New Roman" w:hAnsi="Verdana" w:cs="Calibri"/>
                <w:sz w:val="10"/>
                <w:szCs w:val="10"/>
                <w:lang w:eastAsia="pt-BR"/>
              </w:rPr>
              <w:t> </w:t>
            </w:r>
          </w:p>
        </w:tc>
        <w:tc>
          <w:tcPr>
            <w:tcW w:w="222" w:type="dxa"/>
            <w:tcBorders>
              <w:top w:val="nil"/>
              <w:left w:val="nil"/>
              <w:bottom w:val="nil"/>
              <w:right w:val="nil"/>
            </w:tcBorders>
            <w:shd w:val="clear" w:color="auto" w:fill="auto"/>
            <w:noWrap/>
            <w:vAlign w:val="center"/>
            <w:hideMark/>
          </w:tcPr>
          <w:p w14:paraId="3715FCC2" w14:textId="77777777" w:rsidR="00116729" w:rsidRPr="00DE1EA6" w:rsidRDefault="00116729" w:rsidP="00116729">
            <w:pPr>
              <w:spacing w:after="0" w:line="240" w:lineRule="auto"/>
              <w:rPr>
                <w:rFonts w:ascii="Verdana" w:eastAsia="Times New Roman" w:hAnsi="Verdana" w:cs="Calibri"/>
                <w:sz w:val="10"/>
                <w:szCs w:val="10"/>
                <w:lang w:eastAsia="pt-BR"/>
              </w:rPr>
            </w:pPr>
            <w:r w:rsidRPr="00DE1EA6">
              <w:rPr>
                <w:rFonts w:ascii="Verdana" w:eastAsia="Times New Roman" w:hAnsi="Verdana" w:cs="Calibri"/>
                <w:sz w:val="10"/>
                <w:szCs w:val="10"/>
                <w:lang w:eastAsia="pt-BR"/>
              </w:rPr>
              <w:t> </w:t>
            </w:r>
          </w:p>
        </w:tc>
        <w:tc>
          <w:tcPr>
            <w:tcW w:w="1812" w:type="dxa"/>
            <w:tcBorders>
              <w:top w:val="nil"/>
              <w:left w:val="nil"/>
              <w:bottom w:val="nil"/>
              <w:right w:val="nil"/>
            </w:tcBorders>
            <w:shd w:val="clear" w:color="auto" w:fill="auto"/>
            <w:noWrap/>
            <w:vAlign w:val="center"/>
            <w:hideMark/>
          </w:tcPr>
          <w:p w14:paraId="618E7B50" w14:textId="77777777" w:rsidR="00116729" w:rsidRPr="00DE1EA6" w:rsidRDefault="00116729" w:rsidP="00116729">
            <w:pPr>
              <w:spacing w:after="0" w:line="240" w:lineRule="auto"/>
              <w:jc w:val="right"/>
              <w:rPr>
                <w:rFonts w:ascii="Verdana" w:eastAsia="Times New Roman" w:hAnsi="Verdana" w:cs="Calibri"/>
                <w:sz w:val="10"/>
                <w:szCs w:val="10"/>
                <w:lang w:eastAsia="pt-BR"/>
              </w:rPr>
            </w:pPr>
            <w:r w:rsidRPr="00DE1EA6">
              <w:rPr>
                <w:rFonts w:ascii="Verdana" w:eastAsia="Times New Roman" w:hAnsi="Verdana" w:cs="Calibri"/>
                <w:sz w:val="10"/>
                <w:szCs w:val="10"/>
                <w:lang w:eastAsia="pt-BR"/>
              </w:rPr>
              <w:t> </w:t>
            </w:r>
          </w:p>
        </w:tc>
        <w:tc>
          <w:tcPr>
            <w:tcW w:w="222" w:type="dxa"/>
            <w:tcBorders>
              <w:top w:val="nil"/>
              <w:left w:val="nil"/>
              <w:bottom w:val="nil"/>
              <w:right w:val="nil"/>
            </w:tcBorders>
            <w:shd w:val="clear" w:color="auto" w:fill="auto"/>
            <w:noWrap/>
            <w:vAlign w:val="center"/>
            <w:hideMark/>
          </w:tcPr>
          <w:p w14:paraId="321D87ED" w14:textId="77777777" w:rsidR="00116729" w:rsidRPr="00DE1EA6" w:rsidRDefault="00116729" w:rsidP="00116729">
            <w:pPr>
              <w:spacing w:after="0" w:line="240" w:lineRule="auto"/>
              <w:rPr>
                <w:rFonts w:ascii="Verdana" w:eastAsia="Times New Roman" w:hAnsi="Verdana" w:cs="Calibri"/>
                <w:sz w:val="10"/>
                <w:szCs w:val="10"/>
                <w:lang w:eastAsia="pt-BR"/>
              </w:rPr>
            </w:pPr>
            <w:r w:rsidRPr="00DE1EA6">
              <w:rPr>
                <w:rFonts w:ascii="Verdana" w:eastAsia="Times New Roman" w:hAnsi="Verdana" w:cs="Calibri"/>
                <w:sz w:val="10"/>
                <w:szCs w:val="10"/>
                <w:lang w:eastAsia="pt-BR"/>
              </w:rPr>
              <w:t> </w:t>
            </w:r>
          </w:p>
        </w:tc>
        <w:tc>
          <w:tcPr>
            <w:tcW w:w="1812" w:type="dxa"/>
            <w:tcBorders>
              <w:top w:val="nil"/>
              <w:left w:val="nil"/>
              <w:bottom w:val="nil"/>
              <w:right w:val="nil"/>
            </w:tcBorders>
            <w:shd w:val="clear" w:color="auto" w:fill="auto"/>
            <w:noWrap/>
            <w:vAlign w:val="center"/>
            <w:hideMark/>
          </w:tcPr>
          <w:p w14:paraId="31F45D19" w14:textId="77777777" w:rsidR="00116729" w:rsidRPr="00DE1EA6" w:rsidRDefault="00116729" w:rsidP="00116729">
            <w:pPr>
              <w:spacing w:after="0" w:line="240" w:lineRule="auto"/>
              <w:jc w:val="right"/>
              <w:rPr>
                <w:rFonts w:ascii="Verdana" w:eastAsia="Times New Roman" w:hAnsi="Verdana" w:cs="Calibri"/>
                <w:sz w:val="10"/>
                <w:szCs w:val="10"/>
                <w:lang w:eastAsia="pt-BR"/>
              </w:rPr>
            </w:pPr>
            <w:r w:rsidRPr="00DE1EA6">
              <w:rPr>
                <w:rFonts w:ascii="Verdana" w:eastAsia="Times New Roman" w:hAnsi="Verdana" w:cs="Calibri"/>
                <w:sz w:val="10"/>
                <w:szCs w:val="10"/>
                <w:lang w:eastAsia="pt-BR"/>
              </w:rPr>
              <w:t> </w:t>
            </w:r>
          </w:p>
        </w:tc>
      </w:tr>
      <w:tr w:rsidR="00116729" w:rsidRPr="00116729" w14:paraId="68912989" w14:textId="77777777" w:rsidTr="00116729">
        <w:trPr>
          <w:trHeight w:val="20"/>
        </w:trPr>
        <w:tc>
          <w:tcPr>
            <w:tcW w:w="5153" w:type="dxa"/>
            <w:tcBorders>
              <w:top w:val="nil"/>
              <w:left w:val="nil"/>
              <w:bottom w:val="nil"/>
              <w:right w:val="nil"/>
            </w:tcBorders>
            <w:shd w:val="clear" w:color="auto" w:fill="auto"/>
            <w:noWrap/>
            <w:vAlign w:val="center"/>
            <w:hideMark/>
          </w:tcPr>
          <w:p w14:paraId="6BCEC696" w14:textId="77777777" w:rsidR="00116729" w:rsidRPr="00F7132F" w:rsidRDefault="00116729" w:rsidP="00116729">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Passivo não circulante</w:t>
            </w:r>
          </w:p>
        </w:tc>
        <w:tc>
          <w:tcPr>
            <w:tcW w:w="222" w:type="dxa"/>
            <w:tcBorders>
              <w:top w:val="nil"/>
              <w:left w:val="nil"/>
              <w:bottom w:val="nil"/>
              <w:right w:val="nil"/>
            </w:tcBorders>
            <w:shd w:val="clear" w:color="auto" w:fill="auto"/>
            <w:noWrap/>
            <w:vAlign w:val="center"/>
            <w:hideMark/>
          </w:tcPr>
          <w:p w14:paraId="76A5483F" w14:textId="77777777" w:rsidR="00116729" w:rsidRPr="00F7132F" w:rsidRDefault="00116729" w:rsidP="00116729">
            <w:pPr>
              <w:spacing w:after="0" w:line="240" w:lineRule="auto"/>
              <w:rPr>
                <w:rFonts w:ascii="Verdana" w:eastAsia="Times New Roman" w:hAnsi="Verdana" w:cs="Calibri"/>
                <w:b/>
                <w:bCs/>
                <w:sz w:val="18"/>
                <w:szCs w:val="18"/>
                <w:lang w:eastAsia="pt-BR"/>
              </w:rPr>
            </w:pPr>
          </w:p>
        </w:tc>
        <w:tc>
          <w:tcPr>
            <w:tcW w:w="1812" w:type="dxa"/>
            <w:tcBorders>
              <w:top w:val="nil"/>
              <w:left w:val="nil"/>
              <w:bottom w:val="nil"/>
              <w:right w:val="nil"/>
            </w:tcBorders>
            <w:shd w:val="clear" w:color="auto" w:fill="auto"/>
            <w:noWrap/>
            <w:vAlign w:val="center"/>
            <w:hideMark/>
          </w:tcPr>
          <w:p w14:paraId="3DD19E7C" w14:textId="77777777" w:rsidR="00116729" w:rsidRPr="00F7132F" w:rsidRDefault="00116729" w:rsidP="00116729">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1.274.011 </w:t>
            </w:r>
          </w:p>
        </w:tc>
        <w:tc>
          <w:tcPr>
            <w:tcW w:w="222" w:type="dxa"/>
            <w:tcBorders>
              <w:top w:val="nil"/>
              <w:left w:val="nil"/>
              <w:bottom w:val="nil"/>
              <w:right w:val="nil"/>
            </w:tcBorders>
            <w:shd w:val="clear" w:color="auto" w:fill="auto"/>
            <w:noWrap/>
            <w:vAlign w:val="center"/>
            <w:hideMark/>
          </w:tcPr>
          <w:p w14:paraId="2DB9CFCB" w14:textId="77777777" w:rsidR="00116729" w:rsidRPr="00F7132F" w:rsidRDefault="00116729" w:rsidP="00116729">
            <w:pPr>
              <w:spacing w:after="0" w:line="240" w:lineRule="auto"/>
              <w:jc w:val="right"/>
              <w:rPr>
                <w:rFonts w:ascii="Verdana" w:eastAsia="Times New Roman" w:hAnsi="Verdana" w:cs="Calibri"/>
                <w:sz w:val="18"/>
                <w:szCs w:val="18"/>
                <w:lang w:eastAsia="pt-BR"/>
              </w:rPr>
            </w:pPr>
          </w:p>
        </w:tc>
        <w:tc>
          <w:tcPr>
            <w:tcW w:w="1812" w:type="dxa"/>
            <w:tcBorders>
              <w:top w:val="nil"/>
              <w:left w:val="nil"/>
              <w:bottom w:val="nil"/>
              <w:right w:val="nil"/>
            </w:tcBorders>
            <w:shd w:val="clear" w:color="auto" w:fill="auto"/>
            <w:noWrap/>
            <w:vAlign w:val="center"/>
            <w:hideMark/>
          </w:tcPr>
          <w:p w14:paraId="4C6562EE" w14:textId="77777777" w:rsidR="00116729" w:rsidRPr="00F7132F" w:rsidRDefault="00116729" w:rsidP="00116729">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1.274.011 </w:t>
            </w:r>
          </w:p>
        </w:tc>
      </w:tr>
      <w:tr w:rsidR="00116729" w:rsidRPr="00116729" w14:paraId="02C724F0" w14:textId="77777777" w:rsidTr="00116729">
        <w:trPr>
          <w:trHeight w:val="20"/>
        </w:trPr>
        <w:tc>
          <w:tcPr>
            <w:tcW w:w="5153" w:type="dxa"/>
            <w:tcBorders>
              <w:top w:val="nil"/>
              <w:left w:val="nil"/>
              <w:bottom w:val="nil"/>
              <w:right w:val="nil"/>
            </w:tcBorders>
            <w:shd w:val="clear" w:color="auto" w:fill="auto"/>
            <w:noWrap/>
            <w:vAlign w:val="center"/>
            <w:hideMark/>
          </w:tcPr>
          <w:p w14:paraId="23F36E3F" w14:textId="77777777" w:rsidR="00116729" w:rsidRPr="00F7132F" w:rsidRDefault="00116729" w:rsidP="00116729">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Aquisição de investimento</w:t>
            </w:r>
          </w:p>
        </w:tc>
        <w:tc>
          <w:tcPr>
            <w:tcW w:w="222" w:type="dxa"/>
            <w:tcBorders>
              <w:top w:val="nil"/>
              <w:left w:val="nil"/>
              <w:bottom w:val="nil"/>
              <w:right w:val="nil"/>
            </w:tcBorders>
            <w:shd w:val="clear" w:color="auto" w:fill="auto"/>
            <w:noWrap/>
            <w:vAlign w:val="center"/>
            <w:hideMark/>
          </w:tcPr>
          <w:p w14:paraId="4CD93BEE" w14:textId="77777777" w:rsidR="00116729" w:rsidRPr="00F7132F" w:rsidRDefault="00116729" w:rsidP="00116729">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12" w:type="dxa"/>
            <w:tcBorders>
              <w:top w:val="single" w:sz="4" w:space="0" w:color="auto"/>
              <w:left w:val="nil"/>
              <w:bottom w:val="double" w:sz="6" w:space="0" w:color="auto"/>
              <w:right w:val="nil"/>
            </w:tcBorders>
            <w:shd w:val="clear" w:color="auto" w:fill="auto"/>
            <w:noWrap/>
            <w:vAlign w:val="center"/>
            <w:hideMark/>
          </w:tcPr>
          <w:p w14:paraId="44DCF985" w14:textId="77777777" w:rsidR="00116729" w:rsidRPr="00F7132F" w:rsidRDefault="00116729" w:rsidP="00116729">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xml:space="preserve">       1.317.560 </w:t>
            </w:r>
          </w:p>
        </w:tc>
        <w:tc>
          <w:tcPr>
            <w:tcW w:w="222" w:type="dxa"/>
            <w:tcBorders>
              <w:top w:val="nil"/>
              <w:left w:val="nil"/>
              <w:bottom w:val="nil"/>
              <w:right w:val="nil"/>
            </w:tcBorders>
            <w:shd w:val="clear" w:color="auto" w:fill="auto"/>
            <w:noWrap/>
            <w:vAlign w:val="center"/>
            <w:hideMark/>
          </w:tcPr>
          <w:p w14:paraId="6C5D37E8" w14:textId="77777777" w:rsidR="00116729" w:rsidRPr="00F7132F" w:rsidRDefault="00116729" w:rsidP="00116729">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12" w:type="dxa"/>
            <w:tcBorders>
              <w:top w:val="single" w:sz="4" w:space="0" w:color="auto"/>
              <w:left w:val="nil"/>
              <w:bottom w:val="double" w:sz="6" w:space="0" w:color="auto"/>
              <w:right w:val="nil"/>
            </w:tcBorders>
            <w:shd w:val="clear" w:color="auto" w:fill="auto"/>
            <w:noWrap/>
            <w:vAlign w:val="center"/>
            <w:hideMark/>
          </w:tcPr>
          <w:p w14:paraId="4F36C241" w14:textId="77777777" w:rsidR="00116729" w:rsidRPr="00F7132F" w:rsidRDefault="00116729" w:rsidP="00116729">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xml:space="preserve">       1.317.560 </w:t>
            </w:r>
          </w:p>
        </w:tc>
      </w:tr>
    </w:tbl>
    <w:p w14:paraId="2CE0BF30" w14:textId="77777777" w:rsidR="009B5AFB" w:rsidRPr="00DE1EA6" w:rsidRDefault="009B5AFB" w:rsidP="00720E7B">
      <w:pPr>
        <w:rPr>
          <w:rFonts w:ascii="Verdana" w:hAnsi="Verdana" w:cstheme="minorHAnsi"/>
          <w:noProof/>
          <w:sz w:val="10"/>
          <w:szCs w:val="10"/>
          <w:lang w:eastAsia="pt-BR"/>
        </w:rPr>
      </w:pPr>
    </w:p>
    <w:p w14:paraId="45137087" w14:textId="77777777" w:rsidR="002B1787" w:rsidRPr="00F7132F" w:rsidRDefault="00581D1F" w:rsidP="00CF5F07">
      <w:pPr>
        <w:tabs>
          <w:tab w:val="left" w:pos="567"/>
          <w:tab w:val="left" w:pos="1134"/>
          <w:tab w:val="left" w:pos="1701"/>
          <w:tab w:val="left" w:pos="2268"/>
          <w:tab w:val="left" w:pos="2835"/>
        </w:tabs>
        <w:jc w:val="both"/>
        <w:outlineLvl w:val="0"/>
        <w:rPr>
          <w:rFonts w:ascii="Verdana" w:hAnsi="Verdana" w:cstheme="minorHAnsi"/>
          <w:b/>
        </w:rPr>
      </w:pPr>
      <w:r>
        <w:rPr>
          <w:rFonts w:ascii="Verdana" w:hAnsi="Verdana" w:cstheme="minorHAnsi"/>
          <w:b/>
        </w:rPr>
        <w:t>19</w:t>
      </w:r>
      <w:r w:rsidR="00F4139F" w:rsidRPr="00F7132F">
        <w:rPr>
          <w:rFonts w:ascii="Verdana" w:hAnsi="Verdana" w:cstheme="minorHAnsi"/>
          <w:b/>
        </w:rPr>
        <w:t xml:space="preserve"> </w:t>
      </w:r>
      <w:r w:rsidR="002B1787" w:rsidRPr="00F7132F">
        <w:rPr>
          <w:rFonts w:ascii="Verdana" w:hAnsi="Verdana" w:cstheme="minorHAnsi"/>
          <w:b/>
        </w:rPr>
        <w:t xml:space="preserve">– PROVISÃO PARA LITÍGIOS E PASSIVOS CONTINGENTES </w:t>
      </w:r>
    </w:p>
    <w:p w14:paraId="15D0BE97" w14:textId="77777777" w:rsidR="00557243" w:rsidRPr="00F7132F" w:rsidRDefault="00581D1F" w:rsidP="00557243">
      <w:pPr>
        <w:rPr>
          <w:rFonts w:ascii="Verdana" w:hAnsi="Verdana" w:cstheme="minorHAnsi"/>
          <w:b/>
          <w:bCs/>
        </w:rPr>
      </w:pPr>
      <w:r>
        <w:rPr>
          <w:rFonts w:ascii="Verdana" w:hAnsi="Verdana" w:cstheme="minorHAnsi"/>
          <w:b/>
          <w:bCs/>
        </w:rPr>
        <w:t>19</w:t>
      </w:r>
      <w:r w:rsidR="00557243" w:rsidRPr="00F7132F">
        <w:rPr>
          <w:rFonts w:ascii="Verdana" w:hAnsi="Verdana" w:cstheme="minorHAnsi"/>
          <w:b/>
          <w:bCs/>
        </w:rPr>
        <w:t xml:space="preserve">.1 – Provisões </w:t>
      </w:r>
    </w:p>
    <w:p w14:paraId="042C6EA4" w14:textId="77777777" w:rsidR="0058601D" w:rsidRPr="00116729" w:rsidRDefault="0058601D" w:rsidP="00765236">
      <w:pPr>
        <w:jc w:val="both"/>
        <w:rPr>
          <w:rFonts w:ascii="Verdana" w:hAnsi="Verdana" w:cstheme="minorHAnsi"/>
          <w:bdr w:val="nil"/>
        </w:rPr>
      </w:pPr>
      <w:r w:rsidRPr="00116729">
        <w:rPr>
          <w:rFonts w:ascii="Verdana" w:hAnsi="Verdana" w:cstheme="minorHAnsi"/>
          <w:bdr w:val="nil"/>
        </w:rPr>
        <w:t xml:space="preserve">A controlada Eletronuclear é parte envolvida em diversas ações em andamento no âmbito do judiciário que se encontram em vários estágios de julgamento, sendo que a provisão para contingências </w:t>
      </w:r>
      <w:r w:rsidR="0040007D" w:rsidRPr="00116729">
        <w:rPr>
          <w:rFonts w:ascii="Verdana" w:hAnsi="Verdana" w:cstheme="minorHAnsi"/>
          <w:bdr w:val="nil"/>
        </w:rPr>
        <w:t xml:space="preserve">é constituída </w:t>
      </w:r>
      <w:r w:rsidRPr="00116729">
        <w:rPr>
          <w:rFonts w:ascii="Verdana" w:hAnsi="Verdana" w:cstheme="minorHAnsi"/>
          <w:bdr w:val="nil"/>
        </w:rPr>
        <w:t xml:space="preserve">em montante suficiente para cobrir as perdas consideradas prováveis e para as quais uma estimativa confiável possa ser realizada nos seguintes valores: </w:t>
      </w:r>
    </w:p>
    <w:tbl>
      <w:tblPr>
        <w:tblW w:w="9197" w:type="dxa"/>
        <w:tblCellMar>
          <w:left w:w="70" w:type="dxa"/>
          <w:right w:w="70" w:type="dxa"/>
        </w:tblCellMar>
        <w:tblLook w:val="04A0" w:firstRow="1" w:lastRow="0" w:firstColumn="1" w:lastColumn="0" w:noHBand="0" w:noVBand="1"/>
      </w:tblPr>
      <w:tblGrid>
        <w:gridCol w:w="5139"/>
        <w:gridCol w:w="222"/>
        <w:gridCol w:w="1807"/>
        <w:gridCol w:w="222"/>
        <w:gridCol w:w="1807"/>
      </w:tblGrid>
      <w:tr w:rsidR="00037A28" w:rsidRPr="00116729" w14:paraId="12B31426" w14:textId="77777777" w:rsidTr="00F7132F">
        <w:trPr>
          <w:trHeight w:val="20"/>
        </w:trPr>
        <w:tc>
          <w:tcPr>
            <w:tcW w:w="5139" w:type="dxa"/>
            <w:tcBorders>
              <w:top w:val="nil"/>
              <w:left w:val="nil"/>
              <w:bottom w:val="nil"/>
              <w:right w:val="nil"/>
            </w:tcBorders>
            <w:shd w:val="clear" w:color="auto" w:fill="auto"/>
            <w:noWrap/>
            <w:vAlign w:val="bottom"/>
            <w:hideMark/>
          </w:tcPr>
          <w:p w14:paraId="379D3D81" w14:textId="77777777" w:rsidR="00037A28" w:rsidRPr="00116729" w:rsidRDefault="00037A28" w:rsidP="00037A28">
            <w:pPr>
              <w:spacing w:after="0" w:line="240" w:lineRule="auto"/>
              <w:rPr>
                <w:rFonts w:ascii="Times New Roman" w:eastAsia="Times New Roman" w:hAnsi="Times New Roman" w:cs="Times New Roman"/>
                <w:sz w:val="24"/>
                <w:szCs w:val="24"/>
                <w:lang w:eastAsia="pt-BR"/>
              </w:rPr>
            </w:pPr>
          </w:p>
        </w:tc>
        <w:tc>
          <w:tcPr>
            <w:tcW w:w="222" w:type="dxa"/>
            <w:tcBorders>
              <w:top w:val="nil"/>
              <w:left w:val="nil"/>
              <w:bottom w:val="nil"/>
              <w:right w:val="nil"/>
            </w:tcBorders>
            <w:shd w:val="clear" w:color="auto" w:fill="auto"/>
            <w:noWrap/>
            <w:vAlign w:val="bottom"/>
            <w:hideMark/>
          </w:tcPr>
          <w:p w14:paraId="264D52FC" w14:textId="77777777" w:rsidR="00037A28" w:rsidRPr="00116729" w:rsidRDefault="00037A28" w:rsidP="00037A28">
            <w:pPr>
              <w:spacing w:after="0" w:line="240" w:lineRule="auto"/>
              <w:rPr>
                <w:rFonts w:ascii="Times New Roman" w:eastAsia="Times New Roman" w:hAnsi="Times New Roman" w:cs="Times New Roman"/>
                <w:sz w:val="20"/>
                <w:szCs w:val="20"/>
                <w:lang w:eastAsia="pt-BR"/>
              </w:rPr>
            </w:pPr>
          </w:p>
        </w:tc>
        <w:tc>
          <w:tcPr>
            <w:tcW w:w="1807" w:type="dxa"/>
            <w:tcBorders>
              <w:top w:val="nil"/>
              <w:left w:val="nil"/>
              <w:bottom w:val="single" w:sz="4" w:space="0" w:color="auto"/>
              <w:right w:val="nil"/>
            </w:tcBorders>
            <w:shd w:val="clear" w:color="auto" w:fill="auto"/>
            <w:noWrap/>
            <w:vAlign w:val="bottom"/>
            <w:hideMark/>
          </w:tcPr>
          <w:p w14:paraId="7F754E35" w14:textId="77777777" w:rsidR="00037A28" w:rsidRPr="00F7132F" w:rsidRDefault="00037A28" w:rsidP="00037A28">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Controladora</w:t>
            </w:r>
          </w:p>
        </w:tc>
        <w:tc>
          <w:tcPr>
            <w:tcW w:w="222" w:type="dxa"/>
            <w:tcBorders>
              <w:top w:val="nil"/>
              <w:left w:val="nil"/>
              <w:bottom w:val="nil"/>
              <w:right w:val="nil"/>
            </w:tcBorders>
            <w:shd w:val="clear" w:color="auto" w:fill="auto"/>
            <w:noWrap/>
            <w:vAlign w:val="bottom"/>
            <w:hideMark/>
          </w:tcPr>
          <w:p w14:paraId="52463E17" w14:textId="77777777" w:rsidR="00037A28" w:rsidRPr="00F7132F" w:rsidRDefault="00037A28" w:rsidP="00037A28">
            <w:pPr>
              <w:spacing w:after="0" w:line="240" w:lineRule="auto"/>
              <w:jc w:val="center"/>
              <w:rPr>
                <w:rFonts w:ascii="Verdana" w:eastAsia="Times New Roman" w:hAnsi="Verdana" w:cs="Calibri"/>
                <w:b/>
                <w:bCs/>
                <w:sz w:val="18"/>
                <w:szCs w:val="18"/>
                <w:lang w:eastAsia="pt-BR"/>
              </w:rPr>
            </w:pPr>
          </w:p>
        </w:tc>
        <w:tc>
          <w:tcPr>
            <w:tcW w:w="1807" w:type="dxa"/>
            <w:tcBorders>
              <w:top w:val="nil"/>
              <w:left w:val="nil"/>
              <w:bottom w:val="single" w:sz="4" w:space="0" w:color="auto"/>
              <w:right w:val="nil"/>
            </w:tcBorders>
            <w:shd w:val="clear" w:color="auto" w:fill="auto"/>
            <w:noWrap/>
            <w:vAlign w:val="bottom"/>
            <w:hideMark/>
          </w:tcPr>
          <w:p w14:paraId="6BC8D57D" w14:textId="77777777" w:rsidR="00037A28" w:rsidRPr="00F7132F" w:rsidRDefault="00037A28" w:rsidP="00037A28">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Consolidado</w:t>
            </w:r>
          </w:p>
        </w:tc>
      </w:tr>
      <w:tr w:rsidR="00037A28" w:rsidRPr="00116729" w14:paraId="31A7021B" w14:textId="77777777" w:rsidTr="00F7132F">
        <w:trPr>
          <w:trHeight w:val="20"/>
        </w:trPr>
        <w:tc>
          <w:tcPr>
            <w:tcW w:w="5139" w:type="dxa"/>
            <w:tcBorders>
              <w:top w:val="nil"/>
              <w:left w:val="nil"/>
              <w:bottom w:val="nil"/>
              <w:right w:val="nil"/>
            </w:tcBorders>
            <w:shd w:val="clear" w:color="auto" w:fill="auto"/>
            <w:noWrap/>
            <w:vAlign w:val="center"/>
            <w:hideMark/>
          </w:tcPr>
          <w:p w14:paraId="7B18B378" w14:textId="77777777" w:rsidR="00037A28" w:rsidRPr="00F7132F" w:rsidRDefault="00037A28" w:rsidP="00037A28">
            <w:pPr>
              <w:spacing w:after="0" w:line="240" w:lineRule="auto"/>
              <w:jc w:val="center"/>
              <w:rPr>
                <w:rFonts w:ascii="Verdana" w:eastAsia="Times New Roman" w:hAnsi="Verdana" w:cs="Calibri"/>
                <w:b/>
                <w:bCs/>
                <w:sz w:val="18"/>
                <w:szCs w:val="18"/>
                <w:lang w:eastAsia="pt-BR"/>
              </w:rPr>
            </w:pPr>
          </w:p>
        </w:tc>
        <w:tc>
          <w:tcPr>
            <w:tcW w:w="222" w:type="dxa"/>
            <w:tcBorders>
              <w:top w:val="nil"/>
              <w:left w:val="nil"/>
              <w:bottom w:val="nil"/>
              <w:right w:val="nil"/>
            </w:tcBorders>
            <w:shd w:val="clear" w:color="auto" w:fill="auto"/>
            <w:noWrap/>
            <w:vAlign w:val="center"/>
            <w:hideMark/>
          </w:tcPr>
          <w:p w14:paraId="7DA9EF3D" w14:textId="77777777" w:rsidR="00037A28" w:rsidRPr="00116729" w:rsidRDefault="00037A28" w:rsidP="00037A28">
            <w:pPr>
              <w:spacing w:after="0" w:line="240" w:lineRule="auto"/>
              <w:rPr>
                <w:rFonts w:ascii="Times New Roman" w:eastAsia="Times New Roman" w:hAnsi="Times New Roman" w:cs="Times New Roman"/>
                <w:sz w:val="20"/>
                <w:szCs w:val="20"/>
                <w:lang w:eastAsia="pt-BR"/>
              </w:rPr>
            </w:pPr>
          </w:p>
        </w:tc>
        <w:tc>
          <w:tcPr>
            <w:tcW w:w="1807" w:type="dxa"/>
            <w:tcBorders>
              <w:top w:val="nil"/>
              <w:left w:val="nil"/>
              <w:bottom w:val="single" w:sz="4" w:space="0" w:color="auto"/>
              <w:right w:val="nil"/>
            </w:tcBorders>
            <w:shd w:val="clear" w:color="auto" w:fill="auto"/>
            <w:noWrap/>
            <w:vAlign w:val="center"/>
            <w:hideMark/>
          </w:tcPr>
          <w:p w14:paraId="7B4BDFAF" w14:textId="77777777" w:rsidR="00037A28" w:rsidRPr="00F7132F" w:rsidRDefault="00037A28" w:rsidP="00037A28">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30/06/2022</w:t>
            </w:r>
          </w:p>
        </w:tc>
        <w:tc>
          <w:tcPr>
            <w:tcW w:w="222" w:type="dxa"/>
            <w:tcBorders>
              <w:top w:val="nil"/>
              <w:left w:val="nil"/>
              <w:bottom w:val="nil"/>
              <w:right w:val="nil"/>
            </w:tcBorders>
            <w:shd w:val="clear" w:color="auto" w:fill="auto"/>
            <w:noWrap/>
            <w:vAlign w:val="center"/>
            <w:hideMark/>
          </w:tcPr>
          <w:p w14:paraId="28D12567" w14:textId="77777777" w:rsidR="00037A28" w:rsidRPr="00F7132F" w:rsidRDefault="00037A28" w:rsidP="00037A28">
            <w:pPr>
              <w:spacing w:after="0" w:line="240" w:lineRule="auto"/>
              <w:jc w:val="center"/>
              <w:rPr>
                <w:rFonts w:ascii="Verdana" w:eastAsia="Times New Roman" w:hAnsi="Verdana" w:cs="Calibri"/>
                <w:b/>
                <w:bCs/>
                <w:sz w:val="18"/>
                <w:szCs w:val="18"/>
                <w:lang w:eastAsia="pt-BR"/>
              </w:rPr>
            </w:pPr>
          </w:p>
        </w:tc>
        <w:tc>
          <w:tcPr>
            <w:tcW w:w="1807" w:type="dxa"/>
            <w:tcBorders>
              <w:top w:val="nil"/>
              <w:left w:val="nil"/>
              <w:bottom w:val="single" w:sz="4" w:space="0" w:color="auto"/>
              <w:right w:val="nil"/>
            </w:tcBorders>
            <w:shd w:val="clear" w:color="auto" w:fill="auto"/>
            <w:noWrap/>
            <w:vAlign w:val="center"/>
            <w:hideMark/>
          </w:tcPr>
          <w:p w14:paraId="7A949863" w14:textId="77777777" w:rsidR="00037A28" w:rsidRPr="00F7132F" w:rsidRDefault="00037A28" w:rsidP="00037A28">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30/06/2022</w:t>
            </w:r>
          </w:p>
        </w:tc>
      </w:tr>
      <w:tr w:rsidR="00037A28" w:rsidRPr="00116729" w14:paraId="1055A7CD" w14:textId="77777777" w:rsidTr="00F7132F">
        <w:trPr>
          <w:trHeight w:val="20"/>
        </w:trPr>
        <w:tc>
          <w:tcPr>
            <w:tcW w:w="5139" w:type="dxa"/>
            <w:tcBorders>
              <w:top w:val="nil"/>
              <w:left w:val="nil"/>
              <w:bottom w:val="nil"/>
              <w:right w:val="nil"/>
            </w:tcBorders>
            <w:shd w:val="clear" w:color="auto" w:fill="auto"/>
            <w:noWrap/>
            <w:vAlign w:val="center"/>
            <w:hideMark/>
          </w:tcPr>
          <w:p w14:paraId="6F088E43" w14:textId="77777777" w:rsidR="00037A28" w:rsidRPr="00F7132F" w:rsidRDefault="00037A28" w:rsidP="00037A28">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22" w:type="dxa"/>
            <w:tcBorders>
              <w:top w:val="nil"/>
              <w:left w:val="nil"/>
              <w:bottom w:val="nil"/>
              <w:right w:val="nil"/>
            </w:tcBorders>
            <w:shd w:val="clear" w:color="auto" w:fill="auto"/>
            <w:noWrap/>
            <w:vAlign w:val="center"/>
            <w:hideMark/>
          </w:tcPr>
          <w:p w14:paraId="364692FB" w14:textId="77777777" w:rsidR="00037A28" w:rsidRPr="00F7132F" w:rsidRDefault="00037A28" w:rsidP="00037A28">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07" w:type="dxa"/>
            <w:tcBorders>
              <w:top w:val="nil"/>
              <w:left w:val="nil"/>
              <w:bottom w:val="nil"/>
              <w:right w:val="nil"/>
            </w:tcBorders>
            <w:shd w:val="clear" w:color="auto" w:fill="auto"/>
            <w:noWrap/>
            <w:vAlign w:val="center"/>
            <w:hideMark/>
          </w:tcPr>
          <w:p w14:paraId="4C817DBA" w14:textId="77777777" w:rsidR="00037A28" w:rsidRPr="00F7132F" w:rsidRDefault="00037A28" w:rsidP="00037A28">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22" w:type="dxa"/>
            <w:tcBorders>
              <w:top w:val="nil"/>
              <w:left w:val="nil"/>
              <w:bottom w:val="nil"/>
              <w:right w:val="nil"/>
            </w:tcBorders>
            <w:shd w:val="clear" w:color="auto" w:fill="auto"/>
            <w:noWrap/>
            <w:vAlign w:val="center"/>
            <w:hideMark/>
          </w:tcPr>
          <w:p w14:paraId="1EC11A8B" w14:textId="77777777" w:rsidR="00037A28" w:rsidRPr="00F7132F" w:rsidRDefault="00037A28" w:rsidP="00037A28">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07" w:type="dxa"/>
            <w:tcBorders>
              <w:top w:val="nil"/>
              <w:left w:val="nil"/>
              <w:bottom w:val="nil"/>
              <w:right w:val="nil"/>
            </w:tcBorders>
            <w:shd w:val="clear" w:color="auto" w:fill="auto"/>
            <w:noWrap/>
            <w:vAlign w:val="center"/>
            <w:hideMark/>
          </w:tcPr>
          <w:p w14:paraId="71241565" w14:textId="77777777" w:rsidR="00037A28" w:rsidRPr="00F7132F" w:rsidRDefault="00037A28" w:rsidP="00037A28">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r>
      <w:tr w:rsidR="00037A28" w:rsidRPr="00116729" w14:paraId="69F0BFAF" w14:textId="77777777" w:rsidTr="00F7132F">
        <w:trPr>
          <w:trHeight w:val="20"/>
        </w:trPr>
        <w:tc>
          <w:tcPr>
            <w:tcW w:w="5139" w:type="dxa"/>
            <w:tcBorders>
              <w:top w:val="nil"/>
              <w:left w:val="nil"/>
              <w:bottom w:val="nil"/>
              <w:right w:val="nil"/>
            </w:tcBorders>
            <w:shd w:val="clear" w:color="auto" w:fill="auto"/>
            <w:noWrap/>
            <w:vAlign w:val="center"/>
            <w:hideMark/>
          </w:tcPr>
          <w:p w14:paraId="41130A5C" w14:textId="77777777" w:rsidR="00037A28" w:rsidRPr="00F7132F" w:rsidRDefault="00037A28" w:rsidP="00037A28">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Provisão para contingências Cíveis</w:t>
            </w:r>
          </w:p>
        </w:tc>
        <w:tc>
          <w:tcPr>
            <w:tcW w:w="222" w:type="dxa"/>
            <w:tcBorders>
              <w:top w:val="nil"/>
              <w:left w:val="nil"/>
              <w:bottom w:val="nil"/>
              <w:right w:val="nil"/>
            </w:tcBorders>
            <w:shd w:val="clear" w:color="auto" w:fill="auto"/>
            <w:noWrap/>
            <w:vAlign w:val="center"/>
            <w:hideMark/>
          </w:tcPr>
          <w:p w14:paraId="12814FAE" w14:textId="77777777" w:rsidR="00037A28" w:rsidRPr="00F7132F" w:rsidRDefault="00037A28" w:rsidP="00037A28">
            <w:pPr>
              <w:spacing w:after="0" w:line="240" w:lineRule="auto"/>
              <w:rPr>
                <w:rFonts w:ascii="Verdana" w:eastAsia="Times New Roman" w:hAnsi="Verdana" w:cs="Calibri"/>
                <w:sz w:val="18"/>
                <w:szCs w:val="18"/>
                <w:lang w:eastAsia="pt-BR"/>
              </w:rPr>
            </w:pPr>
          </w:p>
        </w:tc>
        <w:tc>
          <w:tcPr>
            <w:tcW w:w="1807" w:type="dxa"/>
            <w:tcBorders>
              <w:top w:val="nil"/>
              <w:left w:val="nil"/>
              <w:bottom w:val="nil"/>
              <w:right w:val="nil"/>
            </w:tcBorders>
            <w:shd w:val="clear" w:color="auto" w:fill="auto"/>
            <w:noWrap/>
            <w:vAlign w:val="center"/>
            <w:hideMark/>
          </w:tcPr>
          <w:p w14:paraId="05DA7B0A" w14:textId="77777777" w:rsidR="00037A28" w:rsidRPr="00F7132F" w:rsidRDefault="00037A28" w:rsidP="00037A28">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222" w:type="dxa"/>
            <w:tcBorders>
              <w:top w:val="nil"/>
              <w:left w:val="nil"/>
              <w:bottom w:val="nil"/>
              <w:right w:val="nil"/>
            </w:tcBorders>
            <w:shd w:val="clear" w:color="auto" w:fill="auto"/>
            <w:noWrap/>
            <w:vAlign w:val="center"/>
            <w:hideMark/>
          </w:tcPr>
          <w:p w14:paraId="29AEE448" w14:textId="77777777" w:rsidR="00037A28" w:rsidRPr="00F7132F" w:rsidRDefault="00037A28" w:rsidP="00037A28">
            <w:pPr>
              <w:spacing w:after="0" w:line="240" w:lineRule="auto"/>
              <w:jc w:val="right"/>
              <w:rPr>
                <w:rFonts w:ascii="Verdana" w:eastAsia="Times New Roman" w:hAnsi="Verdana" w:cs="Calibri"/>
                <w:sz w:val="18"/>
                <w:szCs w:val="18"/>
                <w:lang w:eastAsia="pt-BR"/>
              </w:rPr>
            </w:pPr>
          </w:p>
        </w:tc>
        <w:tc>
          <w:tcPr>
            <w:tcW w:w="1807" w:type="dxa"/>
            <w:tcBorders>
              <w:top w:val="nil"/>
              <w:left w:val="nil"/>
              <w:bottom w:val="nil"/>
              <w:right w:val="nil"/>
            </w:tcBorders>
            <w:shd w:val="clear" w:color="auto" w:fill="auto"/>
            <w:noWrap/>
            <w:vAlign w:val="center"/>
            <w:hideMark/>
          </w:tcPr>
          <w:p w14:paraId="35787A18" w14:textId="77777777" w:rsidR="00037A28" w:rsidRPr="00F7132F" w:rsidRDefault="00037A28" w:rsidP="00037A28">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10.076 </w:t>
            </w:r>
          </w:p>
        </w:tc>
      </w:tr>
      <w:tr w:rsidR="00037A28" w:rsidRPr="00116729" w14:paraId="7610A02B" w14:textId="77777777" w:rsidTr="00F7132F">
        <w:trPr>
          <w:trHeight w:val="20"/>
        </w:trPr>
        <w:tc>
          <w:tcPr>
            <w:tcW w:w="5139" w:type="dxa"/>
            <w:tcBorders>
              <w:top w:val="nil"/>
              <w:left w:val="nil"/>
              <w:bottom w:val="nil"/>
              <w:right w:val="nil"/>
            </w:tcBorders>
            <w:shd w:val="clear" w:color="auto" w:fill="auto"/>
            <w:noWrap/>
            <w:vAlign w:val="center"/>
            <w:hideMark/>
          </w:tcPr>
          <w:p w14:paraId="53F69C07" w14:textId="77777777" w:rsidR="00037A28" w:rsidRPr="00F7132F" w:rsidRDefault="00037A28" w:rsidP="00037A28">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Provisão para contingências Ambientais</w:t>
            </w:r>
          </w:p>
        </w:tc>
        <w:tc>
          <w:tcPr>
            <w:tcW w:w="222" w:type="dxa"/>
            <w:tcBorders>
              <w:top w:val="nil"/>
              <w:left w:val="nil"/>
              <w:bottom w:val="nil"/>
              <w:right w:val="nil"/>
            </w:tcBorders>
            <w:shd w:val="clear" w:color="auto" w:fill="auto"/>
            <w:noWrap/>
            <w:vAlign w:val="center"/>
            <w:hideMark/>
          </w:tcPr>
          <w:p w14:paraId="36CC9142" w14:textId="77777777" w:rsidR="00037A28" w:rsidRPr="00F7132F" w:rsidRDefault="00037A28" w:rsidP="00037A28">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07" w:type="dxa"/>
            <w:tcBorders>
              <w:top w:val="nil"/>
              <w:left w:val="nil"/>
              <w:bottom w:val="nil"/>
              <w:right w:val="nil"/>
            </w:tcBorders>
            <w:shd w:val="clear" w:color="auto" w:fill="auto"/>
            <w:noWrap/>
            <w:vAlign w:val="center"/>
            <w:hideMark/>
          </w:tcPr>
          <w:p w14:paraId="60ED6D36" w14:textId="77777777" w:rsidR="00037A28" w:rsidRPr="00F7132F" w:rsidRDefault="00037A28" w:rsidP="00037A28">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222" w:type="dxa"/>
            <w:tcBorders>
              <w:top w:val="nil"/>
              <w:left w:val="nil"/>
              <w:bottom w:val="nil"/>
              <w:right w:val="nil"/>
            </w:tcBorders>
            <w:shd w:val="clear" w:color="auto" w:fill="auto"/>
            <w:noWrap/>
            <w:vAlign w:val="center"/>
            <w:hideMark/>
          </w:tcPr>
          <w:p w14:paraId="0F83A176" w14:textId="77777777" w:rsidR="00037A28" w:rsidRPr="00F7132F" w:rsidRDefault="00037A28" w:rsidP="00037A28">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07" w:type="dxa"/>
            <w:tcBorders>
              <w:top w:val="nil"/>
              <w:left w:val="nil"/>
              <w:bottom w:val="nil"/>
              <w:right w:val="nil"/>
            </w:tcBorders>
            <w:shd w:val="clear" w:color="auto" w:fill="auto"/>
            <w:noWrap/>
            <w:vAlign w:val="center"/>
            <w:hideMark/>
          </w:tcPr>
          <w:p w14:paraId="47D5F479" w14:textId="77777777" w:rsidR="00037A28" w:rsidRPr="00F7132F" w:rsidRDefault="00037A28" w:rsidP="00037A28">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2.753 </w:t>
            </w:r>
          </w:p>
        </w:tc>
      </w:tr>
      <w:tr w:rsidR="00037A28" w:rsidRPr="00116729" w14:paraId="3B9F0B41" w14:textId="77777777" w:rsidTr="00F7132F">
        <w:trPr>
          <w:trHeight w:val="20"/>
        </w:trPr>
        <w:tc>
          <w:tcPr>
            <w:tcW w:w="5139" w:type="dxa"/>
            <w:tcBorders>
              <w:top w:val="nil"/>
              <w:left w:val="nil"/>
              <w:bottom w:val="nil"/>
              <w:right w:val="nil"/>
            </w:tcBorders>
            <w:shd w:val="clear" w:color="auto" w:fill="auto"/>
            <w:noWrap/>
            <w:vAlign w:val="center"/>
            <w:hideMark/>
          </w:tcPr>
          <w:p w14:paraId="76DD8622" w14:textId="77777777" w:rsidR="00037A28" w:rsidRPr="00F7132F" w:rsidRDefault="00037A28" w:rsidP="00037A28">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Provisão para contingências Trabalhista</w:t>
            </w:r>
          </w:p>
        </w:tc>
        <w:tc>
          <w:tcPr>
            <w:tcW w:w="222" w:type="dxa"/>
            <w:tcBorders>
              <w:top w:val="nil"/>
              <w:left w:val="nil"/>
              <w:bottom w:val="nil"/>
              <w:right w:val="nil"/>
            </w:tcBorders>
            <w:shd w:val="clear" w:color="auto" w:fill="auto"/>
            <w:noWrap/>
            <w:vAlign w:val="center"/>
            <w:hideMark/>
          </w:tcPr>
          <w:p w14:paraId="2B6FB193" w14:textId="77777777" w:rsidR="00037A28" w:rsidRPr="00F7132F" w:rsidRDefault="00037A28" w:rsidP="00037A28">
            <w:pPr>
              <w:spacing w:after="0" w:line="240" w:lineRule="auto"/>
              <w:rPr>
                <w:rFonts w:ascii="Verdana" w:eastAsia="Times New Roman" w:hAnsi="Verdana" w:cs="Calibri"/>
                <w:sz w:val="18"/>
                <w:szCs w:val="18"/>
                <w:lang w:eastAsia="pt-BR"/>
              </w:rPr>
            </w:pPr>
          </w:p>
        </w:tc>
        <w:tc>
          <w:tcPr>
            <w:tcW w:w="1807" w:type="dxa"/>
            <w:tcBorders>
              <w:top w:val="nil"/>
              <w:left w:val="nil"/>
              <w:bottom w:val="nil"/>
              <w:right w:val="nil"/>
            </w:tcBorders>
            <w:shd w:val="clear" w:color="auto" w:fill="auto"/>
            <w:noWrap/>
            <w:vAlign w:val="center"/>
            <w:hideMark/>
          </w:tcPr>
          <w:p w14:paraId="76FC2B8A" w14:textId="77777777" w:rsidR="00037A28" w:rsidRPr="00F7132F" w:rsidRDefault="00037A28" w:rsidP="00037A28">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222" w:type="dxa"/>
            <w:tcBorders>
              <w:top w:val="nil"/>
              <w:left w:val="nil"/>
              <w:bottom w:val="nil"/>
              <w:right w:val="nil"/>
            </w:tcBorders>
            <w:shd w:val="clear" w:color="auto" w:fill="auto"/>
            <w:noWrap/>
            <w:vAlign w:val="center"/>
            <w:hideMark/>
          </w:tcPr>
          <w:p w14:paraId="431F56DA" w14:textId="77777777" w:rsidR="00037A28" w:rsidRPr="00F7132F" w:rsidRDefault="00037A28" w:rsidP="00037A28">
            <w:pPr>
              <w:spacing w:after="0" w:line="240" w:lineRule="auto"/>
              <w:jc w:val="right"/>
              <w:rPr>
                <w:rFonts w:ascii="Verdana" w:eastAsia="Times New Roman" w:hAnsi="Verdana" w:cs="Calibri"/>
                <w:sz w:val="18"/>
                <w:szCs w:val="18"/>
                <w:lang w:eastAsia="pt-BR"/>
              </w:rPr>
            </w:pPr>
          </w:p>
        </w:tc>
        <w:tc>
          <w:tcPr>
            <w:tcW w:w="1807" w:type="dxa"/>
            <w:tcBorders>
              <w:top w:val="nil"/>
              <w:left w:val="nil"/>
              <w:bottom w:val="nil"/>
              <w:right w:val="nil"/>
            </w:tcBorders>
            <w:shd w:val="clear" w:color="auto" w:fill="auto"/>
            <w:noWrap/>
            <w:vAlign w:val="center"/>
            <w:hideMark/>
          </w:tcPr>
          <w:p w14:paraId="2453BDA4" w14:textId="77777777" w:rsidR="00037A28" w:rsidRPr="00F7132F" w:rsidRDefault="00037A28" w:rsidP="00037A28">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197.026 </w:t>
            </w:r>
          </w:p>
        </w:tc>
      </w:tr>
      <w:tr w:rsidR="00037A28" w:rsidRPr="00116729" w14:paraId="071651C2" w14:textId="77777777" w:rsidTr="00F7132F">
        <w:trPr>
          <w:trHeight w:val="20"/>
        </w:trPr>
        <w:tc>
          <w:tcPr>
            <w:tcW w:w="5139" w:type="dxa"/>
            <w:tcBorders>
              <w:top w:val="nil"/>
              <w:left w:val="nil"/>
              <w:bottom w:val="nil"/>
              <w:right w:val="nil"/>
            </w:tcBorders>
            <w:shd w:val="clear" w:color="auto" w:fill="auto"/>
            <w:noWrap/>
            <w:vAlign w:val="center"/>
            <w:hideMark/>
          </w:tcPr>
          <w:p w14:paraId="5F7F8BD0" w14:textId="77777777" w:rsidR="00037A28" w:rsidRPr="00F7132F" w:rsidRDefault="00037A28" w:rsidP="00037A28">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Provisão para contingências Fiscais</w:t>
            </w:r>
          </w:p>
        </w:tc>
        <w:tc>
          <w:tcPr>
            <w:tcW w:w="222" w:type="dxa"/>
            <w:tcBorders>
              <w:top w:val="nil"/>
              <w:left w:val="nil"/>
              <w:bottom w:val="nil"/>
              <w:right w:val="nil"/>
            </w:tcBorders>
            <w:shd w:val="clear" w:color="auto" w:fill="auto"/>
            <w:noWrap/>
            <w:vAlign w:val="center"/>
            <w:hideMark/>
          </w:tcPr>
          <w:p w14:paraId="3B23842D" w14:textId="77777777" w:rsidR="00037A28" w:rsidRPr="00F7132F" w:rsidRDefault="00037A28" w:rsidP="00037A28">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07" w:type="dxa"/>
            <w:tcBorders>
              <w:top w:val="nil"/>
              <w:left w:val="nil"/>
              <w:bottom w:val="nil"/>
              <w:right w:val="nil"/>
            </w:tcBorders>
            <w:shd w:val="clear" w:color="auto" w:fill="auto"/>
            <w:noWrap/>
            <w:vAlign w:val="center"/>
            <w:hideMark/>
          </w:tcPr>
          <w:p w14:paraId="5C92957A" w14:textId="77777777" w:rsidR="00037A28" w:rsidRPr="00F7132F" w:rsidRDefault="00037A28" w:rsidP="00037A28">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222" w:type="dxa"/>
            <w:tcBorders>
              <w:top w:val="nil"/>
              <w:left w:val="nil"/>
              <w:bottom w:val="nil"/>
              <w:right w:val="nil"/>
            </w:tcBorders>
            <w:shd w:val="clear" w:color="auto" w:fill="auto"/>
            <w:noWrap/>
            <w:vAlign w:val="center"/>
            <w:hideMark/>
          </w:tcPr>
          <w:p w14:paraId="7E7D4F12" w14:textId="77777777" w:rsidR="00037A28" w:rsidRPr="00F7132F" w:rsidRDefault="00037A28" w:rsidP="00037A28">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07" w:type="dxa"/>
            <w:tcBorders>
              <w:top w:val="nil"/>
              <w:left w:val="nil"/>
              <w:bottom w:val="nil"/>
              <w:right w:val="nil"/>
            </w:tcBorders>
            <w:shd w:val="clear" w:color="auto" w:fill="auto"/>
            <w:noWrap/>
            <w:vAlign w:val="center"/>
            <w:hideMark/>
          </w:tcPr>
          <w:p w14:paraId="284F5901" w14:textId="77777777" w:rsidR="00037A28" w:rsidRPr="00F7132F" w:rsidRDefault="00037A28" w:rsidP="00037A28">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7.4</w:t>
            </w:r>
            <w:r w:rsidR="002C0A9B">
              <w:rPr>
                <w:rFonts w:ascii="Verdana" w:eastAsia="Times New Roman" w:hAnsi="Verdana" w:cs="Calibri"/>
                <w:sz w:val="18"/>
                <w:szCs w:val="18"/>
                <w:lang w:eastAsia="pt-BR"/>
              </w:rPr>
              <w:t>60</w:t>
            </w:r>
            <w:r w:rsidRPr="00F7132F">
              <w:rPr>
                <w:rFonts w:ascii="Verdana" w:eastAsia="Times New Roman" w:hAnsi="Verdana" w:cs="Calibri"/>
                <w:sz w:val="18"/>
                <w:szCs w:val="18"/>
                <w:lang w:eastAsia="pt-BR"/>
              </w:rPr>
              <w:t xml:space="preserve"> </w:t>
            </w:r>
          </w:p>
        </w:tc>
      </w:tr>
      <w:tr w:rsidR="00037A28" w:rsidRPr="00116729" w14:paraId="1BD7232A" w14:textId="77777777" w:rsidTr="00F7132F">
        <w:trPr>
          <w:trHeight w:val="20"/>
        </w:trPr>
        <w:tc>
          <w:tcPr>
            <w:tcW w:w="5139" w:type="dxa"/>
            <w:tcBorders>
              <w:top w:val="nil"/>
              <w:left w:val="nil"/>
              <w:bottom w:val="nil"/>
              <w:right w:val="nil"/>
            </w:tcBorders>
            <w:shd w:val="clear" w:color="auto" w:fill="auto"/>
            <w:noWrap/>
            <w:vAlign w:val="center"/>
            <w:hideMark/>
          </w:tcPr>
          <w:p w14:paraId="7E4B4382" w14:textId="77777777" w:rsidR="00037A28" w:rsidRPr="00F7132F" w:rsidRDefault="00037A28" w:rsidP="00037A28">
            <w:pPr>
              <w:spacing w:after="0" w:line="240" w:lineRule="auto"/>
              <w:jc w:val="right"/>
              <w:rPr>
                <w:rFonts w:ascii="Verdana" w:eastAsia="Times New Roman" w:hAnsi="Verdana" w:cs="Calibri"/>
                <w:sz w:val="18"/>
                <w:szCs w:val="18"/>
                <w:lang w:eastAsia="pt-BR"/>
              </w:rPr>
            </w:pPr>
          </w:p>
        </w:tc>
        <w:tc>
          <w:tcPr>
            <w:tcW w:w="222" w:type="dxa"/>
            <w:tcBorders>
              <w:top w:val="nil"/>
              <w:left w:val="nil"/>
              <w:bottom w:val="nil"/>
              <w:right w:val="nil"/>
            </w:tcBorders>
            <w:shd w:val="clear" w:color="auto" w:fill="auto"/>
            <w:noWrap/>
            <w:vAlign w:val="center"/>
            <w:hideMark/>
          </w:tcPr>
          <w:p w14:paraId="2869CFBC" w14:textId="77777777" w:rsidR="00037A28" w:rsidRPr="00116729" w:rsidRDefault="00037A28" w:rsidP="00037A28">
            <w:pPr>
              <w:spacing w:after="0" w:line="240" w:lineRule="auto"/>
              <w:rPr>
                <w:rFonts w:ascii="Times New Roman" w:eastAsia="Times New Roman" w:hAnsi="Times New Roman" w:cs="Times New Roman"/>
                <w:sz w:val="20"/>
                <w:szCs w:val="20"/>
                <w:lang w:eastAsia="pt-BR"/>
              </w:rPr>
            </w:pPr>
          </w:p>
        </w:tc>
        <w:tc>
          <w:tcPr>
            <w:tcW w:w="1807" w:type="dxa"/>
            <w:tcBorders>
              <w:top w:val="single" w:sz="4" w:space="0" w:color="auto"/>
              <w:left w:val="nil"/>
              <w:bottom w:val="double" w:sz="6" w:space="0" w:color="auto"/>
              <w:right w:val="nil"/>
            </w:tcBorders>
            <w:shd w:val="clear" w:color="auto" w:fill="auto"/>
            <w:noWrap/>
            <w:vAlign w:val="center"/>
            <w:hideMark/>
          </w:tcPr>
          <w:p w14:paraId="7E531C5C" w14:textId="77777777" w:rsidR="00037A28" w:rsidRPr="00F7132F" w:rsidRDefault="00037A28" w:rsidP="00037A28">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xml:space="preserve">                     -   </w:t>
            </w:r>
          </w:p>
        </w:tc>
        <w:tc>
          <w:tcPr>
            <w:tcW w:w="222" w:type="dxa"/>
            <w:tcBorders>
              <w:top w:val="nil"/>
              <w:left w:val="nil"/>
              <w:bottom w:val="nil"/>
              <w:right w:val="nil"/>
            </w:tcBorders>
            <w:shd w:val="clear" w:color="auto" w:fill="auto"/>
            <w:noWrap/>
            <w:vAlign w:val="center"/>
            <w:hideMark/>
          </w:tcPr>
          <w:p w14:paraId="5573F70C" w14:textId="77777777" w:rsidR="00037A28" w:rsidRPr="00F7132F" w:rsidRDefault="00037A28" w:rsidP="00037A28">
            <w:pPr>
              <w:spacing w:after="0" w:line="240" w:lineRule="auto"/>
              <w:jc w:val="right"/>
              <w:rPr>
                <w:rFonts w:ascii="Verdana" w:eastAsia="Times New Roman" w:hAnsi="Verdana" w:cs="Calibri"/>
                <w:b/>
                <w:bCs/>
                <w:sz w:val="18"/>
                <w:szCs w:val="18"/>
                <w:lang w:eastAsia="pt-BR"/>
              </w:rPr>
            </w:pPr>
          </w:p>
        </w:tc>
        <w:tc>
          <w:tcPr>
            <w:tcW w:w="1807" w:type="dxa"/>
            <w:tcBorders>
              <w:top w:val="single" w:sz="4" w:space="0" w:color="auto"/>
              <w:left w:val="nil"/>
              <w:bottom w:val="double" w:sz="6" w:space="0" w:color="auto"/>
              <w:right w:val="nil"/>
            </w:tcBorders>
            <w:shd w:val="clear" w:color="auto" w:fill="auto"/>
            <w:noWrap/>
            <w:vAlign w:val="center"/>
            <w:hideMark/>
          </w:tcPr>
          <w:p w14:paraId="5CD96A7D" w14:textId="77777777" w:rsidR="00037A28" w:rsidRPr="00F7132F" w:rsidRDefault="00037A28" w:rsidP="00037A28">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xml:space="preserve">          217.315 </w:t>
            </w:r>
          </w:p>
        </w:tc>
      </w:tr>
    </w:tbl>
    <w:p w14:paraId="276CCF5C" w14:textId="77777777" w:rsidR="0058601D" w:rsidRPr="00DE1EA6" w:rsidRDefault="0058601D" w:rsidP="00720E7B">
      <w:pPr>
        <w:rPr>
          <w:rFonts w:ascii="Verdana" w:hAnsi="Verdana" w:cstheme="minorHAnsi"/>
          <w:noProof/>
          <w:sz w:val="10"/>
          <w:szCs w:val="10"/>
          <w:lang w:eastAsia="pt-BR"/>
        </w:rPr>
      </w:pPr>
    </w:p>
    <w:p w14:paraId="145BD2BE" w14:textId="77777777" w:rsidR="00DE1EA6" w:rsidRDefault="00581D1F" w:rsidP="00DE1EA6">
      <w:pPr>
        <w:rPr>
          <w:rFonts w:ascii="Verdana" w:hAnsi="Verdana" w:cstheme="minorHAnsi"/>
          <w:b/>
          <w:bCs/>
        </w:rPr>
      </w:pPr>
      <w:r>
        <w:rPr>
          <w:rFonts w:ascii="Verdana" w:hAnsi="Verdana" w:cstheme="minorHAnsi"/>
          <w:b/>
          <w:bCs/>
        </w:rPr>
        <w:t>19</w:t>
      </w:r>
      <w:r w:rsidR="00557243" w:rsidRPr="00F7132F">
        <w:rPr>
          <w:rFonts w:ascii="Verdana" w:hAnsi="Verdana" w:cstheme="minorHAnsi"/>
          <w:b/>
          <w:bCs/>
        </w:rPr>
        <w:t xml:space="preserve">.2 – Cauções e Depósitos Vinculados a Processos Prováveis </w:t>
      </w:r>
    </w:p>
    <w:p w14:paraId="21B08018" w14:textId="77777777" w:rsidR="00037A28" w:rsidRPr="00116729" w:rsidRDefault="00557243" w:rsidP="00DE1EA6">
      <w:pPr>
        <w:jc w:val="both"/>
        <w:rPr>
          <w:rFonts w:ascii="Verdana" w:hAnsi="Verdana" w:cstheme="minorHAnsi"/>
          <w:noProof/>
          <w:lang w:eastAsia="pt-BR"/>
        </w:rPr>
      </w:pPr>
      <w:r w:rsidRPr="00116729">
        <w:rPr>
          <w:rFonts w:ascii="Verdana" w:hAnsi="Verdana" w:cstheme="minorHAnsi"/>
          <w:bdr w:val="nil"/>
        </w:rPr>
        <w:t>A rubrica de cauções e depósitos vinculados refere-se a valores vinculados a processos judiciais e administrativos de probabilidade provável, conforme relacionados a seguir:</w:t>
      </w:r>
    </w:p>
    <w:tbl>
      <w:tblPr>
        <w:tblW w:w="9196" w:type="dxa"/>
        <w:tblCellMar>
          <w:left w:w="70" w:type="dxa"/>
          <w:right w:w="70" w:type="dxa"/>
        </w:tblCellMar>
        <w:tblLook w:val="04A0" w:firstRow="1" w:lastRow="0" w:firstColumn="1" w:lastColumn="0" w:noHBand="0" w:noVBand="1"/>
      </w:tblPr>
      <w:tblGrid>
        <w:gridCol w:w="5138"/>
        <w:gridCol w:w="222"/>
        <w:gridCol w:w="1807"/>
        <w:gridCol w:w="222"/>
        <w:gridCol w:w="1807"/>
      </w:tblGrid>
      <w:tr w:rsidR="00037A28" w:rsidRPr="00116729" w14:paraId="7136AE84" w14:textId="77777777" w:rsidTr="00037A28">
        <w:trPr>
          <w:trHeight w:val="53"/>
        </w:trPr>
        <w:tc>
          <w:tcPr>
            <w:tcW w:w="5138" w:type="dxa"/>
            <w:tcBorders>
              <w:top w:val="nil"/>
              <w:left w:val="nil"/>
              <w:bottom w:val="nil"/>
              <w:right w:val="nil"/>
            </w:tcBorders>
            <w:shd w:val="clear" w:color="auto" w:fill="auto"/>
            <w:noWrap/>
            <w:vAlign w:val="bottom"/>
            <w:hideMark/>
          </w:tcPr>
          <w:p w14:paraId="0B2ECD9F" w14:textId="77777777" w:rsidR="00037A28" w:rsidRPr="00116729" w:rsidRDefault="00037A28" w:rsidP="00037A28">
            <w:pPr>
              <w:spacing w:after="0" w:line="240" w:lineRule="auto"/>
              <w:rPr>
                <w:rFonts w:ascii="Times New Roman" w:eastAsia="Times New Roman" w:hAnsi="Times New Roman" w:cs="Times New Roman"/>
                <w:sz w:val="24"/>
                <w:szCs w:val="24"/>
                <w:lang w:eastAsia="pt-BR"/>
              </w:rPr>
            </w:pPr>
          </w:p>
        </w:tc>
        <w:tc>
          <w:tcPr>
            <w:tcW w:w="222" w:type="dxa"/>
            <w:tcBorders>
              <w:top w:val="nil"/>
              <w:left w:val="nil"/>
              <w:bottom w:val="nil"/>
              <w:right w:val="nil"/>
            </w:tcBorders>
            <w:shd w:val="clear" w:color="auto" w:fill="auto"/>
            <w:noWrap/>
            <w:vAlign w:val="bottom"/>
            <w:hideMark/>
          </w:tcPr>
          <w:p w14:paraId="1D930962" w14:textId="77777777" w:rsidR="00037A28" w:rsidRPr="00116729" w:rsidRDefault="00037A28" w:rsidP="00037A28">
            <w:pPr>
              <w:spacing w:after="0" w:line="240" w:lineRule="auto"/>
              <w:rPr>
                <w:rFonts w:ascii="Times New Roman" w:eastAsia="Times New Roman" w:hAnsi="Times New Roman" w:cs="Times New Roman"/>
                <w:sz w:val="20"/>
                <w:szCs w:val="20"/>
                <w:lang w:eastAsia="pt-BR"/>
              </w:rPr>
            </w:pPr>
          </w:p>
        </w:tc>
        <w:tc>
          <w:tcPr>
            <w:tcW w:w="1807" w:type="dxa"/>
            <w:tcBorders>
              <w:top w:val="nil"/>
              <w:left w:val="nil"/>
              <w:bottom w:val="single" w:sz="4" w:space="0" w:color="auto"/>
              <w:right w:val="nil"/>
            </w:tcBorders>
            <w:shd w:val="clear" w:color="auto" w:fill="auto"/>
            <w:noWrap/>
            <w:vAlign w:val="bottom"/>
            <w:hideMark/>
          </w:tcPr>
          <w:p w14:paraId="2CDBA60E" w14:textId="77777777" w:rsidR="00037A28" w:rsidRPr="00F7132F" w:rsidRDefault="00037A28" w:rsidP="00037A28">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Controladora</w:t>
            </w:r>
          </w:p>
        </w:tc>
        <w:tc>
          <w:tcPr>
            <w:tcW w:w="222" w:type="dxa"/>
            <w:tcBorders>
              <w:top w:val="nil"/>
              <w:left w:val="nil"/>
              <w:bottom w:val="nil"/>
              <w:right w:val="nil"/>
            </w:tcBorders>
            <w:shd w:val="clear" w:color="auto" w:fill="auto"/>
            <w:noWrap/>
            <w:vAlign w:val="bottom"/>
            <w:hideMark/>
          </w:tcPr>
          <w:p w14:paraId="017E3C6F" w14:textId="77777777" w:rsidR="00037A28" w:rsidRPr="00F7132F" w:rsidRDefault="00037A28" w:rsidP="00037A28">
            <w:pPr>
              <w:spacing w:after="0" w:line="240" w:lineRule="auto"/>
              <w:jc w:val="center"/>
              <w:rPr>
                <w:rFonts w:ascii="Verdana" w:eastAsia="Times New Roman" w:hAnsi="Verdana" w:cs="Calibri"/>
                <w:b/>
                <w:bCs/>
                <w:sz w:val="18"/>
                <w:szCs w:val="18"/>
                <w:lang w:eastAsia="pt-BR"/>
              </w:rPr>
            </w:pPr>
          </w:p>
        </w:tc>
        <w:tc>
          <w:tcPr>
            <w:tcW w:w="1807" w:type="dxa"/>
            <w:tcBorders>
              <w:top w:val="nil"/>
              <w:left w:val="nil"/>
              <w:bottom w:val="single" w:sz="4" w:space="0" w:color="auto"/>
              <w:right w:val="nil"/>
            </w:tcBorders>
            <w:shd w:val="clear" w:color="auto" w:fill="auto"/>
            <w:noWrap/>
            <w:vAlign w:val="bottom"/>
            <w:hideMark/>
          </w:tcPr>
          <w:p w14:paraId="62E11D87" w14:textId="77777777" w:rsidR="00037A28" w:rsidRPr="00F7132F" w:rsidRDefault="00037A28" w:rsidP="00037A28">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Consolidado</w:t>
            </w:r>
          </w:p>
        </w:tc>
      </w:tr>
      <w:tr w:rsidR="00037A28" w:rsidRPr="00116729" w14:paraId="409789A9" w14:textId="77777777" w:rsidTr="00037A28">
        <w:trPr>
          <w:trHeight w:val="53"/>
        </w:trPr>
        <w:tc>
          <w:tcPr>
            <w:tcW w:w="5138" w:type="dxa"/>
            <w:tcBorders>
              <w:top w:val="nil"/>
              <w:left w:val="nil"/>
              <w:bottom w:val="nil"/>
              <w:right w:val="nil"/>
            </w:tcBorders>
            <w:shd w:val="clear" w:color="auto" w:fill="auto"/>
            <w:noWrap/>
            <w:vAlign w:val="center"/>
            <w:hideMark/>
          </w:tcPr>
          <w:p w14:paraId="59D1E787" w14:textId="77777777" w:rsidR="00037A28" w:rsidRPr="00F7132F" w:rsidRDefault="00037A28" w:rsidP="00037A28">
            <w:pPr>
              <w:spacing w:after="0" w:line="240" w:lineRule="auto"/>
              <w:jc w:val="center"/>
              <w:rPr>
                <w:rFonts w:ascii="Verdana" w:eastAsia="Times New Roman" w:hAnsi="Verdana" w:cs="Calibri"/>
                <w:b/>
                <w:bCs/>
                <w:sz w:val="18"/>
                <w:szCs w:val="18"/>
                <w:lang w:eastAsia="pt-BR"/>
              </w:rPr>
            </w:pPr>
          </w:p>
        </w:tc>
        <w:tc>
          <w:tcPr>
            <w:tcW w:w="222" w:type="dxa"/>
            <w:tcBorders>
              <w:top w:val="nil"/>
              <w:left w:val="nil"/>
              <w:bottom w:val="nil"/>
              <w:right w:val="nil"/>
            </w:tcBorders>
            <w:shd w:val="clear" w:color="auto" w:fill="auto"/>
            <w:noWrap/>
            <w:vAlign w:val="center"/>
            <w:hideMark/>
          </w:tcPr>
          <w:p w14:paraId="64ABFD55" w14:textId="77777777" w:rsidR="00037A28" w:rsidRPr="00116729" w:rsidRDefault="00037A28" w:rsidP="00037A28">
            <w:pPr>
              <w:spacing w:after="0" w:line="240" w:lineRule="auto"/>
              <w:rPr>
                <w:rFonts w:ascii="Times New Roman" w:eastAsia="Times New Roman" w:hAnsi="Times New Roman" w:cs="Times New Roman"/>
                <w:sz w:val="20"/>
                <w:szCs w:val="20"/>
                <w:lang w:eastAsia="pt-BR"/>
              </w:rPr>
            </w:pPr>
          </w:p>
        </w:tc>
        <w:tc>
          <w:tcPr>
            <w:tcW w:w="1807" w:type="dxa"/>
            <w:tcBorders>
              <w:top w:val="nil"/>
              <w:left w:val="nil"/>
              <w:bottom w:val="single" w:sz="4" w:space="0" w:color="auto"/>
              <w:right w:val="nil"/>
            </w:tcBorders>
            <w:shd w:val="clear" w:color="auto" w:fill="auto"/>
            <w:noWrap/>
            <w:vAlign w:val="center"/>
            <w:hideMark/>
          </w:tcPr>
          <w:p w14:paraId="3522972C" w14:textId="77777777" w:rsidR="00037A28" w:rsidRPr="00F7132F" w:rsidRDefault="00037A28" w:rsidP="00037A28">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30/06/2022</w:t>
            </w:r>
          </w:p>
        </w:tc>
        <w:tc>
          <w:tcPr>
            <w:tcW w:w="222" w:type="dxa"/>
            <w:tcBorders>
              <w:top w:val="nil"/>
              <w:left w:val="nil"/>
              <w:bottom w:val="nil"/>
              <w:right w:val="nil"/>
            </w:tcBorders>
            <w:shd w:val="clear" w:color="auto" w:fill="auto"/>
            <w:noWrap/>
            <w:vAlign w:val="center"/>
            <w:hideMark/>
          </w:tcPr>
          <w:p w14:paraId="0B0E3F0A" w14:textId="77777777" w:rsidR="00037A28" w:rsidRPr="00F7132F" w:rsidRDefault="00037A28" w:rsidP="00037A28">
            <w:pPr>
              <w:spacing w:after="0" w:line="240" w:lineRule="auto"/>
              <w:jc w:val="center"/>
              <w:rPr>
                <w:rFonts w:ascii="Verdana" w:eastAsia="Times New Roman" w:hAnsi="Verdana" w:cs="Calibri"/>
                <w:b/>
                <w:bCs/>
                <w:sz w:val="18"/>
                <w:szCs w:val="18"/>
                <w:lang w:eastAsia="pt-BR"/>
              </w:rPr>
            </w:pPr>
          </w:p>
        </w:tc>
        <w:tc>
          <w:tcPr>
            <w:tcW w:w="1807" w:type="dxa"/>
            <w:tcBorders>
              <w:top w:val="nil"/>
              <w:left w:val="nil"/>
              <w:bottom w:val="single" w:sz="4" w:space="0" w:color="auto"/>
              <w:right w:val="nil"/>
            </w:tcBorders>
            <w:shd w:val="clear" w:color="auto" w:fill="auto"/>
            <w:noWrap/>
            <w:vAlign w:val="center"/>
            <w:hideMark/>
          </w:tcPr>
          <w:p w14:paraId="3C95241F" w14:textId="77777777" w:rsidR="00037A28" w:rsidRPr="00F7132F" w:rsidRDefault="00037A28" w:rsidP="00037A28">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30/06/2022</w:t>
            </w:r>
          </w:p>
        </w:tc>
      </w:tr>
      <w:tr w:rsidR="00037A28" w:rsidRPr="00116729" w14:paraId="0EFDC642" w14:textId="77777777" w:rsidTr="00F7132F">
        <w:trPr>
          <w:trHeight w:val="53"/>
        </w:trPr>
        <w:tc>
          <w:tcPr>
            <w:tcW w:w="5138" w:type="dxa"/>
            <w:tcBorders>
              <w:top w:val="nil"/>
              <w:left w:val="nil"/>
              <w:bottom w:val="nil"/>
              <w:right w:val="nil"/>
            </w:tcBorders>
            <w:shd w:val="clear" w:color="auto" w:fill="auto"/>
            <w:noWrap/>
            <w:vAlign w:val="center"/>
            <w:hideMark/>
          </w:tcPr>
          <w:p w14:paraId="1088EE6A" w14:textId="77777777" w:rsidR="00037A28" w:rsidRPr="00F7132F" w:rsidRDefault="00037A28" w:rsidP="00037A28">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22" w:type="dxa"/>
            <w:tcBorders>
              <w:top w:val="nil"/>
              <w:left w:val="nil"/>
              <w:bottom w:val="nil"/>
              <w:right w:val="nil"/>
            </w:tcBorders>
            <w:shd w:val="clear" w:color="auto" w:fill="auto"/>
            <w:noWrap/>
            <w:vAlign w:val="center"/>
            <w:hideMark/>
          </w:tcPr>
          <w:p w14:paraId="702F2010" w14:textId="77777777" w:rsidR="00037A28" w:rsidRPr="00F7132F" w:rsidRDefault="00037A28" w:rsidP="00037A28">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07" w:type="dxa"/>
            <w:tcBorders>
              <w:top w:val="nil"/>
              <w:left w:val="nil"/>
              <w:bottom w:val="nil"/>
              <w:right w:val="nil"/>
            </w:tcBorders>
            <w:shd w:val="clear" w:color="auto" w:fill="auto"/>
            <w:noWrap/>
            <w:vAlign w:val="center"/>
            <w:hideMark/>
          </w:tcPr>
          <w:p w14:paraId="5AEDF18F" w14:textId="77777777" w:rsidR="00037A28" w:rsidRPr="00F7132F" w:rsidRDefault="00037A28" w:rsidP="00037A28">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22" w:type="dxa"/>
            <w:tcBorders>
              <w:top w:val="nil"/>
              <w:left w:val="nil"/>
              <w:bottom w:val="nil"/>
              <w:right w:val="nil"/>
            </w:tcBorders>
            <w:shd w:val="clear" w:color="auto" w:fill="auto"/>
            <w:noWrap/>
            <w:vAlign w:val="center"/>
            <w:hideMark/>
          </w:tcPr>
          <w:p w14:paraId="7558DC94" w14:textId="77777777" w:rsidR="00037A28" w:rsidRPr="00F7132F" w:rsidRDefault="00037A28" w:rsidP="00037A28">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07" w:type="dxa"/>
            <w:tcBorders>
              <w:top w:val="nil"/>
              <w:left w:val="nil"/>
              <w:bottom w:val="nil"/>
              <w:right w:val="nil"/>
            </w:tcBorders>
            <w:shd w:val="clear" w:color="auto" w:fill="auto"/>
            <w:noWrap/>
            <w:vAlign w:val="center"/>
            <w:hideMark/>
          </w:tcPr>
          <w:p w14:paraId="6D130D9A" w14:textId="77777777" w:rsidR="00037A28" w:rsidRPr="00F7132F" w:rsidRDefault="00037A28" w:rsidP="00037A28">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r>
      <w:tr w:rsidR="00037A28" w:rsidRPr="00116729" w14:paraId="42FA25A7" w14:textId="77777777" w:rsidTr="00037A28">
        <w:trPr>
          <w:trHeight w:val="53"/>
        </w:trPr>
        <w:tc>
          <w:tcPr>
            <w:tcW w:w="5138" w:type="dxa"/>
            <w:tcBorders>
              <w:top w:val="nil"/>
              <w:left w:val="nil"/>
              <w:bottom w:val="nil"/>
              <w:right w:val="nil"/>
            </w:tcBorders>
            <w:shd w:val="clear" w:color="auto" w:fill="auto"/>
            <w:noWrap/>
            <w:vAlign w:val="center"/>
            <w:hideMark/>
          </w:tcPr>
          <w:p w14:paraId="38AB8873" w14:textId="77777777" w:rsidR="00037A28" w:rsidRPr="00F7132F" w:rsidRDefault="00037A28" w:rsidP="00037A28">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Depósitos judiciais trabalhistas</w:t>
            </w:r>
          </w:p>
        </w:tc>
        <w:tc>
          <w:tcPr>
            <w:tcW w:w="222" w:type="dxa"/>
            <w:tcBorders>
              <w:top w:val="nil"/>
              <w:left w:val="nil"/>
              <w:bottom w:val="nil"/>
              <w:right w:val="nil"/>
            </w:tcBorders>
            <w:shd w:val="clear" w:color="auto" w:fill="auto"/>
            <w:noWrap/>
            <w:vAlign w:val="center"/>
            <w:hideMark/>
          </w:tcPr>
          <w:p w14:paraId="279E7FA4" w14:textId="77777777" w:rsidR="00037A28" w:rsidRPr="00F7132F" w:rsidRDefault="00037A28" w:rsidP="00037A28">
            <w:pPr>
              <w:spacing w:after="0" w:line="240" w:lineRule="auto"/>
              <w:rPr>
                <w:rFonts w:ascii="Verdana" w:eastAsia="Times New Roman" w:hAnsi="Verdana" w:cs="Calibri"/>
                <w:sz w:val="18"/>
                <w:szCs w:val="18"/>
                <w:lang w:eastAsia="pt-BR"/>
              </w:rPr>
            </w:pPr>
          </w:p>
        </w:tc>
        <w:tc>
          <w:tcPr>
            <w:tcW w:w="1807" w:type="dxa"/>
            <w:tcBorders>
              <w:top w:val="nil"/>
              <w:left w:val="nil"/>
              <w:bottom w:val="nil"/>
              <w:right w:val="nil"/>
            </w:tcBorders>
            <w:shd w:val="clear" w:color="auto" w:fill="auto"/>
            <w:noWrap/>
            <w:vAlign w:val="center"/>
            <w:hideMark/>
          </w:tcPr>
          <w:p w14:paraId="06938495" w14:textId="77777777" w:rsidR="00037A28" w:rsidRPr="00F7132F" w:rsidRDefault="00037A28" w:rsidP="00037A28">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222" w:type="dxa"/>
            <w:tcBorders>
              <w:top w:val="nil"/>
              <w:left w:val="nil"/>
              <w:bottom w:val="nil"/>
              <w:right w:val="nil"/>
            </w:tcBorders>
            <w:shd w:val="clear" w:color="auto" w:fill="auto"/>
            <w:noWrap/>
            <w:vAlign w:val="center"/>
            <w:hideMark/>
          </w:tcPr>
          <w:p w14:paraId="6451FEF9" w14:textId="77777777" w:rsidR="00037A28" w:rsidRPr="00F7132F" w:rsidRDefault="00037A28" w:rsidP="00037A28">
            <w:pPr>
              <w:spacing w:after="0" w:line="240" w:lineRule="auto"/>
              <w:jc w:val="right"/>
              <w:rPr>
                <w:rFonts w:ascii="Verdana" w:eastAsia="Times New Roman" w:hAnsi="Verdana" w:cs="Calibri"/>
                <w:sz w:val="18"/>
                <w:szCs w:val="18"/>
                <w:lang w:eastAsia="pt-BR"/>
              </w:rPr>
            </w:pPr>
          </w:p>
        </w:tc>
        <w:tc>
          <w:tcPr>
            <w:tcW w:w="1807" w:type="dxa"/>
            <w:tcBorders>
              <w:top w:val="nil"/>
              <w:left w:val="nil"/>
              <w:bottom w:val="nil"/>
              <w:right w:val="nil"/>
            </w:tcBorders>
            <w:shd w:val="clear" w:color="auto" w:fill="auto"/>
            <w:noWrap/>
            <w:vAlign w:val="center"/>
            <w:hideMark/>
          </w:tcPr>
          <w:p w14:paraId="38AF9529" w14:textId="77777777" w:rsidR="00037A28" w:rsidRPr="00F7132F" w:rsidRDefault="00037A28" w:rsidP="00037A28">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42.439 </w:t>
            </w:r>
          </w:p>
        </w:tc>
      </w:tr>
      <w:tr w:rsidR="00037A28" w:rsidRPr="00116729" w14:paraId="266297D9" w14:textId="77777777" w:rsidTr="00F7132F">
        <w:trPr>
          <w:trHeight w:val="53"/>
        </w:trPr>
        <w:tc>
          <w:tcPr>
            <w:tcW w:w="5138" w:type="dxa"/>
            <w:tcBorders>
              <w:top w:val="nil"/>
              <w:left w:val="nil"/>
              <w:bottom w:val="nil"/>
              <w:right w:val="nil"/>
            </w:tcBorders>
            <w:shd w:val="clear" w:color="auto" w:fill="auto"/>
            <w:noWrap/>
            <w:vAlign w:val="center"/>
            <w:hideMark/>
          </w:tcPr>
          <w:p w14:paraId="118356C1" w14:textId="77777777" w:rsidR="00037A28" w:rsidRPr="00F7132F" w:rsidRDefault="00037A28" w:rsidP="00037A28">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Depósitos judiciais cíveis</w:t>
            </w:r>
          </w:p>
        </w:tc>
        <w:tc>
          <w:tcPr>
            <w:tcW w:w="222" w:type="dxa"/>
            <w:tcBorders>
              <w:top w:val="nil"/>
              <w:left w:val="nil"/>
              <w:bottom w:val="nil"/>
              <w:right w:val="nil"/>
            </w:tcBorders>
            <w:shd w:val="clear" w:color="auto" w:fill="auto"/>
            <w:noWrap/>
            <w:vAlign w:val="center"/>
            <w:hideMark/>
          </w:tcPr>
          <w:p w14:paraId="76A3F0D8" w14:textId="77777777" w:rsidR="00037A28" w:rsidRPr="00F7132F" w:rsidRDefault="00037A28" w:rsidP="00037A28">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07" w:type="dxa"/>
            <w:tcBorders>
              <w:top w:val="nil"/>
              <w:left w:val="nil"/>
              <w:bottom w:val="nil"/>
              <w:right w:val="nil"/>
            </w:tcBorders>
            <w:shd w:val="clear" w:color="auto" w:fill="auto"/>
            <w:noWrap/>
            <w:vAlign w:val="center"/>
            <w:hideMark/>
          </w:tcPr>
          <w:p w14:paraId="0A5B7A4B" w14:textId="77777777" w:rsidR="00037A28" w:rsidRPr="00F7132F" w:rsidRDefault="00037A28" w:rsidP="00037A28">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222" w:type="dxa"/>
            <w:tcBorders>
              <w:top w:val="nil"/>
              <w:left w:val="nil"/>
              <w:bottom w:val="nil"/>
              <w:right w:val="nil"/>
            </w:tcBorders>
            <w:shd w:val="clear" w:color="auto" w:fill="auto"/>
            <w:noWrap/>
            <w:vAlign w:val="center"/>
            <w:hideMark/>
          </w:tcPr>
          <w:p w14:paraId="726F5168" w14:textId="77777777" w:rsidR="00037A28" w:rsidRPr="00F7132F" w:rsidRDefault="00037A28" w:rsidP="00037A28">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07" w:type="dxa"/>
            <w:tcBorders>
              <w:top w:val="nil"/>
              <w:left w:val="nil"/>
              <w:bottom w:val="nil"/>
              <w:right w:val="nil"/>
            </w:tcBorders>
            <w:shd w:val="clear" w:color="auto" w:fill="auto"/>
            <w:noWrap/>
            <w:vAlign w:val="center"/>
            <w:hideMark/>
          </w:tcPr>
          <w:p w14:paraId="3392EB88" w14:textId="77777777" w:rsidR="00037A28" w:rsidRPr="00F7132F" w:rsidRDefault="00037A28" w:rsidP="00037A28">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81 </w:t>
            </w:r>
          </w:p>
        </w:tc>
      </w:tr>
      <w:tr w:rsidR="00037A28" w:rsidRPr="00116729" w14:paraId="7CEA4374" w14:textId="77777777" w:rsidTr="00037A28">
        <w:trPr>
          <w:trHeight w:val="53"/>
        </w:trPr>
        <w:tc>
          <w:tcPr>
            <w:tcW w:w="5138" w:type="dxa"/>
            <w:tcBorders>
              <w:top w:val="nil"/>
              <w:left w:val="nil"/>
              <w:bottom w:val="nil"/>
              <w:right w:val="nil"/>
            </w:tcBorders>
            <w:shd w:val="clear" w:color="auto" w:fill="auto"/>
            <w:noWrap/>
            <w:vAlign w:val="center"/>
            <w:hideMark/>
          </w:tcPr>
          <w:p w14:paraId="2F6838B3" w14:textId="77777777" w:rsidR="00037A28" w:rsidRPr="00F7132F" w:rsidRDefault="00037A28" w:rsidP="00037A28">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Depósitos judiciais tributários</w:t>
            </w:r>
          </w:p>
        </w:tc>
        <w:tc>
          <w:tcPr>
            <w:tcW w:w="222" w:type="dxa"/>
            <w:tcBorders>
              <w:top w:val="nil"/>
              <w:left w:val="nil"/>
              <w:bottom w:val="nil"/>
              <w:right w:val="nil"/>
            </w:tcBorders>
            <w:shd w:val="clear" w:color="auto" w:fill="auto"/>
            <w:noWrap/>
            <w:vAlign w:val="center"/>
            <w:hideMark/>
          </w:tcPr>
          <w:p w14:paraId="4C53EED6" w14:textId="77777777" w:rsidR="00037A28" w:rsidRPr="00F7132F" w:rsidRDefault="00037A28" w:rsidP="00037A28">
            <w:pPr>
              <w:spacing w:after="0" w:line="240" w:lineRule="auto"/>
              <w:rPr>
                <w:rFonts w:ascii="Verdana" w:eastAsia="Times New Roman" w:hAnsi="Verdana" w:cs="Calibri"/>
                <w:sz w:val="18"/>
                <w:szCs w:val="18"/>
                <w:lang w:eastAsia="pt-BR"/>
              </w:rPr>
            </w:pPr>
          </w:p>
        </w:tc>
        <w:tc>
          <w:tcPr>
            <w:tcW w:w="1807" w:type="dxa"/>
            <w:tcBorders>
              <w:top w:val="nil"/>
              <w:left w:val="nil"/>
              <w:bottom w:val="nil"/>
              <w:right w:val="nil"/>
            </w:tcBorders>
            <w:shd w:val="clear" w:color="auto" w:fill="auto"/>
            <w:noWrap/>
            <w:vAlign w:val="center"/>
            <w:hideMark/>
          </w:tcPr>
          <w:p w14:paraId="4AFE7057" w14:textId="77777777" w:rsidR="00037A28" w:rsidRPr="00F7132F" w:rsidRDefault="00037A28" w:rsidP="00037A28">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222" w:type="dxa"/>
            <w:tcBorders>
              <w:top w:val="nil"/>
              <w:left w:val="nil"/>
              <w:bottom w:val="nil"/>
              <w:right w:val="nil"/>
            </w:tcBorders>
            <w:shd w:val="clear" w:color="auto" w:fill="auto"/>
            <w:noWrap/>
            <w:vAlign w:val="center"/>
            <w:hideMark/>
          </w:tcPr>
          <w:p w14:paraId="1E28A953" w14:textId="77777777" w:rsidR="00037A28" w:rsidRPr="00F7132F" w:rsidRDefault="00037A28" w:rsidP="00037A28">
            <w:pPr>
              <w:spacing w:after="0" w:line="240" w:lineRule="auto"/>
              <w:jc w:val="right"/>
              <w:rPr>
                <w:rFonts w:ascii="Verdana" w:eastAsia="Times New Roman" w:hAnsi="Verdana" w:cs="Calibri"/>
                <w:sz w:val="18"/>
                <w:szCs w:val="18"/>
                <w:lang w:eastAsia="pt-BR"/>
              </w:rPr>
            </w:pPr>
          </w:p>
        </w:tc>
        <w:tc>
          <w:tcPr>
            <w:tcW w:w="1807" w:type="dxa"/>
            <w:tcBorders>
              <w:top w:val="nil"/>
              <w:left w:val="nil"/>
              <w:bottom w:val="nil"/>
              <w:right w:val="nil"/>
            </w:tcBorders>
            <w:shd w:val="clear" w:color="auto" w:fill="auto"/>
            <w:noWrap/>
            <w:vAlign w:val="center"/>
            <w:hideMark/>
          </w:tcPr>
          <w:p w14:paraId="18F4A853" w14:textId="77777777" w:rsidR="00037A28" w:rsidRPr="00F7132F" w:rsidRDefault="00037A28" w:rsidP="00037A28">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13.319 </w:t>
            </w:r>
          </w:p>
        </w:tc>
      </w:tr>
      <w:tr w:rsidR="00037A28" w:rsidRPr="00116729" w14:paraId="591CA004" w14:textId="77777777" w:rsidTr="00F7132F">
        <w:trPr>
          <w:trHeight w:val="53"/>
        </w:trPr>
        <w:tc>
          <w:tcPr>
            <w:tcW w:w="5138" w:type="dxa"/>
            <w:tcBorders>
              <w:top w:val="nil"/>
              <w:left w:val="nil"/>
              <w:bottom w:val="nil"/>
              <w:right w:val="nil"/>
            </w:tcBorders>
            <w:shd w:val="clear" w:color="auto" w:fill="auto"/>
            <w:noWrap/>
            <w:vAlign w:val="center"/>
            <w:hideMark/>
          </w:tcPr>
          <w:p w14:paraId="422AA809" w14:textId="77777777" w:rsidR="00037A28" w:rsidRPr="00F7132F" w:rsidRDefault="00037A28" w:rsidP="00037A28">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22" w:type="dxa"/>
            <w:tcBorders>
              <w:top w:val="nil"/>
              <w:left w:val="nil"/>
              <w:bottom w:val="nil"/>
              <w:right w:val="nil"/>
            </w:tcBorders>
            <w:shd w:val="clear" w:color="auto" w:fill="auto"/>
            <w:noWrap/>
            <w:vAlign w:val="center"/>
            <w:hideMark/>
          </w:tcPr>
          <w:p w14:paraId="797D3483" w14:textId="77777777" w:rsidR="00037A28" w:rsidRPr="00F7132F" w:rsidRDefault="00037A28" w:rsidP="00037A28">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07" w:type="dxa"/>
            <w:tcBorders>
              <w:top w:val="single" w:sz="4" w:space="0" w:color="auto"/>
              <w:left w:val="nil"/>
              <w:bottom w:val="double" w:sz="6" w:space="0" w:color="auto"/>
              <w:right w:val="nil"/>
            </w:tcBorders>
            <w:shd w:val="clear" w:color="auto" w:fill="auto"/>
            <w:noWrap/>
            <w:vAlign w:val="center"/>
            <w:hideMark/>
          </w:tcPr>
          <w:p w14:paraId="53547E39" w14:textId="77777777" w:rsidR="00037A28" w:rsidRPr="00F7132F" w:rsidRDefault="00037A28" w:rsidP="00037A28">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xml:space="preserve">                     -   </w:t>
            </w:r>
          </w:p>
        </w:tc>
        <w:tc>
          <w:tcPr>
            <w:tcW w:w="222" w:type="dxa"/>
            <w:tcBorders>
              <w:top w:val="nil"/>
              <w:left w:val="nil"/>
              <w:bottom w:val="nil"/>
              <w:right w:val="nil"/>
            </w:tcBorders>
            <w:shd w:val="clear" w:color="auto" w:fill="auto"/>
            <w:noWrap/>
            <w:vAlign w:val="center"/>
            <w:hideMark/>
          </w:tcPr>
          <w:p w14:paraId="6B7B3BA1" w14:textId="77777777" w:rsidR="00037A28" w:rsidRPr="00F7132F" w:rsidRDefault="00037A28" w:rsidP="00037A28">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07" w:type="dxa"/>
            <w:tcBorders>
              <w:top w:val="single" w:sz="4" w:space="0" w:color="auto"/>
              <w:left w:val="nil"/>
              <w:bottom w:val="double" w:sz="6" w:space="0" w:color="auto"/>
              <w:right w:val="nil"/>
            </w:tcBorders>
            <w:shd w:val="clear" w:color="auto" w:fill="auto"/>
            <w:noWrap/>
            <w:vAlign w:val="center"/>
            <w:hideMark/>
          </w:tcPr>
          <w:p w14:paraId="71AB710B" w14:textId="77777777" w:rsidR="00037A28" w:rsidRPr="00F7132F" w:rsidRDefault="00037A28" w:rsidP="00037A28">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xml:space="preserve">            55.839 </w:t>
            </w:r>
          </w:p>
        </w:tc>
      </w:tr>
    </w:tbl>
    <w:p w14:paraId="3A339E62" w14:textId="77777777" w:rsidR="00DE1EA6" w:rsidRDefault="00DE1EA6" w:rsidP="00EC09C0">
      <w:pPr>
        <w:rPr>
          <w:rFonts w:ascii="Verdana" w:hAnsi="Verdana" w:cstheme="minorHAnsi"/>
          <w:b/>
          <w:bCs/>
        </w:rPr>
      </w:pPr>
    </w:p>
    <w:p w14:paraId="694FE2C7" w14:textId="77777777" w:rsidR="007B7A68" w:rsidRDefault="007B7A68">
      <w:pPr>
        <w:rPr>
          <w:rFonts w:ascii="Verdana" w:hAnsi="Verdana" w:cstheme="minorHAnsi"/>
          <w:b/>
          <w:bCs/>
        </w:rPr>
      </w:pPr>
      <w:r>
        <w:rPr>
          <w:rFonts w:ascii="Verdana" w:hAnsi="Verdana" w:cstheme="minorHAnsi"/>
          <w:b/>
          <w:bCs/>
        </w:rPr>
        <w:br w:type="page"/>
      </w:r>
    </w:p>
    <w:p w14:paraId="38BBC994" w14:textId="77777777" w:rsidR="00EC09C0" w:rsidRPr="00F7132F" w:rsidRDefault="00581D1F" w:rsidP="00EC09C0">
      <w:pPr>
        <w:rPr>
          <w:rFonts w:ascii="Verdana" w:hAnsi="Verdana" w:cstheme="minorHAnsi"/>
          <w:b/>
          <w:bCs/>
        </w:rPr>
      </w:pPr>
      <w:r>
        <w:rPr>
          <w:rFonts w:ascii="Verdana" w:hAnsi="Verdana" w:cstheme="minorHAnsi"/>
          <w:b/>
          <w:bCs/>
        </w:rPr>
        <w:lastRenderedPageBreak/>
        <w:t>19</w:t>
      </w:r>
      <w:r w:rsidR="00EC09C0" w:rsidRPr="00F7132F">
        <w:rPr>
          <w:rFonts w:ascii="Verdana" w:hAnsi="Verdana" w:cstheme="minorHAnsi"/>
          <w:b/>
          <w:bCs/>
        </w:rPr>
        <w:t>.3 – Passivos Contingentes</w:t>
      </w:r>
    </w:p>
    <w:p w14:paraId="17311214" w14:textId="77777777" w:rsidR="00AD5C2E" w:rsidRDefault="00EC09C0" w:rsidP="00720E7B">
      <w:pPr>
        <w:rPr>
          <w:rFonts w:ascii="Verdana" w:hAnsi="Verdana" w:cstheme="minorHAnsi"/>
          <w:shd w:val="clear" w:color="auto" w:fill="FFFFFF"/>
        </w:rPr>
      </w:pPr>
      <w:r w:rsidRPr="003072B4">
        <w:rPr>
          <w:rFonts w:ascii="Verdana" w:hAnsi="Verdana" w:cstheme="minorHAnsi"/>
          <w:shd w:val="clear" w:color="auto" w:fill="FFFFFF"/>
        </w:rPr>
        <w:t xml:space="preserve">Adicionalmente, a </w:t>
      </w:r>
      <w:r w:rsidR="00514AA2" w:rsidRPr="003072B4">
        <w:rPr>
          <w:rFonts w:ascii="Verdana" w:hAnsi="Verdana" w:cstheme="minorHAnsi"/>
          <w:shd w:val="clear" w:color="auto" w:fill="FFFFFF"/>
        </w:rPr>
        <w:t>controlada Eletronuclear</w:t>
      </w:r>
      <w:r w:rsidRPr="003072B4">
        <w:rPr>
          <w:rFonts w:ascii="Verdana" w:hAnsi="Verdana" w:cstheme="minorHAnsi"/>
          <w:shd w:val="clear" w:color="auto" w:fill="FFFFFF"/>
        </w:rPr>
        <w:t xml:space="preserve"> possui processos avaliados com perda possível</w:t>
      </w:r>
      <w:r w:rsidRPr="00116729">
        <w:rPr>
          <w:rFonts w:ascii="Verdana" w:hAnsi="Verdana" w:cstheme="minorHAnsi"/>
          <w:shd w:val="clear" w:color="auto" w:fill="FFFFFF"/>
        </w:rPr>
        <w:t xml:space="preserve"> nos seguintes montantes:</w:t>
      </w:r>
    </w:p>
    <w:tbl>
      <w:tblPr>
        <w:tblW w:w="8871" w:type="dxa"/>
        <w:tblCellMar>
          <w:left w:w="70" w:type="dxa"/>
          <w:right w:w="70" w:type="dxa"/>
        </w:tblCellMar>
        <w:tblLook w:val="04A0" w:firstRow="1" w:lastRow="0" w:firstColumn="1" w:lastColumn="0" w:noHBand="0" w:noVBand="1"/>
      </w:tblPr>
      <w:tblGrid>
        <w:gridCol w:w="4957"/>
        <w:gridCol w:w="214"/>
        <w:gridCol w:w="1743"/>
        <w:gridCol w:w="214"/>
        <w:gridCol w:w="1743"/>
      </w:tblGrid>
      <w:tr w:rsidR="00ED5988" w:rsidRPr="00116729" w14:paraId="734CFEA8" w14:textId="77777777" w:rsidTr="00027C0C">
        <w:trPr>
          <w:trHeight w:val="20"/>
        </w:trPr>
        <w:tc>
          <w:tcPr>
            <w:tcW w:w="4957" w:type="dxa"/>
            <w:tcBorders>
              <w:top w:val="nil"/>
              <w:left w:val="nil"/>
              <w:bottom w:val="nil"/>
              <w:right w:val="nil"/>
            </w:tcBorders>
            <w:shd w:val="clear" w:color="auto" w:fill="auto"/>
            <w:noWrap/>
            <w:vAlign w:val="bottom"/>
            <w:hideMark/>
          </w:tcPr>
          <w:p w14:paraId="508F3E8A" w14:textId="77777777" w:rsidR="00ED5988" w:rsidRPr="00116729" w:rsidRDefault="00ED5988" w:rsidP="00027C0C">
            <w:pPr>
              <w:spacing w:after="0" w:line="240" w:lineRule="auto"/>
              <w:rPr>
                <w:rFonts w:ascii="Times New Roman" w:eastAsia="Times New Roman" w:hAnsi="Times New Roman" w:cs="Times New Roman"/>
                <w:sz w:val="24"/>
                <w:szCs w:val="24"/>
                <w:lang w:eastAsia="pt-BR"/>
              </w:rPr>
            </w:pPr>
          </w:p>
        </w:tc>
        <w:tc>
          <w:tcPr>
            <w:tcW w:w="214" w:type="dxa"/>
            <w:tcBorders>
              <w:top w:val="nil"/>
              <w:left w:val="nil"/>
              <w:bottom w:val="nil"/>
              <w:right w:val="nil"/>
            </w:tcBorders>
            <w:shd w:val="clear" w:color="auto" w:fill="auto"/>
            <w:noWrap/>
            <w:vAlign w:val="bottom"/>
            <w:hideMark/>
          </w:tcPr>
          <w:p w14:paraId="225F1398" w14:textId="77777777" w:rsidR="00ED5988" w:rsidRPr="00116729" w:rsidRDefault="00ED5988" w:rsidP="00027C0C">
            <w:pPr>
              <w:spacing w:after="0" w:line="240" w:lineRule="auto"/>
              <w:rPr>
                <w:rFonts w:ascii="Times New Roman" w:eastAsia="Times New Roman" w:hAnsi="Times New Roman" w:cs="Times New Roman"/>
                <w:sz w:val="20"/>
                <w:szCs w:val="20"/>
                <w:lang w:eastAsia="pt-BR"/>
              </w:rPr>
            </w:pPr>
          </w:p>
        </w:tc>
        <w:tc>
          <w:tcPr>
            <w:tcW w:w="1743" w:type="dxa"/>
            <w:tcBorders>
              <w:top w:val="nil"/>
              <w:left w:val="nil"/>
              <w:bottom w:val="single" w:sz="4" w:space="0" w:color="auto"/>
              <w:right w:val="nil"/>
            </w:tcBorders>
            <w:shd w:val="clear" w:color="auto" w:fill="auto"/>
            <w:noWrap/>
            <w:vAlign w:val="bottom"/>
            <w:hideMark/>
          </w:tcPr>
          <w:p w14:paraId="347F716E" w14:textId="77777777" w:rsidR="00ED5988" w:rsidRPr="00F7132F" w:rsidRDefault="00ED5988" w:rsidP="00027C0C">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Controladora</w:t>
            </w:r>
          </w:p>
        </w:tc>
        <w:tc>
          <w:tcPr>
            <w:tcW w:w="214" w:type="dxa"/>
            <w:tcBorders>
              <w:top w:val="nil"/>
              <w:left w:val="nil"/>
              <w:bottom w:val="nil"/>
              <w:right w:val="nil"/>
            </w:tcBorders>
            <w:shd w:val="clear" w:color="auto" w:fill="auto"/>
            <w:noWrap/>
            <w:vAlign w:val="bottom"/>
            <w:hideMark/>
          </w:tcPr>
          <w:p w14:paraId="182F602E" w14:textId="77777777" w:rsidR="00ED5988" w:rsidRPr="00F7132F" w:rsidRDefault="00ED5988" w:rsidP="00027C0C">
            <w:pPr>
              <w:spacing w:after="0" w:line="240" w:lineRule="auto"/>
              <w:jc w:val="center"/>
              <w:rPr>
                <w:rFonts w:ascii="Verdana" w:eastAsia="Times New Roman" w:hAnsi="Verdana" w:cs="Calibri"/>
                <w:b/>
                <w:bCs/>
                <w:sz w:val="18"/>
                <w:szCs w:val="18"/>
                <w:lang w:eastAsia="pt-BR"/>
              </w:rPr>
            </w:pPr>
          </w:p>
        </w:tc>
        <w:tc>
          <w:tcPr>
            <w:tcW w:w="1743" w:type="dxa"/>
            <w:tcBorders>
              <w:top w:val="nil"/>
              <w:left w:val="nil"/>
              <w:bottom w:val="single" w:sz="4" w:space="0" w:color="auto"/>
              <w:right w:val="nil"/>
            </w:tcBorders>
            <w:shd w:val="clear" w:color="auto" w:fill="auto"/>
            <w:noWrap/>
            <w:vAlign w:val="bottom"/>
            <w:hideMark/>
          </w:tcPr>
          <w:p w14:paraId="6C8988AB" w14:textId="77777777" w:rsidR="00ED5988" w:rsidRPr="00F7132F" w:rsidRDefault="00ED5988" w:rsidP="00027C0C">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Consolidado</w:t>
            </w:r>
          </w:p>
        </w:tc>
      </w:tr>
      <w:tr w:rsidR="00ED5988" w:rsidRPr="00116729" w14:paraId="7FC68BB3" w14:textId="77777777" w:rsidTr="00027C0C">
        <w:trPr>
          <w:trHeight w:val="20"/>
        </w:trPr>
        <w:tc>
          <w:tcPr>
            <w:tcW w:w="4957" w:type="dxa"/>
            <w:tcBorders>
              <w:top w:val="nil"/>
              <w:left w:val="nil"/>
              <w:bottom w:val="nil"/>
              <w:right w:val="nil"/>
            </w:tcBorders>
            <w:shd w:val="clear" w:color="auto" w:fill="auto"/>
            <w:noWrap/>
            <w:vAlign w:val="center"/>
            <w:hideMark/>
          </w:tcPr>
          <w:p w14:paraId="6BD25AA8" w14:textId="77777777" w:rsidR="00ED5988" w:rsidRPr="00F7132F" w:rsidRDefault="00ED5988" w:rsidP="00027C0C">
            <w:pPr>
              <w:spacing w:after="0" w:line="240" w:lineRule="auto"/>
              <w:jc w:val="center"/>
              <w:rPr>
                <w:rFonts w:ascii="Verdana" w:eastAsia="Times New Roman" w:hAnsi="Verdana" w:cs="Calibri"/>
                <w:b/>
                <w:bCs/>
                <w:sz w:val="18"/>
                <w:szCs w:val="18"/>
                <w:lang w:eastAsia="pt-BR"/>
              </w:rPr>
            </w:pPr>
          </w:p>
        </w:tc>
        <w:tc>
          <w:tcPr>
            <w:tcW w:w="214" w:type="dxa"/>
            <w:tcBorders>
              <w:top w:val="nil"/>
              <w:left w:val="nil"/>
              <w:bottom w:val="nil"/>
              <w:right w:val="nil"/>
            </w:tcBorders>
            <w:shd w:val="clear" w:color="auto" w:fill="auto"/>
            <w:noWrap/>
            <w:vAlign w:val="center"/>
            <w:hideMark/>
          </w:tcPr>
          <w:p w14:paraId="7FECC0F5" w14:textId="77777777" w:rsidR="00ED5988" w:rsidRPr="00116729" w:rsidRDefault="00ED5988" w:rsidP="00027C0C">
            <w:pPr>
              <w:spacing w:after="0" w:line="240" w:lineRule="auto"/>
              <w:rPr>
                <w:rFonts w:ascii="Times New Roman" w:eastAsia="Times New Roman" w:hAnsi="Times New Roman" w:cs="Times New Roman"/>
                <w:sz w:val="20"/>
                <w:szCs w:val="20"/>
                <w:lang w:eastAsia="pt-BR"/>
              </w:rPr>
            </w:pPr>
          </w:p>
        </w:tc>
        <w:tc>
          <w:tcPr>
            <w:tcW w:w="1743" w:type="dxa"/>
            <w:tcBorders>
              <w:top w:val="nil"/>
              <w:left w:val="nil"/>
              <w:bottom w:val="single" w:sz="4" w:space="0" w:color="auto"/>
              <w:right w:val="nil"/>
            </w:tcBorders>
            <w:shd w:val="clear" w:color="auto" w:fill="auto"/>
            <w:noWrap/>
            <w:vAlign w:val="center"/>
            <w:hideMark/>
          </w:tcPr>
          <w:p w14:paraId="38B386CB" w14:textId="77777777" w:rsidR="00ED5988" w:rsidRPr="00F7132F" w:rsidRDefault="00ED5988" w:rsidP="00027C0C">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30/06/2022</w:t>
            </w:r>
          </w:p>
        </w:tc>
        <w:tc>
          <w:tcPr>
            <w:tcW w:w="214" w:type="dxa"/>
            <w:tcBorders>
              <w:top w:val="nil"/>
              <w:left w:val="nil"/>
              <w:bottom w:val="nil"/>
              <w:right w:val="nil"/>
            </w:tcBorders>
            <w:shd w:val="clear" w:color="auto" w:fill="auto"/>
            <w:noWrap/>
            <w:vAlign w:val="center"/>
            <w:hideMark/>
          </w:tcPr>
          <w:p w14:paraId="5A46E31A" w14:textId="77777777" w:rsidR="00ED5988" w:rsidRPr="00F7132F" w:rsidRDefault="00ED5988" w:rsidP="00027C0C">
            <w:pPr>
              <w:spacing w:after="0" w:line="240" w:lineRule="auto"/>
              <w:jc w:val="center"/>
              <w:rPr>
                <w:rFonts w:ascii="Verdana" w:eastAsia="Times New Roman" w:hAnsi="Verdana" w:cs="Calibri"/>
                <w:b/>
                <w:bCs/>
                <w:sz w:val="18"/>
                <w:szCs w:val="18"/>
                <w:lang w:eastAsia="pt-BR"/>
              </w:rPr>
            </w:pPr>
          </w:p>
        </w:tc>
        <w:tc>
          <w:tcPr>
            <w:tcW w:w="1743" w:type="dxa"/>
            <w:tcBorders>
              <w:top w:val="nil"/>
              <w:left w:val="nil"/>
              <w:bottom w:val="single" w:sz="4" w:space="0" w:color="auto"/>
              <w:right w:val="nil"/>
            </w:tcBorders>
            <w:shd w:val="clear" w:color="auto" w:fill="auto"/>
            <w:noWrap/>
            <w:vAlign w:val="center"/>
            <w:hideMark/>
          </w:tcPr>
          <w:p w14:paraId="6C832F9D" w14:textId="77777777" w:rsidR="00ED5988" w:rsidRPr="00F7132F" w:rsidRDefault="00ED5988" w:rsidP="00027C0C">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30/06/2022</w:t>
            </w:r>
          </w:p>
        </w:tc>
      </w:tr>
      <w:tr w:rsidR="00ED5988" w:rsidRPr="00116729" w14:paraId="3C1ADE9B" w14:textId="77777777" w:rsidTr="00027C0C">
        <w:trPr>
          <w:trHeight w:val="20"/>
        </w:trPr>
        <w:tc>
          <w:tcPr>
            <w:tcW w:w="4957" w:type="dxa"/>
            <w:tcBorders>
              <w:top w:val="nil"/>
              <w:left w:val="nil"/>
              <w:bottom w:val="nil"/>
              <w:right w:val="nil"/>
            </w:tcBorders>
            <w:shd w:val="clear" w:color="auto" w:fill="auto"/>
            <w:noWrap/>
            <w:vAlign w:val="center"/>
            <w:hideMark/>
          </w:tcPr>
          <w:p w14:paraId="7EEA40FE" w14:textId="77777777" w:rsidR="00ED5988" w:rsidRPr="00F7132F" w:rsidRDefault="00ED5988" w:rsidP="00027C0C">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14" w:type="dxa"/>
            <w:tcBorders>
              <w:top w:val="nil"/>
              <w:left w:val="nil"/>
              <w:bottom w:val="nil"/>
              <w:right w:val="nil"/>
            </w:tcBorders>
            <w:shd w:val="clear" w:color="auto" w:fill="auto"/>
            <w:noWrap/>
            <w:vAlign w:val="center"/>
            <w:hideMark/>
          </w:tcPr>
          <w:p w14:paraId="7BCC50EC" w14:textId="77777777" w:rsidR="00ED5988" w:rsidRPr="00F7132F" w:rsidRDefault="00ED5988" w:rsidP="00027C0C">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743" w:type="dxa"/>
            <w:tcBorders>
              <w:top w:val="nil"/>
              <w:left w:val="nil"/>
              <w:bottom w:val="nil"/>
              <w:right w:val="nil"/>
            </w:tcBorders>
            <w:shd w:val="clear" w:color="auto" w:fill="auto"/>
            <w:noWrap/>
            <w:vAlign w:val="center"/>
            <w:hideMark/>
          </w:tcPr>
          <w:p w14:paraId="6849694A" w14:textId="77777777" w:rsidR="00ED5988" w:rsidRPr="00F7132F" w:rsidRDefault="00ED5988" w:rsidP="00027C0C">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14" w:type="dxa"/>
            <w:tcBorders>
              <w:top w:val="nil"/>
              <w:left w:val="nil"/>
              <w:bottom w:val="nil"/>
              <w:right w:val="nil"/>
            </w:tcBorders>
            <w:shd w:val="clear" w:color="auto" w:fill="auto"/>
            <w:noWrap/>
            <w:vAlign w:val="center"/>
            <w:hideMark/>
          </w:tcPr>
          <w:p w14:paraId="635929F3" w14:textId="77777777" w:rsidR="00ED5988" w:rsidRPr="00F7132F" w:rsidRDefault="00ED5988" w:rsidP="00027C0C">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743" w:type="dxa"/>
            <w:tcBorders>
              <w:top w:val="nil"/>
              <w:left w:val="nil"/>
              <w:bottom w:val="nil"/>
              <w:right w:val="nil"/>
            </w:tcBorders>
            <w:shd w:val="clear" w:color="auto" w:fill="auto"/>
            <w:noWrap/>
            <w:vAlign w:val="center"/>
            <w:hideMark/>
          </w:tcPr>
          <w:p w14:paraId="6EAB48F5" w14:textId="77777777" w:rsidR="00ED5988" w:rsidRPr="00F7132F" w:rsidRDefault="00ED5988" w:rsidP="00027C0C">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r>
      <w:tr w:rsidR="00ED5988" w:rsidRPr="00116729" w14:paraId="76F63063" w14:textId="77777777" w:rsidTr="00027C0C">
        <w:trPr>
          <w:trHeight w:val="20"/>
        </w:trPr>
        <w:tc>
          <w:tcPr>
            <w:tcW w:w="4957" w:type="dxa"/>
            <w:tcBorders>
              <w:top w:val="nil"/>
              <w:left w:val="nil"/>
              <w:bottom w:val="nil"/>
              <w:right w:val="nil"/>
            </w:tcBorders>
            <w:shd w:val="clear" w:color="auto" w:fill="auto"/>
            <w:noWrap/>
            <w:vAlign w:val="center"/>
            <w:hideMark/>
          </w:tcPr>
          <w:p w14:paraId="6DDAC708" w14:textId="77777777" w:rsidR="00ED5988" w:rsidRPr="00F7132F" w:rsidRDefault="00ED5988" w:rsidP="00027C0C">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Provisão para contingências Cíveis</w:t>
            </w:r>
          </w:p>
        </w:tc>
        <w:tc>
          <w:tcPr>
            <w:tcW w:w="214" w:type="dxa"/>
            <w:tcBorders>
              <w:top w:val="nil"/>
              <w:left w:val="nil"/>
              <w:bottom w:val="nil"/>
              <w:right w:val="nil"/>
            </w:tcBorders>
            <w:shd w:val="clear" w:color="auto" w:fill="auto"/>
            <w:noWrap/>
            <w:vAlign w:val="center"/>
            <w:hideMark/>
          </w:tcPr>
          <w:p w14:paraId="7D127F3B" w14:textId="77777777" w:rsidR="00ED5988" w:rsidRPr="00F7132F" w:rsidRDefault="00ED5988" w:rsidP="00027C0C">
            <w:pPr>
              <w:spacing w:after="0" w:line="240" w:lineRule="auto"/>
              <w:rPr>
                <w:rFonts w:ascii="Verdana" w:eastAsia="Times New Roman" w:hAnsi="Verdana" w:cs="Calibri"/>
                <w:sz w:val="18"/>
                <w:szCs w:val="18"/>
                <w:lang w:eastAsia="pt-BR"/>
              </w:rPr>
            </w:pPr>
          </w:p>
        </w:tc>
        <w:tc>
          <w:tcPr>
            <w:tcW w:w="1743" w:type="dxa"/>
            <w:tcBorders>
              <w:top w:val="nil"/>
              <w:left w:val="nil"/>
              <w:bottom w:val="nil"/>
              <w:right w:val="nil"/>
            </w:tcBorders>
            <w:shd w:val="clear" w:color="auto" w:fill="auto"/>
            <w:noWrap/>
            <w:vAlign w:val="center"/>
            <w:hideMark/>
          </w:tcPr>
          <w:p w14:paraId="49A7E80E" w14:textId="77777777" w:rsidR="00ED5988" w:rsidRPr="00F7132F" w:rsidRDefault="00ED5988" w:rsidP="00027C0C">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214" w:type="dxa"/>
            <w:tcBorders>
              <w:top w:val="nil"/>
              <w:left w:val="nil"/>
              <w:bottom w:val="nil"/>
              <w:right w:val="nil"/>
            </w:tcBorders>
            <w:shd w:val="clear" w:color="auto" w:fill="auto"/>
            <w:noWrap/>
            <w:vAlign w:val="center"/>
            <w:hideMark/>
          </w:tcPr>
          <w:p w14:paraId="497E3109" w14:textId="77777777" w:rsidR="00ED5988" w:rsidRPr="00F7132F" w:rsidRDefault="00ED5988" w:rsidP="00027C0C">
            <w:pPr>
              <w:spacing w:after="0" w:line="240" w:lineRule="auto"/>
              <w:jc w:val="right"/>
              <w:rPr>
                <w:rFonts w:ascii="Verdana" w:eastAsia="Times New Roman" w:hAnsi="Verdana" w:cs="Calibri"/>
                <w:sz w:val="18"/>
                <w:szCs w:val="18"/>
                <w:lang w:eastAsia="pt-BR"/>
              </w:rPr>
            </w:pPr>
          </w:p>
        </w:tc>
        <w:tc>
          <w:tcPr>
            <w:tcW w:w="1743" w:type="dxa"/>
            <w:tcBorders>
              <w:top w:val="nil"/>
              <w:left w:val="nil"/>
              <w:bottom w:val="nil"/>
              <w:right w:val="nil"/>
            </w:tcBorders>
            <w:shd w:val="clear" w:color="auto" w:fill="auto"/>
            <w:noWrap/>
            <w:vAlign w:val="center"/>
            <w:hideMark/>
          </w:tcPr>
          <w:p w14:paraId="092BF8D8" w14:textId="77777777" w:rsidR="00ED5988" w:rsidRPr="00F7132F" w:rsidRDefault="00ED5988" w:rsidP="00027C0C">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249.045 </w:t>
            </w:r>
          </w:p>
        </w:tc>
      </w:tr>
      <w:tr w:rsidR="00ED5988" w:rsidRPr="00116729" w14:paraId="47A72E1B" w14:textId="77777777" w:rsidTr="00027C0C">
        <w:trPr>
          <w:trHeight w:val="20"/>
        </w:trPr>
        <w:tc>
          <w:tcPr>
            <w:tcW w:w="4957" w:type="dxa"/>
            <w:tcBorders>
              <w:top w:val="nil"/>
              <w:left w:val="nil"/>
              <w:bottom w:val="nil"/>
              <w:right w:val="nil"/>
            </w:tcBorders>
            <w:shd w:val="clear" w:color="auto" w:fill="auto"/>
            <w:noWrap/>
            <w:vAlign w:val="center"/>
            <w:hideMark/>
          </w:tcPr>
          <w:p w14:paraId="5DAB2F76" w14:textId="77777777" w:rsidR="00ED5988" w:rsidRPr="00F7132F" w:rsidRDefault="00ED5988" w:rsidP="00027C0C">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Provisão para contingências Ambientais</w:t>
            </w:r>
          </w:p>
        </w:tc>
        <w:tc>
          <w:tcPr>
            <w:tcW w:w="214" w:type="dxa"/>
            <w:tcBorders>
              <w:top w:val="nil"/>
              <w:left w:val="nil"/>
              <w:bottom w:val="nil"/>
              <w:right w:val="nil"/>
            </w:tcBorders>
            <w:shd w:val="clear" w:color="auto" w:fill="auto"/>
            <w:noWrap/>
            <w:vAlign w:val="center"/>
            <w:hideMark/>
          </w:tcPr>
          <w:p w14:paraId="0B48B87B" w14:textId="77777777" w:rsidR="00ED5988" w:rsidRPr="00F7132F" w:rsidRDefault="00ED5988" w:rsidP="00027C0C">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743" w:type="dxa"/>
            <w:tcBorders>
              <w:top w:val="nil"/>
              <w:left w:val="nil"/>
              <w:bottom w:val="nil"/>
              <w:right w:val="nil"/>
            </w:tcBorders>
            <w:shd w:val="clear" w:color="auto" w:fill="auto"/>
            <w:noWrap/>
            <w:vAlign w:val="center"/>
            <w:hideMark/>
          </w:tcPr>
          <w:p w14:paraId="7FDA0EC3" w14:textId="77777777" w:rsidR="00ED5988" w:rsidRPr="00F7132F" w:rsidRDefault="00ED5988" w:rsidP="00027C0C">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214" w:type="dxa"/>
            <w:tcBorders>
              <w:top w:val="nil"/>
              <w:left w:val="nil"/>
              <w:bottom w:val="nil"/>
              <w:right w:val="nil"/>
            </w:tcBorders>
            <w:shd w:val="clear" w:color="auto" w:fill="auto"/>
            <w:noWrap/>
            <w:vAlign w:val="center"/>
            <w:hideMark/>
          </w:tcPr>
          <w:p w14:paraId="6B754500" w14:textId="77777777" w:rsidR="00ED5988" w:rsidRPr="00F7132F" w:rsidRDefault="00ED5988" w:rsidP="00027C0C">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743" w:type="dxa"/>
            <w:tcBorders>
              <w:top w:val="nil"/>
              <w:left w:val="nil"/>
              <w:bottom w:val="nil"/>
              <w:right w:val="nil"/>
            </w:tcBorders>
            <w:shd w:val="clear" w:color="auto" w:fill="auto"/>
            <w:noWrap/>
            <w:vAlign w:val="center"/>
            <w:hideMark/>
          </w:tcPr>
          <w:p w14:paraId="0CE4FC13" w14:textId="77777777" w:rsidR="00ED5988" w:rsidRPr="00F7132F" w:rsidRDefault="00ED5988" w:rsidP="00027C0C">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281.676 </w:t>
            </w:r>
          </w:p>
        </w:tc>
      </w:tr>
      <w:tr w:rsidR="00ED5988" w:rsidRPr="00116729" w14:paraId="446CA09B" w14:textId="77777777" w:rsidTr="00027C0C">
        <w:trPr>
          <w:trHeight w:val="20"/>
        </w:trPr>
        <w:tc>
          <w:tcPr>
            <w:tcW w:w="4957" w:type="dxa"/>
            <w:tcBorders>
              <w:top w:val="nil"/>
              <w:left w:val="nil"/>
              <w:bottom w:val="nil"/>
              <w:right w:val="nil"/>
            </w:tcBorders>
            <w:shd w:val="clear" w:color="auto" w:fill="auto"/>
            <w:noWrap/>
            <w:vAlign w:val="center"/>
            <w:hideMark/>
          </w:tcPr>
          <w:p w14:paraId="73A0AD67" w14:textId="77777777" w:rsidR="00ED5988" w:rsidRPr="00F7132F" w:rsidRDefault="00ED5988" w:rsidP="00027C0C">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Provisão para contingências Trabalhista</w:t>
            </w:r>
          </w:p>
        </w:tc>
        <w:tc>
          <w:tcPr>
            <w:tcW w:w="214" w:type="dxa"/>
            <w:tcBorders>
              <w:top w:val="nil"/>
              <w:left w:val="nil"/>
              <w:bottom w:val="nil"/>
              <w:right w:val="nil"/>
            </w:tcBorders>
            <w:shd w:val="clear" w:color="auto" w:fill="auto"/>
            <w:noWrap/>
            <w:vAlign w:val="center"/>
            <w:hideMark/>
          </w:tcPr>
          <w:p w14:paraId="76294253" w14:textId="77777777" w:rsidR="00ED5988" w:rsidRPr="00F7132F" w:rsidRDefault="00ED5988" w:rsidP="00027C0C">
            <w:pPr>
              <w:spacing w:after="0" w:line="240" w:lineRule="auto"/>
              <w:rPr>
                <w:rFonts w:ascii="Verdana" w:eastAsia="Times New Roman" w:hAnsi="Verdana" w:cs="Calibri"/>
                <w:sz w:val="18"/>
                <w:szCs w:val="18"/>
                <w:lang w:eastAsia="pt-BR"/>
              </w:rPr>
            </w:pPr>
          </w:p>
        </w:tc>
        <w:tc>
          <w:tcPr>
            <w:tcW w:w="1743" w:type="dxa"/>
            <w:tcBorders>
              <w:top w:val="nil"/>
              <w:left w:val="nil"/>
              <w:bottom w:val="nil"/>
              <w:right w:val="nil"/>
            </w:tcBorders>
            <w:shd w:val="clear" w:color="auto" w:fill="auto"/>
            <w:noWrap/>
            <w:vAlign w:val="center"/>
            <w:hideMark/>
          </w:tcPr>
          <w:p w14:paraId="27E25860" w14:textId="77777777" w:rsidR="00ED5988" w:rsidRPr="00F7132F" w:rsidRDefault="00ED5988" w:rsidP="00027C0C">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214" w:type="dxa"/>
            <w:tcBorders>
              <w:top w:val="nil"/>
              <w:left w:val="nil"/>
              <w:bottom w:val="nil"/>
              <w:right w:val="nil"/>
            </w:tcBorders>
            <w:shd w:val="clear" w:color="auto" w:fill="auto"/>
            <w:noWrap/>
            <w:vAlign w:val="center"/>
            <w:hideMark/>
          </w:tcPr>
          <w:p w14:paraId="316515D8" w14:textId="77777777" w:rsidR="00ED5988" w:rsidRPr="00F7132F" w:rsidRDefault="00ED5988" w:rsidP="00027C0C">
            <w:pPr>
              <w:spacing w:after="0" w:line="240" w:lineRule="auto"/>
              <w:jc w:val="right"/>
              <w:rPr>
                <w:rFonts w:ascii="Verdana" w:eastAsia="Times New Roman" w:hAnsi="Verdana" w:cs="Calibri"/>
                <w:sz w:val="18"/>
                <w:szCs w:val="18"/>
                <w:lang w:eastAsia="pt-BR"/>
              </w:rPr>
            </w:pPr>
          </w:p>
        </w:tc>
        <w:tc>
          <w:tcPr>
            <w:tcW w:w="1743" w:type="dxa"/>
            <w:tcBorders>
              <w:top w:val="nil"/>
              <w:left w:val="nil"/>
              <w:bottom w:val="nil"/>
              <w:right w:val="nil"/>
            </w:tcBorders>
            <w:shd w:val="clear" w:color="auto" w:fill="auto"/>
            <w:noWrap/>
            <w:vAlign w:val="center"/>
            <w:hideMark/>
          </w:tcPr>
          <w:p w14:paraId="0E03D770" w14:textId="77777777" w:rsidR="00ED5988" w:rsidRPr="00F7132F" w:rsidRDefault="00ED5988" w:rsidP="00027C0C">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687.189 </w:t>
            </w:r>
          </w:p>
        </w:tc>
      </w:tr>
      <w:tr w:rsidR="00ED5988" w:rsidRPr="00116729" w14:paraId="2A487ECF" w14:textId="77777777" w:rsidTr="00027C0C">
        <w:trPr>
          <w:trHeight w:val="20"/>
        </w:trPr>
        <w:tc>
          <w:tcPr>
            <w:tcW w:w="4957" w:type="dxa"/>
            <w:tcBorders>
              <w:top w:val="nil"/>
              <w:left w:val="nil"/>
              <w:bottom w:val="nil"/>
              <w:right w:val="nil"/>
            </w:tcBorders>
            <w:shd w:val="clear" w:color="auto" w:fill="auto"/>
            <w:noWrap/>
            <w:vAlign w:val="center"/>
            <w:hideMark/>
          </w:tcPr>
          <w:p w14:paraId="165A27A3" w14:textId="77777777" w:rsidR="00ED5988" w:rsidRPr="00F7132F" w:rsidRDefault="00ED5988" w:rsidP="00027C0C">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Provisão para contingências Fiscais</w:t>
            </w:r>
          </w:p>
        </w:tc>
        <w:tc>
          <w:tcPr>
            <w:tcW w:w="214" w:type="dxa"/>
            <w:tcBorders>
              <w:top w:val="nil"/>
              <w:left w:val="nil"/>
              <w:bottom w:val="nil"/>
              <w:right w:val="nil"/>
            </w:tcBorders>
            <w:shd w:val="clear" w:color="auto" w:fill="auto"/>
            <w:noWrap/>
            <w:vAlign w:val="center"/>
            <w:hideMark/>
          </w:tcPr>
          <w:p w14:paraId="1BAF5D14" w14:textId="77777777" w:rsidR="00ED5988" w:rsidRPr="00F7132F" w:rsidRDefault="00ED5988" w:rsidP="00027C0C">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743" w:type="dxa"/>
            <w:tcBorders>
              <w:top w:val="nil"/>
              <w:left w:val="nil"/>
              <w:bottom w:val="nil"/>
              <w:right w:val="nil"/>
            </w:tcBorders>
            <w:shd w:val="clear" w:color="auto" w:fill="auto"/>
            <w:noWrap/>
            <w:vAlign w:val="center"/>
            <w:hideMark/>
          </w:tcPr>
          <w:p w14:paraId="319278F8" w14:textId="77777777" w:rsidR="00ED5988" w:rsidRPr="00F7132F" w:rsidRDefault="00ED5988" w:rsidP="00027C0C">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214" w:type="dxa"/>
            <w:tcBorders>
              <w:top w:val="nil"/>
              <w:left w:val="nil"/>
              <w:bottom w:val="nil"/>
              <w:right w:val="nil"/>
            </w:tcBorders>
            <w:shd w:val="clear" w:color="auto" w:fill="auto"/>
            <w:noWrap/>
            <w:vAlign w:val="center"/>
            <w:hideMark/>
          </w:tcPr>
          <w:p w14:paraId="5B379E7B" w14:textId="77777777" w:rsidR="00ED5988" w:rsidRPr="00F7132F" w:rsidRDefault="00ED5988" w:rsidP="00027C0C">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743" w:type="dxa"/>
            <w:tcBorders>
              <w:top w:val="nil"/>
              <w:left w:val="nil"/>
              <w:bottom w:val="nil"/>
              <w:right w:val="nil"/>
            </w:tcBorders>
            <w:shd w:val="clear" w:color="auto" w:fill="auto"/>
            <w:noWrap/>
            <w:vAlign w:val="center"/>
            <w:hideMark/>
          </w:tcPr>
          <w:p w14:paraId="7FC7AD18" w14:textId="77777777" w:rsidR="00ED5988" w:rsidRPr="00F7132F" w:rsidRDefault="00ED5988" w:rsidP="00027C0C">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1.797 </w:t>
            </w:r>
          </w:p>
        </w:tc>
      </w:tr>
      <w:tr w:rsidR="00ED5988" w:rsidRPr="00116729" w14:paraId="636945C3" w14:textId="77777777" w:rsidTr="00027C0C">
        <w:trPr>
          <w:trHeight w:val="20"/>
        </w:trPr>
        <w:tc>
          <w:tcPr>
            <w:tcW w:w="4957" w:type="dxa"/>
            <w:tcBorders>
              <w:top w:val="nil"/>
              <w:left w:val="nil"/>
              <w:bottom w:val="nil"/>
              <w:right w:val="nil"/>
            </w:tcBorders>
            <w:shd w:val="clear" w:color="auto" w:fill="auto"/>
            <w:noWrap/>
            <w:vAlign w:val="center"/>
            <w:hideMark/>
          </w:tcPr>
          <w:p w14:paraId="3A35A63D" w14:textId="77777777" w:rsidR="00ED5988" w:rsidRPr="00F7132F" w:rsidRDefault="00ED5988" w:rsidP="00027C0C">
            <w:pPr>
              <w:spacing w:after="0" w:line="240" w:lineRule="auto"/>
              <w:jc w:val="right"/>
              <w:rPr>
                <w:rFonts w:ascii="Verdana" w:eastAsia="Times New Roman" w:hAnsi="Verdana" w:cs="Calibri"/>
                <w:sz w:val="18"/>
                <w:szCs w:val="18"/>
                <w:lang w:eastAsia="pt-BR"/>
              </w:rPr>
            </w:pPr>
          </w:p>
        </w:tc>
        <w:tc>
          <w:tcPr>
            <w:tcW w:w="214" w:type="dxa"/>
            <w:tcBorders>
              <w:top w:val="nil"/>
              <w:left w:val="nil"/>
              <w:bottom w:val="nil"/>
              <w:right w:val="nil"/>
            </w:tcBorders>
            <w:shd w:val="clear" w:color="auto" w:fill="auto"/>
            <w:noWrap/>
            <w:vAlign w:val="center"/>
            <w:hideMark/>
          </w:tcPr>
          <w:p w14:paraId="3737403C" w14:textId="77777777" w:rsidR="00ED5988" w:rsidRPr="00116729" w:rsidRDefault="00ED5988" w:rsidP="00027C0C">
            <w:pPr>
              <w:spacing w:after="0" w:line="240" w:lineRule="auto"/>
              <w:rPr>
                <w:rFonts w:ascii="Times New Roman" w:eastAsia="Times New Roman" w:hAnsi="Times New Roman" w:cs="Times New Roman"/>
                <w:sz w:val="20"/>
                <w:szCs w:val="20"/>
                <w:lang w:eastAsia="pt-BR"/>
              </w:rPr>
            </w:pPr>
          </w:p>
        </w:tc>
        <w:tc>
          <w:tcPr>
            <w:tcW w:w="1743" w:type="dxa"/>
            <w:tcBorders>
              <w:top w:val="single" w:sz="4" w:space="0" w:color="auto"/>
              <w:left w:val="nil"/>
              <w:bottom w:val="double" w:sz="6" w:space="0" w:color="auto"/>
              <w:right w:val="nil"/>
            </w:tcBorders>
            <w:shd w:val="clear" w:color="auto" w:fill="auto"/>
            <w:noWrap/>
            <w:vAlign w:val="center"/>
            <w:hideMark/>
          </w:tcPr>
          <w:p w14:paraId="5DA821F9" w14:textId="77777777" w:rsidR="00ED5988" w:rsidRPr="00F7132F" w:rsidRDefault="00ED5988" w:rsidP="00027C0C">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xml:space="preserve">                     -   </w:t>
            </w:r>
          </w:p>
        </w:tc>
        <w:tc>
          <w:tcPr>
            <w:tcW w:w="214" w:type="dxa"/>
            <w:tcBorders>
              <w:top w:val="nil"/>
              <w:left w:val="nil"/>
              <w:bottom w:val="nil"/>
              <w:right w:val="nil"/>
            </w:tcBorders>
            <w:shd w:val="clear" w:color="auto" w:fill="auto"/>
            <w:noWrap/>
            <w:vAlign w:val="center"/>
            <w:hideMark/>
          </w:tcPr>
          <w:p w14:paraId="162C480B" w14:textId="77777777" w:rsidR="00ED5988" w:rsidRPr="00F7132F" w:rsidRDefault="00ED5988" w:rsidP="00027C0C">
            <w:pPr>
              <w:spacing w:after="0" w:line="240" w:lineRule="auto"/>
              <w:jc w:val="right"/>
              <w:rPr>
                <w:rFonts w:ascii="Verdana" w:eastAsia="Times New Roman" w:hAnsi="Verdana" w:cs="Calibri"/>
                <w:b/>
                <w:bCs/>
                <w:sz w:val="18"/>
                <w:szCs w:val="18"/>
                <w:lang w:eastAsia="pt-BR"/>
              </w:rPr>
            </w:pPr>
          </w:p>
        </w:tc>
        <w:tc>
          <w:tcPr>
            <w:tcW w:w="1743" w:type="dxa"/>
            <w:tcBorders>
              <w:top w:val="single" w:sz="4" w:space="0" w:color="auto"/>
              <w:left w:val="nil"/>
              <w:bottom w:val="double" w:sz="6" w:space="0" w:color="auto"/>
              <w:right w:val="nil"/>
            </w:tcBorders>
            <w:shd w:val="clear" w:color="auto" w:fill="auto"/>
            <w:noWrap/>
            <w:vAlign w:val="center"/>
            <w:hideMark/>
          </w:tcPr>
          <w:p w14:paraId="3BD487C4" w14:textId="77777777" w:rsidR="00ED5988" w:rsidRPr="00F7132F" w:rsidRDefault="00ED5988" w:rsidP="00027C0C">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xml:space="preserve">       1.219.707 </w:t>
            </w:r>
          </w:p>
        </w:tc>
      </w:tr>
    </w:tbl>
    <w:p w14:paraId="58A648B1" w14:textId="77777777" w:rsidR="00ED5988" w:rsidRDefault="00ED5988" w:rsidP="00720E7B">
      <w:pPr>
        <w:rPr>
          <w:rFonts w:ascii="Verdana" w:hAnsi="Verdana" w:cstheme="minorHAnsi"/>
          <w:shd w:val="clear" w:color="auto" w:fill="FFFFFF"/>
        </w:rPr>
      </w:pPr>
    </w:p>
    <w:p w14:paraId="7E3F9BFE" w14:textId="77777777" w:rsidR="002B1787" w:rsidRPr="00F7132F" w:rsidRDefault="00581D1F" w:rsidP="00CF5F07">
      <w:pPr>
        <w:tabs>
          <w:tab w:val="left" w:pos="567"/>
          <w:tab w:val="left" w:pos="1134"/>
          <w:tab w:val="left" w:pos="1701"/>
          <w:tab w:val="left" w:pos="2268"/>
          <w:tab w:val="left" w:pos="2835"/>
        </w:tabs>
        <w:jc w:val="both"/>
        <w:outlineLvl w:val="0"/>
        <w:rPr>
          <w:rFonts w:ascii="Verdana" w:hAnsi="Verdana" w:cstheme="minorHAnsi"/>
          <w:b/>
        </w:rPr>
      </w:pPr>
      <w:r>
        <w:rPr>
          <w:rFonts w:ascii="Verdana" w:hAnsi="Verdana" w:cstheme="minorHAnsi"/>
          <w:b/>
        </w:rPr>
        <w:t>20</w:t>
      </w:r>
      <w:r w:rsidR="00F4139F" w:rsidRPr="00F7132F">
        <w:rPr>
          <w:rFonts w:ascii="Verdana" w:hAnsi="Verdana" w:cstheme="minorHAnsi"/>
          <w:b/>
        </w:rPr>
        <w:t xml:space="preserve"> </w:t>
      </w:r>
      <w:r w:rsidR="002B1787" w:rsidRPr="00F7132F">
        <w:rPr>
          <w:rFonts w:ascii="Verdana" w:hAnsi="Verdana" w:cstheme="minorHAnsi"/>
          <w:b/>
        </w:rPr>
        <w:t>– BENEFÍCIOS PÓS-EMPREGO</w:t>
      </w:r>
    </w:p>
    <w:p w14:paraId="69505C7A" w14:textId="77777777" w:rsidR="00BE0B15" w:rsidRPr="00116729" w:rsidRDefault="00BE0B15" w:rsidP="00765236">
      <w:pPr>
        <w:jc w:val="both"/>
        <w:rPr>
          <w:rFonts w:ascii="Verdana" w:hAnsi="Verdana" w:cstheme="minorHAnsi"/>
        </w:rPr>
      </w:pPr>
      <w:r w:rsidRPr="00116729">
        <w:rPr>
          <w:rFonts w:ascii="Verdana" w:hAnsi="Verdana" w:cstheme="minorHAnsi"/>
        </w:rPr>
        <w:t>A controlada Eletronuclear</w:t>
      </w:r>
      <w:r w:rsidRPr="00F7132F">
        <w:rPr>
          <w:rFonts w:ascii="Verdana" w:hAnsi="Verdana" w:cstheme="minorHAnsi"/>
        </w:rPr>
        <w:t xml:space="preserve"> </w:t>
      </w:r>
      <w:r w:rsidRPr="00116729">
        <w:rPr>
          <w:rFonts w:ascii="Verdana" w:hAnsi="Verdana" w:cstheme="minorHAnsi"/>
        </w:rPr>
        <w:t xml:space="preserve">patrocina planos de previdência aos seus empregados, bem como planos de assistência médica e outros benefícios. Esses benefícios são classificados como Benefícios Definidos (BD) e de Contribuição Definida (CD). </w:t>
      </w:r>
    </w:p>
    <w:p w14:paraId="4AF8A23D" w14:textId="77777777" w:rsidR="00BE0B15" w:rsidRPr="00116729" w:rsidRDefault="00BE0B15" w:rsidP="00765236">
      <w:pPr>
        <w:jc w:val="both"/>
        <w:rPr>
          <w:rFonts w:ascii="Verdana" w:hAnsi="Verdana" w:cstheme="minorHAnsi"/>
        </w:rPr>
      </w:pPr>
      <w:r w:rsidRPr="00116729">
        <w:rPr>
          <w:rFonts w:ascii="Verdana" w:hAnsi="Verdana" w:cstheme="minorHAnsi"/>
        </w:rPr>
        <w:t>A</w:t>
      </w:r>
      <w:r w:rsidR="00765236" w:rsidRPr="00116729">
        <w:rPr>
          <w:rFonts w:ascii="Verdana" w:hAnsi="Verdana" w:cstheme="minorHAnsi"/>
        </w:rPr>
        <w:t xml:space="preserve">dicionalmente, ela é </w:t>
      </w:r>
      <w:r w:rsidRPr="00116729">
        <w:rPr>
          <w:rFonts w:ascii="Verdana" w:hAnsi="Verdana" w:cstheme="minorHAnsi"/>
        </w:rPr>
        <w:t>uma das patr</w:t>
      </w:r>
      <w:r w:rsidR="00765236" w:rsidRPr="00116729">
        <w:rPr>
          <w:rFonts w:ascii="Verdana" w:hAnsi="Verdana" w:cstheme="minorHAnsi"/>
        </w:rPr>
        <w:t>o</w:t>
      </w:r>
      <w:r w:rsidRPr="00116729">
        <w:rPr>
          <w:rFonts w:ascii="Verdana" w:hAnsi="Verdana" w:cstheme="minorHAnsi"/>
        </w:rPr>
        <w:t>cinadoras da REAL GRANDEZA – Fundação de Previdência e Assistência Social e do Núcleos – Instituto de Seguridade Social, entidade fechadas sem fins lucrativos, que tem por finalidade complementar benefícios previdenciários de seus participantes.</w:t>
      </w:r>
    </w:p>
    <w:p w14:paraId="3F74E9E8" w14:textId="77777777" w:rsidR="00BE0B15" w:rsidRPr="00C11BC9" w:rsidRDefault="00BE0B15" w:rsidP="0072257F">
      <w:pPr>
        <w:jc w:val="both"/>
        <w:rPr>
          <w:rFonts w:ascii="Verdana" w:hAnsi="Verdana" w:cstheme="minorHAnsi"/>
        </w:rPr>
      </w:pPr>
      <w:r w:rsidRPr="00116729">
        <w:rPr>
          <w:rFonts w:ascii="Verdana" w:hAnsi="Verdana" w:cstheme="minorHAnsi"/>
        </w:rPr>
        <w:t>A tabela abaixo apresenta a conciliação do valor presente das obrigações de benefício definido e do valor justo dos ativos com os valores registrados no balanço patrimonial para os benefícios previdenciários e para os demais benefícios pós-emprego. A seguir estão apresentados os resultados da Companhia</w:t>
      </w:r>
      <w:r w:rsidR="0072257F" w:rsidRPr="00116729">
        <w:rPr>
          <w:rFonts w:ascii="Verdana" w:hAnsi="Verdana" w:cstheme="minorHAnsi"/>
        </w:rPr>
        <w:t xml:space="preserve"> das o</w:t>
      </w:r>
      <w:r w:rsidRPr="00116729">
        <w:rPr>
          <w:rFonts w:ascii="Verdana" w:hAnsi="Verdana" w:cstheme="minorHAnsi"/>
        </w:rPr>
        <w:t>brigações de benefício pós</w:t>
      </w:r>
      <w:r w:rsidRPr="00C11BC9">
        <w:rPr>
          <w:rFonts w:ascii="Verdana" w:hAnsi="Verdana" w:cstheme="minorHAnsi"/>
        </w:rPr>
        <w:t>-emprego – valores reconhecidos no balanço patrimonial:</w:t>
      </w:r>
    </w:p>
    <w:tbl>
      <w:tblPr>
        <w:tblW w:w="9335" w:type="dxa"/>
        <w:tblCellMar>
          <w:left w:w="70" w:type="dxa"/>
          <w:right w:w="70" w:type="dxa"/>
        </w:tblCellMar>
        <w:tblLook w:val="04A0" w:firstRow="1" w:lastRow="0" w:firstColumn="1" w:lastColumn="0" w:noHBand="0" w:noVBand="1"/>
      </w:tblPr>
      <w:tblGrid>
        <w:gridCol w:w="5217"/>
        <w:gridCol w:w="225"/>
        <w:gridCol w:w="1834"/>
        <w:gridCol w:w="225"/>
        <w:gridCol w:w="1834"/>
      </w:tblGrid>
      <w:tr w:rsidR="00AD5C2E" w:rsidRPr="00AD5C2E" w14:paraId="1EC58048" w14:textId="77777777" w:rsidTr="00F7132F">
        <w:trPr>
          <w:trHeight w:val="20"/>
        </w:trPr>
        <w:tc>
          <w:tcPr>
            <w:tcW w:w="5217" w:type="dxa"/>
            <w:tcBorders>
              <w:top w:val="nil"/>
              <w:left w:val="nil"/>
              <w:bottom w:val="nil"/>
              <w:right w:val="nil"/>
            </w:tcBorders>
            <w:shd w:val="clear" w:color="auto" w:fill="auto"/>
            <w:noWrap/>
            <w:vAlign w:val="bottom"/>
            <w:hideMark/>
          </w:tcPr>
          <w:p w14:paraId="033E4AC4" w14:textId="77777777" w:rsidR="00AD5C2E" w:rsidRPr="00AD5C2E" w:rsidRDefault="00AD5C2E" w:rsidP="00AD5C2E">
            <w:pPr>
              <w:spacing w:after="0" w:line="240" w:lineRule="auto"/>
              <w:rPr>
                <w:rFonts w:ascii="Times New Roman" w:eastAsia="Times New Roman" w:hAnsi="Times New Roman" w:cs="Times New Roman"/>
                <w:sz w:val="24"/>
                <w:szCs w:val="24"/>
                <w:lang w:eastAsia="pt-BR"/>
              </w:rPr>
            </w:pPr>
          </w:p>
        </w:tc>
        <w:tc>
          <w:tcPr>
            <w:tcW w:w="225" w:type="dxa"/>
            <w:tcBorders>
              <w:top w:val="nil"/>
              <w:left w:val="nil"/>
              <w:bottom w:val="nil"/>
              <w:right w:val="nil"/>
            </w:tcBorders>
            <w:shd w:val="clear" w:color="auto" w:fill="auto"/>
            <w:noWrap/>
            <w:vAlign w:val="bottom"/>
            <w:hideMark/>
          </w:tcPr>
          <w:p w14:paraId="07C700BF" w14:textId="77777777" w:rsidR="00AD5C2E" w:rsidRPr="00AD5C2E" w:rsidRDefault="00AD5C2E" w:rsidP="00AD5C2E">
            <w:pPr>
              <w:spacing w:after="0" w:line="240" w:lineRule="auto"/>
              <w:rPr>
                <w:rFonts w:ascii="Times New Roman" w:eastAsia="Times New Roman" w:hAnsi="Times New Roman" w:cs="Times New Roman"/>
                <w:sz w:val="20"/>
                <w:szCs w:val="20"/>
                <w:lang w:eastAsia="pt-BR"/>
              </w:rPr>
            </w:pPr>
          </w:p>
        </w:tc>
        <w:tc>
          <w:tcPr>
            <w:tcW w:w="1834" w:type="dxa"/>
            <w:tcBorders>
              <w:top w:val="nil"/>
              <w:left w:val="nil"/>
              <w:bottom w:val="single" w:sz="4" w:space="0" w:color="auto"/>
              <w:right w:val="nil"/>
            </w:tcBorders>
            <w:shd w:val="clear" w:color="auto" w:fill="auto"/>
            <w:noWrap/>
            <w:vAlign w:val="bottom"/>
            <w:hideMark/>
          </w:tcPr>
          <w:p w14:paraId="7874540F" w14:textId="77777777" w:rsidR="00AD5C2E" w:rsidRPr="00AD5C2E" w:rsidRDefault="00AD5C2E" w:rsidP="00AD5C2E">
            <w:pPr>
              <w:spacing w:after="0" w:line="240" w:lineRule="auto"/>
              <w:jc w:val="center"/>
              <w:rPr>
                <w:rFonts w:ascii="Verdana" w:eastAsia="Times New Roman" w:hAnsi="Verdana" w:cs="Calibri"/>
                <w:b/>
                <w:bCs/>
                <w:color w:val="000000"/>
                <w:sz w:val="18"/>
                <w:szCs w:val="18"/>
                <w:lang w:eastAsia="pt-BR"/>
              </w:rPr>
            </w:pPr>
            <w:r w:rsidRPr="00AD5C2E">
              <w:rPr>
                <w:rFonts w:ascii="Verdana" w:eastAsia="Times New Roman" w:hAnsi="Verdana" w:cs="Calibri"/>
                <w:b/>
                <w:bCs/>
                <w:color w:val="000000"/>
                <w:sz w:val="18"/>
                <w:szCs w:val="18"/>
                <w:lang w:eastAsia="pt-BR"/>
              </w:rPr>
              <w:t>Controladora</w:t>
            </w:r>
          </w:p>
        </w:tc>
        <w:tc>
          <w:tcPr>
            <w:tcW w:w="225" w:type="dxa"/>
            <w:tcBorders>
              <w:top w:val="nil"/>
              <w:left w:val="nil"/>
              <w:bottom w:val="nil"/>
              <w:right w:val="nil"/>
            </w:tcBorders>
            <w:shd w:val="clear" w:color="auto" w:fill="auto"/>
            <w:noWrap/>
            <w:vAlign w:val="bottom"/>
            <w:hideMark/>
          </w:tcPr>
          <w:p w14:paraId="21C9CEE2" w14:textId="77777777" w:rsidR="00AD5C2E" w:rsidRPr="00AD5C2E" w:rsidRDefault="00AD5C2E" w:rsidP="00AD5C2E">
            <w:pPr>
              <w:spacing w:after="0" w:line="240" w:lineRule="auto"/>
              <w:jc w:val="center"/>
              <w:rPr>
                <w:rFonts w:ascii="Verdana" w:eastAsia="Times New Roman" w:hAnsi="Verdana" w:cs="Calibri"/>
                <w:b/>
                <w:bCs/>
                <w:color w:val="000000"/>
                <w:sz w:val="18"/>
                <w:szCs w:val="18"/>
                <w:lang w:eastAsia="pt-BR"/>
              </w:rPr>
            </w:pPr>
          </w:p>
        </w:tc>
        <w:tc>
          <w:tcPr>
            <w:tcW w:w="1834" w:type="dxa"/>
            <w:tcBorders>
              <w:top w:val="nil"/>
              <w:left w:val="nil"/>
              <w:bottom w:val="single" w:sz="4" w:space="0" w:color="auto"/>
              <w:right w:val="nil"/>
            </w:tcBorders>
            <w:shd w:val="clear" w:color="auto" w:fill="auto"/>
            <w:noWrap/>
            <w:vAlign w:val="bottom"/>
            <w:hideMark/>
          </w:tcPr>
          <w:p w14:paraId="56128001" w14:textId="77777777" w:rsidR="00AD5C2E" w:rsidRPr="00AD5C2E" w:rsidRDefault="00AD5C2E" w:rsidP="00AD5C2E">
            <w:pPr>
              <w:spacing w:after="0" w:line="240" w:lineRule="auto"/>
              <w:jc w:val="center"/>
              <w:rPr>
                <w:rFonts w:ascii="Verdana" w:eastAsia="Times New Roman" w:hAnsi="Verdana" w:cs="Calibri"/>
                <w:b/>
                <w:bCs/>
                <w:color w:val="000000"/>
                <w:sz w:val="18"/>
                <w:szCs w:val="18"/>
                <w:lang w:eastAsia="pt-BR"/>
              </w:rPr>
            </w:pPr>
            <w:r w:rsidRPr="00AD5C2E">
              <w:rPr>
                <w:rFonts w:ascii="Verdana" w:eastAsia="Times New Roman" w:hAnsi="Verdana" w:cs="Calibri"/>
                <w:b/>
                <w:bCs/>
                <w:color w:val="000000"/>
                <w:sz w:val="18"/>
                <w:szCs w:val="18"/>
                <w:lang w:eastAsia="pt-BR"/>
              </w:rPr>
              <w:t>Consolidado</w:t>
            </w:r>
          </w:p>
        </w:tc>
      </w:tr>
      <w:tr w:rsidR="00AD5C2E" w:rsidRPr="00AD5C2E" w14:paraId="2B5F8D7B" w14:textId="77777777" w:rsidTr="00F7132F">
        <w:trPr>
          <w:trHeight w:val="20"/>
        </w:trPr>
        <w:tc>
          <w:tcPr>
            <w:tcW w:w="5217" w:type="dxa"/>
            <w:tcBorders>
              <w:top w:val="nil"/>
              <w:left w:val="nil"/>
              <w:bottom w:val="nil"/>
              <w:right w:val="nil"/>
            </w:tcBorders>
            <w:shd w:val="clear" w:color="auto" w:fill="auto"/>
            <w:noWrap/>
            <w:vAlign w:val="center"/>
            <w:hideMark/>
          </w:tcPr>
          <w:p w14:paraId="19D6FC70" w14:textId="77777777" w:rsidR="00AD5C2E" w:rsidRPr="00AD5C2E" w:rsidRDefault="00AD5C2E" w:rsidP="00AD5C2E">
            <w:pPr>
              <w:spacing w:after="0" w:line="240" w:lineRule="auto"/>
              <w:jc w:val="center"/>
              <w:rPr>
                <w:rFonts w:ascii="Verdana" w:eastAsia="Times New Roman" w:hAnsi="Verdana" w:cs="Calibri"/>
                <w:b/>
                <w:bCs/>
                <w:color w:val="000000"/>
                <w:sz w:val="18"/>
                <w:szCs w:val="18"/>
                <w:lang w:eastAsia="pt-BR"/>
              </w:rPr>
            </w:pPr>
          </w:p>
        </w:tc>
        <w:tc>
          <w:tcPr>
            <w:tcW w:w="225" w:type="dxa"/>
            <w:tcBorders>
              <w:top w:val="nil"/>
              <w:left w:val="nil"/>
              <w:bottom w:val="nil"/>
              <w:right w:val="nil"/>
            </w:tcBorders>
            <w:shd w:val="clear" w:color="auto" w:fill="auto"/>
            <w:noWrap/>
            <w:vAlign w:val="center"/>
            <w:hideMark/>
          </w:tcPr>
          <w:p w14:paraId="679F0397" w14:textId="77777777" w:rsidR="00AD5C2E" w:rsidRPr="00AD5C2E" w:rsidRDefault="00AD5C2E" w:rsidP="00AD5C2E">
            <w:pPr>
              <w:spacing w:after="0" w:line="240" w:lineRule="auto"/>
              <w:rPr>
                <w:rFonts w:ascii="Times New Roman" w:eastAsia="Times New Roman" w:hAnsi="Times New Roman" w:cs="Times New Roman"/>
                <w:sz w:val="20"/>
                <w:szCs w:val="20"/>
                <w:lang w:eastAsia="pt-BR"/>
              </w:rPr>
            </w:pPr>
          </w:p>
        </w:tc>
        <w:tc>
          <w:tcPr>
            <w:tcW w:w="1834" w:type="dxa"/>
            <w:tcBorders>
              <w:top w:val="nil"/>
              <w:left w:val="nil"/>
              <w:bottom w:val="single" w:sz="4" w:space="0" w:color="auto"/>
              <w:right w:val="nil"/>
            </w:tcBorders>
            <w:shd w:val="clear" w:color="auto" w:fill="auto"/>
            <w:noWrap/>
            <w:vAlign w:val="center"/>
            <w:hideMark/>
          </w:tcPr>
          <w:p w14:paraId="5A59ACD1" w14:textId="77777777" w:rsidR="00AD5C2E" w:rsidRPr="00AD5C2E" w:rsidRDefault="00AD5C2E" w:rsidP="00AD5C2E">
            <w:pPr>
              <w:spacing w:after="0" w:line="240" w:lineRule="auto"/>
              <w:jc w:val="center"/>
              <w:rPr>
                <w:rFonts w:ascii="Verdana" w:eastAsia="Times New Roman" w:hAnsi="Verdana" w:cs="Calibri"/>
                <w:b/>
                <w:bCs/>
                <w:color w:val="000000"/>
                <w:sz w:val="18"/>
                <w:szCs w:val="18"/>
                <w:lang w:eastAsia="pt-BR"/>
              </w:rPr>
            </w:pPr>
            <w:r w:rsidRPr="00AD5C2E">
              <w:rPr>
                <w:rFonts w:ascii="Verdana" w:eastAsia="Times New Roman" w:hAnsi="Verdana" w:cs="Calibri"/>
                <w:b/>
                <w:bCs/>
                <w:color w:val="000000"/>
                <w:sz w:val="18"/>
                <w:szCs w:val="18"/>
                <w:lang w:eastAsia="pt-BR"/>
              </w:rPr>
              <w:t>30/06/2022</w:t>
            </w:r>
          </w:p>
        </w:tc>
        <w:tc>
          <w:tcPr>
            <w:tcW w:w="225" w:type="dxa"/>
            <w:tcBorders>
              <w:top w:val="nil"/>
              <w:left w:val="nil"/>
              <w:bottom w:val="nil"/>
              <w:right w:val="nil"/>
            </w:tcBorders>
            <w:shd w:val="clear" w:color="auto" w:fill="auto"/>
            <w:noWrap/>
            <w:vAlign w:val="center"/>
            <w:hideMark/>
          </w:tcPr>
          <w:p w14:paraId="3D47BC85" w14:textId="77777777" w:rsidR="00AD5C2E" w:rsidRPr="00AD5C2E" w:rsidRDefault="00AD5C2E" w:rsidP="00AD5C2E">
            <w:pPr>
              <w:spacing w:after="0" w:line="240" w:lineRule="auto"/>
              <w:jc w:val="center"/>
              <w:rPr>
                <w:rFonts w:ascii="Verdana" w:eastAsia="Times New Roman" w:hAnsi="Verdana" w:cs="Calibri"/>
                <w:b/>
                <w:bCs/>
                <w:color w:val="000000"/>
                <w:sz w:val="18"/>
                <w:szCs w:val="18"/>
                <w:lang w:eastAsia="pt-BR"/>
              </w:rPr>
            </w:pPr>
          </w:p>
        </w:tc>
        <w:tc>
          <w:tcPr>
            <w:tcW w:w="1834" w:type="dxa"/>
            <w:tcBorders>
              <w:top w:val="nil"/>
              <w:left w:val="nil"/>
              <w:bottom w:val="single" w:sz="4" w:space="0" w:color="auto"/>
              <w:right w:val="nil"/>
            </w:tcBorders>
            <w:shd w:val="clear" w:color="auto" w:fill="auto"/>
            <w:noWrap/>
            <w:vAlign w:val="center"/>
            <w:hideMark/>
          </w:tcPr>
          <w:p w14:paraId="0418180E" w14:textId="77777777" w:rsidR="00AD5C2E" w:rsidRPr="00AD5C2E" w:rsidRDefault="00AD5C2E" w:rsidP="00AD5C2E">
            <w:pPr>
              <w:spacing w:after="0" w:line="240" w:lineRule="auto"/>
              <w:jc w:val="center"/>
              <w:rPr>
                <w:rFonts w:ascii="Verdana" w:eastAsia="Times New Roman" w:hAnsi="Verdana" w:cs="Calibri"/>
                <w:b/>
                <w:bCs/>
                <w:color w:val="000000"/>
                <w:sz w:val="18"/>
                <w:szCs w:val="18"/>
                <w:lang w:eastAsia="pt-BR"/>
              </w:rPr>
            </w:pPr>
            <w:r w:rsidRPr="00AD5C2E">
              <w:rPr>
                <w:rFonts w:ascii="Verdana" w:eastAsia="Times New Roman" w:hAnsi="Verdana" w:cs="Calibri"/>
                <w:b/>
                <w:bCs/>
                <w:color w:val="000000"/>
                <w:sz w:val="18"/>
                <w:szCs w:val="18"/>
                <w:lang w:eastAsia="pt-BR"/>
              </w:rPr>
              <w:t>30/06/2022</w:t>
            </w:r>
          </w:p>
        </w:tc>
      </w:tr>
      <w:tr w:rsidR="00AD5C2E" w:rsidRPr="00AD5C2E" w14:paraId="59514CB0" w14:textId="77777777" w:rsidTr="00F7132F">
        <w:trPr>
          <w:trHeight w:val="20"/>
        </w:trPr>
        <w:tc>
          <w:tcPr>
            <w:tcW w:w="5217" w:type="dxa"/>
            <w:tcBorders>
              <w:top w:val="nil"/>
              <w:left w:val="nil"/>
              <w:bottom w:val="nil"/>
              <w:right w:val="nil"/>
            </w:tcBorders>
            <w:shd w:val="clear" w:color="auto" w:fill="auto"/>
            <w:noWrap/>
            <w:vAlign w:val="center"/>
            <w:hideMark/>
          </w:tcPr>
          <w:p w14:paraId="0BC36A99" w14:textId="77777777" w:rsidR="00AD5C2E" w:rsidRPr="00AD5C2E" w:rsidRDefault="00AD5C2E" w:rsidP="00AD5C2E">
            <w:pPr>
              <w:spacing w:after="0" w:line="240" w:lineRule="auto"/>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w:t>
            </w:r>
          </w:p>
        </w:tc>
        <w:tc>
          <w:tcPr>
            <w:tcW w:w="225" w:type="dxa"/>
            <w:tcBorders>
              <w:top w:val="nil"/>
              <w:left w:val="nil"/>
              <w:bottom w:val="nil"/>
              <w:right w:val="nil"/>
            </w:tcBorders>
            <w:shd w:val="clear" w:color="auto" w:fill="auto"/>
            <w:noWrap/>
            <w:vAlign w:val="center"/>
            <w:hideMark/>
          </w:tcPr>
          <w:p w14:paraId="62DD2AEC" w14:textId="77777777" w:rsidR="00AD5C2E" w:rsidRPr="00AD5C2E" w:rsidRDefault="00AD5C2E" w:rsidP="00AD5C2E">
            <w:pPr>
              <w:spacing w:after="0" w:line="240" w:lineRule="auto"/>
              <w:jc w:val="center"/>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w:t>
            </w:r>
          </w:p>
        </w:tc>
        <w:tc>
          <w:tcPr>
            <w:tcW w:w="1834" w:type="dxa"/>
            <w:tcBorders>
              <w:top w:val="nil"/>
              <w:left w:val="nil"/>
              <w:bottom w:val="nil"/>
              <w:right w:val="nil"/>
            </w:tcBorders>
            <w:shd w:val="clear" w:color="auto" w:fill="auto"/>
            <w:noWrap/>
            <w:vAlign w:val="center"/>
            <w:hideMark/>
          </w:tcPr>
          <w:p w14:paraId="59C49A8A" w14:textId="77777777" w:rsidR="00AD5C2E" w:rsidRPr="00AD5C2E" w:rsidRDefault="00AD5C2E" w:rsidP="00AD5C2E">
            <w:pPr>
              <w:spacing w:after="0" w:line="240" w:lineRule="auto"/>
              <w:jc w:val="center"/>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w:t>
            </w:r>
          </w:p>
        </w:tc>
        <w:tc>
          <w:tcPr>
            <w:tcW w:w="225" w:type="dxa"/>
            <w:tcBorders>
              <w:top w:val="nil"/>
              <w:left w:val="nil"/>
              <w:bottom w:val="nil"/>
              <w:right w:val="nil"/>
            </w:tcBorders>
            <w:shd w:val="clear" w:color="auto" w:fill="auto"/>
            <w:noWrap/>
            <w:vAlign w:val="center"/>
            <w:hideMark/>
          </w:tcPr>
          <w:p w14:paraId="6669952B" w14:textId="77777777" w:rsidR="00AD5C2E" w:rsidRPr="00AD5C2E" w:rsidRDefault="00AD5C2E" w:rsidP="00AD5C2E">
            <w:pPr>
              <w:spacing w:after="0" w:line="240" w:lineRule="auto"/>
              <w:jc w:val="center"/>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w:t>
            </w:r>
          </w:p>
        </w:tc>
        <w:tc>
          <w:tcPr>
            <w:tcW w:w="1834" w:type="dxa"/>
            <w:tcBorders>
              <w:top w:val="nil"/>
              <w:left w:val="nil"/>
              <w:bottom w:val="nil"/>
              <w:right w:val="nil"/>
            </w:tcBorders>
            <w:shd w:val="clear" w:color="auto" w:fill="auto"/>
            <w:noWrap/>
            <w:vAlign w:val="center"/>
            <w:hideMark/>
          </w:tcPr>
          <w:p w14:paraId="7B8C882E" w14:textId="77777777" w:rsidR="00AD5C2E" w:rsidRPr="00AD5C2E" w:rsidRDefault="00AD5C2E" w:rsidP="00AD5C2E">
            <w:pPr>
              <w:spacing w:after="0" w:line="240" w:lineRule="auto"/>
              <w:jc w:val="center"/>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w:t>
            </w:r>
          </w:p>
        </w:tc>
      </w:tr>
      <w:tr w:rsidR="00AD5C2E" w:rsidRPr="00AD5C2E" w14:paraId="6F956AA2" w14:textId="77777777" w:rsidTr="00F7132F">
        <w:trPr>
          <w:trHeight w:val="20"/>
        </w:trPr>
        <w:tc>
          <w:tcPr>
            <w:tcW w:w="5217" w:type="dxa"/>
            <w:tcBorders>
              <w:top w:val="nil"/>
              <w:left w:val="nil"/>
              <w:bottom w:val="nil"/>
              <w:right w:val="nil"/>
            </w:tcBorders>
            <w:shd w:val="clear" w:color="auto" w:fill="auto"/>
            <w:noWrap/>
            <w:vAlign w:val="center"/>
            <w:hideMark/>
          </w:tcPr>
          <w:p w14:paraId="1EF7DF12" w14:textId="77777777" w:rsidR="00AD5C2E" w:rsidRPr="00AD5C2E" w:rsidRDefault="00AD5C2E" w:rsidP="00AD5C2E">
            <w:pPr>
              <w:spacing w:after="0" w:line="240" w:lineRule="auto"/>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Contrato de pactuação obrigação financeira</w:t>
            </w:r>
          </w:p>
        </w:tc>
        <w:tc>
          <w:tcPr>
            <w:tcW w:w="225" w:type="dxa"/>
            <w:tcBorders>
              <w:top w:val="nil"/>
              <w:left w:val="nil"/>
              <w:bottom w:val="nil"/>
              <w:right w:val="nil"/>
            </w:tcBorders>
            <w:shd w:val="clear" w:color="auto" w:fill="auto"/>
            <w:noWrap/>
            <w:vAlign w:val="center"/>
            <w:hideMark/>
          </w:tcPr>
          <w:p w14:paraId="263574EE" w14:textId="77777777" w:rsidR="00AD5C2E" w:rsidRPr="00AD5C2E" w:rsidRDefault="00AD5C2E" w:rsidP="00AD5C2E">
            <w:pPr>
              <w:spacing w:after="0" w:line="240" w:lineRule="auto"/>
              <w:rPr>
                <w:rFonts w:ascii="Verdana" w:eastAsia="Times New Roman" w:hAnsi="Verdana" w:cs="Calibri"/>
                <w:color w:val="000000"/>
                <w:sz w:val="18"/>
                <w:szCs w:val="18"/>
                <w:lang w:eastAsia="pt-BR"/>
              </w:rPr>
            </w:pPr>
          </w:p>
        </w:tc>
        <w:tc>
          <w:tcPr>
            <w:tcW w:w="1834" w:type="dxa"/>
            <w:tcBorders>
              <w:top w:val="nil"/>
              <w:left w:val="nil"/>
              <w:bottom w:val="nil"/>
              <w:right w:val="nil"/>
            </w:tcBorders>
            <w:shd w:val="clear" w:color="auto" w:fill="auto"/>
            <w:noWrap/>
            <w:vAlign w:val="center"/>
            <w:hideMark/>
          </w:tcPr>
          <w:p w14:paraId="6BD39B8F" w14:textId="77777777" w:rsidR="00AD5C2E" w:rsidRPr="00AD5C2E" w:rsidRDefault="00AD5C2E" w:rsidP="00AD5C2E">
            <w:pPr>
              <w:spacing w:after="0" w:line="240" w:lineRule="auto"/>
              <w:jc w:val="right"/>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xml:space="preserve">                      -   </w:t>
            </w:r>
          </w:p>
        </w:tc>
        <w:tc>
          <w:tcPr>
            <w:tcW w:w="225" w:type="dxa"/>
            <w:tcBorders>
              <w:top w:val="nil"/>
              <w:left w:val="nil"/>
              <w:bottom w:val="nil"/>
              <w:right w:val="nil"/>
            </w:tcBorders>
            <w:shd w:val="clear" w:color="auto" w:fill="auto"/>
            <w:noWrap/>
            <w:vAlign w:val="center"/>
            <w:hideMark/>
          </w:tcPr>
          <w:p w14:paraId="3003B9A2" w14:textId="77777777" w:rsidR="00AD5C2E" w:rsidRPr="00AD5C2E" w:rsidRDefault="00AD5C2E" w:rsidP="00AD5C2E">
            <w:pPr>
              <w:spacing w:after="0" w:line="240" w:lineRule="auto"/>
              <w:jc w:val="right"/>
              <w:rPr>
                <w:rFonts w:ascii="Verdana" w:eastAsia="Times New Roman" w:hAnsi="Verdana" w:cs="Calibri"/>
                <w:color w:val="000000"/>
                <w:sz w:val="18"/>
                <w:szCs w:val="18"/>
                <w:lang w:eastAsia="pt-BR"/>
              </w:rPr>
            </w:pPr>
          </w:p>
        </w:tc>
        <w:tc>
          <w:tcPr>
            <w:tcW w:w="1834" w:type="dxa"/>
            <w:tcBorders>
              <w:top w:val="nil"/>
              <w:left w:val="nil"/>
              <w:bottom w:val="nil"/>
              <w:right w:val="nil"/>
            </w:tcBorders>
            <w:shd w:val="clear" w:color="auto" w:fill="auto"/>
            <w:noWrap/>
            <w:vAlign w:val="center"/>
            <w:hideMark/>
          </w:tcPr>
          <w:p w14:paraId="19F538EC" w14:textId="77777777" w:rsidR="00AD5C2E" w:rsidRPr="00AD5C2E" w:rsidRDefault="00AD5C2E" w:rsidP="00AD5C2E">
            <w:pPr>
              <w:spacing w:after="0" w:line="240" w:lineRule="auto"/>
              <w:jc w:val="right"/>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xml:space="preserve">                8.780 </w:t>
            </w:r>
          </w:p>
        </w:tc>
      </w:tr>
      <w:tr w:rsidR="00AD5C2E" w:rsidRPr="00AD5C2E" w14:paraId="511F48D2" w14:textId="77777777" w:rsidTr="00F7132F">
        <w:trPr>
          <w:trHeight w:val="20"/>
        </w:trPr>
        <w:tc>
          <w:tcPr>
            <w:tcW w:w="5217" w:type="dxa"/>
            <w:tcBorders>
              <w:top w:val="nil"/>
              <w:left w:val="nil"/>
              <w:bottom w:val="nil"/>
              <w:right w:val="nil"/>
            </w:tcBorders>
            <w:shd w:val="clear" w:color="auto" w:fill="auto"/>
            <w:noWrap/>
            <w:vAlign w:val="center"/>
            <w:hideMark/>
          </w:tcPr>
          <w:p w14:paraId="5228ABD5" w14:textId="77777777" w:rsidR="00AD5C2E" w:rsidRPr="00AD5C2E" w:rsidRDefault="00AD5C2E" w:rsidP="00AD5C2E">
            <w:pPr>
              <w:spacing w:after="0" w:line="240" w:lineRule="auto"/>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Provisão atuarial</w:t>
            </w:r>
          </w:p>
        </w:tc>
        <w:tc>
          <w:tcPr>
            <w:tcW w:w="225" w:type="dxa"/>
            <w:tcBorders>
              <w:top w:val="nil"/>
              <w:left w:val="nil"/>
              <w:bottom w:val="nil"/>
              <w:right w:val="nil"/>
            </w:tcBorders>
            <w:shd w:val="clear" w:color="auto" w:fill="auto"/>
            <w:noWrap/>
            <w:vAlign w:val="center"/>
            <w:hideMark/>
          </w:tcPr>
          <w:p w14:paraId="7D54E244" w14:textId="77777777" w:rsidR="00AD5C2E" w:rsidRPr="00AD5C2E" w:rsidRDefault="00AD5C2E" w:rsidP="00AD5C2E">
            <w:pPr>
              <w:spacing w:after="0" w:line="240" w:lineRule="auto"/>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w:t>
            </w:r>
          </w:p>
        </w:tc>
        <w:tc>
          <w:tcPr>
            <w:tcW w:w="1834" w:type="dxa"/>
            <w:tcBorders>
              <w:top w:val="nil"/>
              <w:left w:val="nil"/>
              <w:bottom w:val="nil"/>
              <w:right w:val="nil"/>
            </w:tcBorders>
            <w:shd w:val="clear" w:color="auto" w:fill="auto"/>
            <w:noWrap/>
            <w:vAlign w:val="center"/>
            <w:hideMark/>
          </w:tcPr>
          <w:p w14:paraId="3C794D61" w14:textId="77777777" w:rsidR="00AD5C2E" w:rsidRPr="00AD5C2E" w:rsidRDefault="00AD5C2E" w:rsidP="00AD5C2E">
            <w:pPr>
              <w:spacing w:after="0" w:line="240" w:lineRule="auto"/>
              <w:jc w:val="right"/>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xml:space="preserve">                      -   </w:t>
            </w:r>
          </w:p>
        </w:tc>
        <w:tc>
          <w:tcPr>
            <w:tcW w:w="225" w:type="dxa"/>
            <w:tcBorders>
              <w:top w:val="nil"/>
              <w:left w:val="nil"/>
              <w:bottom w:val="nil"/>
              <w:right w:val="nil"/>
            </w:tcBorders>
            <w:shd w:val="clear" w:color="auto" w:fill="auto"/>
            <w:noWrap/>
            <w:vAlign w:val="center"/>
            <w:hideMark/>
          </w:tcPr>
          <w:p w14:paraId="149A53B0" w14:textId="77777777" w:rsidR="00AD5C2E" w:rsidRPr="00AD5C2E" w:rsidRDefault="00AD5C2E" w:rsidP="00AD5C2E">
            <w:pPr>
              <w:spacing w:after="0" w:line="240" w:lineRule="auto"/>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w:t>
            </w:r>
          </w:p>
        </w:tc>
        <w:tc>
          <w:tcPr>
            <w:tcW w:w="1834" w:type="dxa"/>
            <w:tcBorders>
              <w:top w:val="nil"/>
              <w:left w:val="nil"/>
              <w:bottom w:val="nil"/>
              <w:right w:val="nil"/>
            </w:tcBorders>
            <w:shd w:val="clear" w:color="auto" w:fill="auto"/>
            <w:noWrap/>
            <w:vAlign w:val="center"/>
            <w:hideMark/>
          </w:tcPr>
          <w:p w14:paraId="7F894B6B" w14:textId="77777777" w:rsidR="00AD5C2E" w:rsidRPr="00AD5C2E" w:rsidRDefault="00AD5C2E" w:rsidP="00AD5C2E">
            <w:pPr>
              <w:spacing w:after="0" w:line="240" w:lineRule="auto"/>
              <w:jc w:val="right"/>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xml:space="preserve">            939.837 </w:t>
            </w:r>
          </w:p>
        </w:tc>
      </w:tr>
      <w:tr w:rsidR="00AD5C2E" w:rsidRPr="00AD5C2E" w14:paraId="2F85468E" w14:textId="77777777" w:rsidTr="00F7132F">
        <w:trPr>
          <w:trHeight w:val="20"/>
        </w:trPr>
        <w:tc>
          <w:tcPr>
            <w:tcW w:w="5217" w:type="dxa"/>
            <w:tcBorders>
              <w:top w:val="nil"/>
              <w:left w:val="nil"/>
              <w:bottom w:val="nil"/>
              <w:right w:val="nil"/>
            </w:tcBorders>
            <w:shd w:val="clear" w:color="auto" w:fill="auto"/>
            <w:noWrap/>
            <w:vAlign w:val="center"/>
            <w:hideMark/>
          </w:tcPr>
          <w:p w14:paraId="3839915B" w14:textId="77777777" w:rsidR="00AD5C2E" w:rsidRPr="00AD5C2E" w:rsidRDefault="00AD5C2E" w:rsidP="00AD5C2E">
            <w:pPr>
              <w:spacing w:after="0" w:line="240" w:lineRule="auto"/>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Total das obrigações de benefício pós emprego</w:t>
            </w:r>
          </w:p>
        </w:tc>
        <w:tc>
          <w:tcPr>
            <w:tcW w:w="225" w:type="dxa"/>
            <w:tcBorders>
              <w:top w:val="nil"/>
              <w:left w:val="nil"/>
              <w:bottom w:val="nil"/>
              <w:right w:val="nil"/>
            </w:tcBorders>
            <w:shd w:val="clear" w:color="auto" w:fill="auto"/>
            <w:noWrap/>
            <w:vAlign w:val="center"/>
            <w:hideMark/>
          </w:tcPr>
          <w:p w14:paraId="138A2D92" w14:textId="77777777" w:rsidR="00AD5C2E" w:rsidRPr="00AD5C2E" w:rsidRDefault="00AD5C2E" w:rsidP="00AD5C2E">
            <w:pPr>
              <w:spacing w:after="0" w:line="240" w:lineRule="auto"/>
              <w:rPr>
                <w:rFonts w:ascii="Verdana" w:eastAsia="Times New Roman" w:hAnsi="Verdana" w:cs="Calibri"/>
                <w:color w:val="000000"/>
                <w:sz w:val="18"/>
                <w:szCs w:val="18"/>
                <w:lang w:eastAsia="pt-BR"/>
              </w:rPr>
            </w:pPr>
          </w:p>
        </w:tc>
        <w:tc>
          <w:tcPr>
            <w:tcW w:w="1834" w:type="dxa"/>
            <w:tcBorders>
              <w:top w:val="single" w:sz="4" w:space="0" w:color="auto"/>
              <w:left w:val="nil"/>
              <w:bottom w:val="nil"/>
              <w:right w:val="nil"/>
            </w:tcBorders>
            <w:shd w:val="clear" w:color="auto" w:fill="auto"/>
            <w:noWrap/>
            <w:vAlign w:val="center"/>
            <w:hideMark/>
          </w:tcPr>
          <w:p w14:paraId="370307E4" w14:textId="77777777" w:rsidR="00AD5C2E" w:rsidRPr="00AD5C2E" w:rsidRDefault="00AD5C2E" w:rsidP="00AD5C2E">
            <w:pPr>
              <w:spacing w:after="0" w:line="240" w:lineRule="auto"/>
              <w:jc w:val="right"/>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xml:space="preserve">                      -   </w:t>
            </w:r>
          </w:p>
        </w:tc>
        <w:tc>
          <w:tcPr>
            <w:tcW w:w="225" w:type="dxa"/>
            <w:tcBorders>
              <w:top w:val="nil"/>
              <w:left w:val="nil"/>
              <w:bottom w:val="nil"/>
              <w:right w:val="nil"/>
            </w:tcBorders>
            <w:shd w:val="clear" w:color="auto" w:fill="auto"/>
            <w:noWrap/>
            <w:vAlign w:val="center"/>
            <w:hideMark/>
          </w:tcPr>
          <w:p w14:paraId="0A52851B" w14:textId="77777777" w:rsidR="00AD5C2E" w:rsidRPr="00AD5C2E" w:rsidRDefault="00AD5C2E" w:rsidP="00AD5C2E">
            <w:pPr>
              <w:spacing w:after="0" w:line="240" w:lineRule="auto"/>
              <w:jc w:val="right"/>
              <w:rPr>
                <w:rFonts w:ascii="Verdana" w:eastAsia="Times New Roman" w:hAnsi="Verdana" w:cs="Calibri"/>
                <w:color w:val="000000"/>
                <w:sz w:val="18"/>
                <w:szCs w:val="18"/>
                <w:lang w:eastAsia="pt-BR"/>
              </w:rPr>
            </w:pPr>
          </w:p>
        </w:tc>
        <w:tc>
          <w:tcPr>
            <w:tcW w:w="1834" w:type="dxa"/>
            <w:tcBorders>
              <w:top w:val="single" w:sz="4" w:space="0" w:color="auto"/>
              <w:left w:val="nil"/>
              <w:bottom w:val="nil"/>
              <w:right w:val="nil"/>
            </w:tcBorders>
            <w:shd w:val="clear" w:color="auto" w:fill="auto"/>
            <w:noWrap/>
            <w:vAlign w:val="center"/>
            <w:hideMark/>
          </w:tcPr>
          <w:p w14:paraId="1AC91708" w14:textId="77777777" w:rsidR="00AD5C2E" w:rsidRPr="00AD5C2E" w:rsidRDefault="00AD5C2E" w:rsidP="00AD5C2E">
            <w:pPr>
              <w:spacing w:after="0" w:line="240" w:lineRule="auto"/>
              <w:jc w:val="right"/>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xml:space="preserve">            948.617 </w:t>
            </w:r>
          </w:p>
        </w:tc>
      </w:tr>
      <w:tr w:rsidR="00AD5C2E" w:rsidRPr="00AD5C2E" w14:paraId="3FBE3F5D" w14:textId="77777777" w:rsidTr="00F7132F">
        <w:trPr>
          <w:trHeight w:val="20"/>
        </w:trPr>
        <w:tc>
          <w:tcPr>
            <w:tcW w:w="5217" w:type="dxa"/>
            <w:tcBorders>
              <w:top w:val="nil"/>
              <w:left w:val="nil"/>
              <w:bottom w:val="nil"/>
              <w:right w:val="nil"/>
            </w:tcBorders>
            <w:shd w:val="clear" w:color="auto" w:fill="auto"/>
            <w:noWrap/>
            <w:vAlign w:val="center"/>
            <w:hideMark/>
          </w:tcPr>
          <w:p w14:paraId="26F0755A" w14:textId="77777777" w:rsidR="00AD5C2E" w:rsidRPr="00AD5C2E" w:rsidRDefault="00AD5C2E" w:rsidP="00AD5C2E">
            <w:pPr>
              <w:spacing w:after="0" w:line="240" w:lineRule="auto"/>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w:t>
            </w:r>
          </w:p>
        </w:tc>
        <w:tc>
          <w:tcPr>
            <w:tcW w:w="225" w:type="dxa"/>
            <w:tcBorders>
              <w:top w:val="nil"/>
              <w:left w:val="nil"/>
              <w:bottom w:val="nil"/>
              <w:right w:val="nil"/>
            </w:tcBorders>
            <w:shd w:val="clear" w:color="auto" w:fill="auto"/>
            <w:noWrap/>
            <w:vAlign w:val="center"/>
            <w:hideMark/>
          </w:tcPr>
          <w:p w14:paraId="71D2C746" w14:textId="77777777" w:rsidR="00AD5C2E" w:rsidRPr="00AD5C2E" w:rsidRDefault="00AD5C2E" w:rsidP="00AD5C2E">
            <w:pPr>
              <w:spacing w:after="0" w:line="240" w:lineRule="auto"/>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w:t>
            </w:r>
          </w:p>
        </w:tc>
        <w:tc>
          <w:tcPr>
            <w:tcW w:w="1834" w:type="dxa"/>
            <w:tcBorders>
              <w:top w:val="nil"/>
              <w:left w:val="nil"/>
              <w:bottom w:val="nil"/>
              <w:right w:val="nil"/>
            </w:tcBorders>
            <w:shd w:val="clear" w:color="auto" w:fill="auto"/>
            <w:noWrap/>
            <w:vAlign w:val="center"/>
            <w:hideMark/>
          </w:tcPr>
          <w:p w14:paraId="3E33B081" w14:textId="77777777" w:rsidR="00AD5C2E" w:rsidRPr="00AD5C2E" w:rsidRDefault="00AD5C2E" w:rsidP="00AD5C2E">
            <w:pPr>
              <w:spacing w:after="0" w:line="240" w:lineRule="auto"/>
              <w:jc w:val="right"/>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w:t>
            </w:r>
          </w:p>
        </w:tc>
        <w:tc>
          <w:tcPr>
            <w:tcW w:w="225" w:type="dxa"/>
            <w:tcBorders>
              <w:top w:val="nil"/>
              <w:left w:val="nil"/>
              <w:bottom w:val="nil"/>
              <w:right w:val="nil"/>
            </w:tcBorders>
            <w:shd w:val="clear" w:color="auto" w:fill="auto"/>
            <w:noWrap/>
            <w:vAlign w:val="center"/>
            <w:hideMark/>
          </w:tcPr>
          <w:p w14:paraId="60072A3D" w14:textId="77777777" w:rsidR="00AD5C2E" w:rsidRPr="00AD5C2E" w:rsidRDefault="00AD5C2E" w:rsidP="00AD5C2E">
            <w:pPr>
              <w:spacing w:after="0" w:line="240" w:lineRule="auto"/>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w:t>
            </w:r>
          </w:p>
        </w:tc>
        <w:tc>
          <w:tcPr>
            <w:tcW w:w="1834" w:type="dxa"/>
            <w:tcBorders>
              <w:top w:val="nil"/>
              <w:left w:val="nil"/>
              <w:bottom w:val="nil"/>
              <w:right w:val="nil"/>
            </w:tcBorders>
            <w:shd w:val="clear" w:color="auto" w:fill="auto"/>
            <w:noWrap/>
            <w:vAlign w:val="center"/>
            <w:hideMark/>
          </w:tcPr>
          <w:p w14:paraId="0DEC5D26" w14:textId="77777777" w:rsidR="00AD5C2E" w:rsidRPr="00AD5C2E" w:rsidRDefault="00AD5C2E" w:rsidP="00AD5C2E">
            <w:pPr>
              <w:spacing w:after="0" w:line="240" w:lineRule="auto"/>
              <w:jc w:val="right"/>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w:t>
            </w:r>
          </w:p>
        </w:tc>
      </w:tr>
      <w:tr w:rsidR="00AD5C2E" w:rsidRPr="00AD5C2E" w14:paraId="4B3EE3A8" w14:textId="77777777" w:rsidTr="00AD5C2E">
        <w:trPr>
          <w:trHeight w:val="20"/>
        </w:trPr>
        <w:tc>
          <w:tcPr>
            <w:tcW w:w="5217" w:type="dxa"/>
            <w:tcBorders>
              <w:top w:val="nil"/>
              <w:left w:val="nil"/>
              <w:bottom w:val="nil"/>
              <w:right w:val="nil"/>
            </w:tcBorders>
            <w:shd w:val="clear" w:color="auto" w:fill="auto"/>
            <w:noWrap/>
            <w:vAlign w:val="center"/>
          </w:tcPr>
          <w:p w14:paraId="0091B459" w14:textId="77777777" w:rsidR="00AD5C2E" w:rsidRPr="00AD5C2E" w:rsidRDefault="00AD5C2E" w:rsidP="00AD5C2E">
            <w:pPr>
              <w:spacing w:after="0" w:line="240" w:lineRule="auto"/>
              <w:rPr>
                <w:rFonts w:ascii="Verdana" w:eastAsia="Times New Roman" w:hAnsi="Verdana" w:cs="Calibri"/>
                <w:color w:val="000000"/>
                <w:sz w:val="18"/>
                <w:szCs w:val="18"/>
                <w:lang w:eastAsia="pt-BR"/>
              </w:rPr>
            </w:pPr>
          </w:p>
        </w:tc>
        <w:tc>
          <w:tcPr>
            <w:tcW w:w="225" w:type="dxa"/>
            <w:tcBorders>
              <w:top w:val="nil"/>
              <w:left w:val="nil"/>
              <w:bottom w:val="nil"/>
              <w:right w:val="nil"/>
            </w:tcBorders>
            <w:shd w:val="clear" w:color="auto" w:fill="auto"/>
            <w:noWrap/>
            <w:vAlign w:val="center"/>
          </w:tcPr>
          <w:p w14:paraId="70C05A79" w14:textId="77777777" w:rsidR="00AD5C2E" w:rsidRPr="00AD5C2E" w:rsidRDefault="00AD5C2E" w:rsidP="00AD5C2E">
            <w:pPr>
              <w:spacing w:after="0" w:line="240" w:lineRule="auto"/>
              <w:rPr>
                <w:rFonts w:ascii="Verdana" w:eastAsia="Times New Roman" w:hAnsi="Verdana" w:cs="Calibri"/>
                <w:color w:val="000000"/>
                <w:sz w:val="18"/>
                <w:szCs w:val="18"/>
                <w:lang w:eastAsia="pt-BR"/>
              </w:rPr>
            </w:pPr>
          </w:p>
        </w:tc>
        <w:tc>
          <w:tcPr>
            <w:tcW w:w="1834" w:type="dxa"/>
            <w:tcBorders>
              <w:top w:val="nil"/>
              <w:left w:val="nil"/>
              <w:bottom w:val="nil"/>
              <w:right w:val="nil"/>
            </w:tcBorders>
            <w:shd w:val="clear" w:color="auto" w:fill="auto"/>
            <w:noWrap/>
            <w:vAlign w:val="center"/>
          </w:tcPr>
          <w:p w14:paraId="1E5BD13E" w14:textId="77777777" w:rsidR="00AD5C2E" w:rsidRPr="00AD5C2E" w:rsidRDefault="00AD5C2E" w:rsidP="00AD5C2E">
            <w:pPr>
              <w:spacing w:after="0" w:line="240" w:lineRule="auto"/>
              <w:jc w:val="right"/>
              <w:rPr>
                <w:rFonts w:ascii="Verdana" w:eastAsia="Times New Roman" w:hAnsi="Verdana" w:cs="Calibri"/>
                <w:color w:val="000000"/>
                <w:sz w:val="18"/>
                <w:szCs w:val="18"/>
                <w:lang w:eastAsia="pt-BR"/>
              </w:rPr>
            </w:pPr>
          </w:p>
        </w:tc>
        <w:tc>
          <w:tcPr>
            <w:tcW w:w="225" w:type="dxa"/>
            <w:tcBorders>
              <w:top w:val="nil"/>
              <w:left w:val="nil"/>
              <w:bottom w:val="nil"/>
              <w:right w:val="nil"/>
            </w:tcBorders>
            <w:shd w:val="clear" w:color="auto" w:fill="auto"/>
            <w:noWrap/>
            <w:vAlign w:val="center"/>
          </w:tcPr>
          <w:p w14:paraId="4376EB26" w14:textId="77777777" w:rsidR="00AD5C2E" w:rsidRPr="00AD5C2E" w:rsidRDefault="00AD5C2E" w:rsidP="00AD5C2E">
            <w:pPr>
              <w:spacing w:after="0" w:line="240" w:lineRule="auto"/>
              <w:rPr>
                <w:rFonts w:ascii="Verdana" w:eastAsia="Times New Roman" w:hAnsi="Verdana" w:cs="Calibri"/>
                <w:color w:val="000000"/>
                <w:sz w:val="18"/>
                <w:szCs w:val="18"/>
                <w:lang w:eastAsia="pt-BR"/>
              </w:rPr>
            </w:pPr>
          </w:p>
        </w:tc>
        <w:tc>
          <w:tcPr>
            <w:tcW w:w="1834" w:type="dxa"/>
            <w:tcBorders>
              <w:top w:val="nil"/>
              <w:left w:val="nil"/>
              <w:bottom w:val="nil"/>
              <w:right w:val="nil"/>
            </w:tcBorders>
            <w:shd w:val="clear" w:color="auto" w:fill="auto"/>
            <w:noWrap/>
            <w:vAlign w:val="center"/>
          </w:tcPr>
          <w:p w14:paraId="4427F06A" w14:textId="77777777" w:rsidR="00AD5C2E" w:rsidRPr="00AD5C2E" w:rsidRDefault="00AD5C2E" w:rsidP="00AD5C2E">
            <w:pPr>
              <w:spacing w:after="0" w:line="240" w:lineRule="auto"/>
              <w:jc w:val="right"/>
              <w:rPr>
                <w:rFonts w:ascii="Verdana" w:eastAsia="Times New Roman" w:hAnsi="Verdana" w:cs="Calibri"/>
                <w:color w:val="000000"/>
                <w:sz w:val="18"/>
                <w:szCs w:val="18"/>
                <w:lang w:eastAsia="pt-BR"/>
              </w:rPr>
            </w:pPr>
          </w:p>
        </w:tc>
      </w:tr>
      <w:tr w:rsidR="00AD5C2E" w:rsidRPr="00AD5C2E" w14:paraId="15D93AF8" w14:textId="77777777" w:rsidTr="00F7132F">
        <w:trPr>
          <w:trHeight w:val="20"/>
        </w:trPr>
        <w:tc>
          <w:tcPr>
            <w:tcW w:w="5217" w:type="dxa"/>
            <w:tcBorders>
              <w:top w:val="nil"/>
              <w:left w:val="nil"/>
              <w:bottom w:val="nil"/>
              <w:right w:val="nil"/>
            </w:tcBorders>
            <w:shd w:val="clear" w:color="auto" w:fill="auto"/>
            <w:noWrap/>
            <w:vAlign w:val="center"/>
            <w:hideMark/>
          </w:tcPr>
          <w:p w14:paraId="46B07301" w14:textId="77777777" w:rsidR="00AD5C2E" w:rsidRPr="00AD5C2E" w:rsidRDefault="00AD5C2E" w:rsidP="00AD5C2E">
            <w:pPr>
              <w:spacing w:after="0" w:line="240" w:lineRule="auto"/>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Circulante</w:t>
            </w:r>
          </w:p>
        </w:tc>
        <w:tc>
          <w:tcPr>
            <w:tcW w:w="225" w:type="dxa"/>
            <w:tcBorders>
              <w:top w:val="nil"/>
              <w:left w:val="nil"/>
              <w:bottom w:val="nil"/>
              <w:right w:val="nil"/>
            </w:tcBorders>
            <w:shd w:val="clear" w:color="auto" w:fill="auto"/>
            <w:noWrap/>
            <w:vAlign w:val="center"/>
            <w:hideMark/>
          </w:tcPr>
          <w:p w14:paraId="7A38D86F" w14:textId="77777777" w:rsidR="00AD5C2E" w:rsidRPr="00AD5C2E" w:rsidRDefault="00AD5C2E" w:rsidP="00AD5C2E">
            <w:pPr>
              <w:spacing w:after="0" w:line="240" w:lineRule="auto"/>
              <w:rPr>
                <w:rFonts w:ascii="Verdana" w:eastAsia="Times New Roman" w:hAnsi="Verdana" w:cs="Calibri"/>
                <w:color w:val="000000"/>
                <w:sz w:val="18"/>
                <w:szCs w:val="18"/>
                <w:lang w:eastAsia="pt-BR"/>
              </w:rPr>
            </w:pPr>
          </w:p>
        </w:tc>
        <w:tc>
          <w:tcPr>
            <w:tcW w:w="1834" w:type="dxa"/>
            <w:tcBorders>
              <w:top w:val="nil"/>
              <w:left w:val="nil"/>
              <w:bottom w:val="nil"/>
              <w:right w:val="nil"/>
            </w:tcBorders>
            <w:shd w:val="clear" w:color="auto" w:fill="auto"/>
            <w:noWrap/>
            <w:vAlign w:val="center"/>
            <w:hideMark/>
          </w:tcPr>
          <w:p w14:paraId="71D409D1" w14:textId="77777777" w:rsidR="00AD5C2E" w:rsidRPr="00AD5C2E" w:rsidRDefault="00AD5C2E" w:rsidP="00AD5C2E">
            <w:pPr>
              <w:spacing w:after="0" w:line="240" w:lineRule="auto"/>
              <w:jc w:val="right"/>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xml:space="preserve">                      -   </w:t>
            </w:r>
          </w:p>
        </w:tc>
        <w:tc>
          <w:tcPr>
            <w:tcW w:w="225" w:type="dxa"/>
            <w:tcBorders>
              <w:top w:val="nil"/>
              <w:left w:val="nil"/>
              <w:bottom w:val="nil"/>
              <w:right w:val="nil"/>
            </w:tcBorders>
            <w:shd w:val="clear" w:color="auto" w:fill="auto"/>
            <w:noWrap/>
            <w:vAlign w:val="center"/>
            <w:hideMark/>
          </w:tcPr>
          <w:p w14:paraId="6E897B8D" w14:textId="77777777" w:rsidR="00AD5C2E" w:rsidRPr="00AD5C2E" w:rsidRDefault="00AD5C2E" w:rsidP="00AD5C2E">
            <w:pPr>
              <w:spacing w:after="0" w:line="240" w:lineRule="auto"/>
              <w:jc w:val="right"/>
              <w:rPr>
                <w:rFonts w:ascii="Verdana" w:eastAsia="Times New Roman" w:hAnsi="Verdana" w:cs="Calibri"/>
                <w:color w:val="000000"/>
                <w:sz w:val="18"/>
                <w:szCs w:val="18"/>
                <w:lang w:eastAsia="pt-BR"/>
              </w:rPr>
            </w:pPr>
          </w:p>
        </w:tc>
        <w:tc>
          <w:tcPr>
            <w:tcW w:w="1834" w:type="dxa"/>
            <w:tcBorders>
              <w:top w:val="nil"/>
              <w:left w:val="nil"/>
              <w:bottom w:val="nil"/>
              <w:right w:val="nil"/>
            </w:tcBorders>
            <w:shd w:val="clear" w:color="auto" w:fill="auto"/>
            <w:noWrap/>
            <w:vAlign w:val="center"/>
            <w:hideMark/>
          </w:tcPr>
          <w:p w14:paraId="2B55CE54" w14:textId="77777777" w:rsidR="00AD5C2E" w:rsidRPr="00AD5C2E" w:rsidRDefault="00AD5C2E" w:rsidP="00AD5C2E">
            <w:pPr>
              <w:spacing w:after="0" w:line="240" w:lineRule="auto"/>
              <w:jc w:val="right"/>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xml:space="preserve">                5.184 </w:t>
            </w:r>
          </w:p>
        </w:tc>
      </w:tr>
      <w:tr w:rsidR="00AD5C2E" w:rsidRPr="00AD5C2E" w14:paraId="5429BFCE" w14:textId="77777777" w:rsidTr="00F7132F">
        <w:trPr>
          <w:trHeight w:val="20"/>
        </w:trPr>
        <w:tc>
          <w:tcPr>
            <w:tcW w:w="5217" w:type="dxa"/>
            <w:tcBorders>
              <w:top w:val="nil"/>
              <w:left w:val="nil"/>
              <w:bottom w:val="nil"/>
              <w:right w:val="nil"/>
            </w:tcBorders>
            <w:shd w:val="clear" w:color="auto" w:fill="auto"/>
            <w:noWrap/>
            <w:vAlign w:val="center"/>
            <w:hideMark/>
          </w:tcPr>
          <w:p w14:paraId="49B7F663" w14:textId="77777777" w:rsidR="00AD5C2E" w:rsidRPr="00AD5C2E" w:rsidRDefault="00AD5C2E" w:rsidP="00AD5C2E">
            <w:pPr>
              <w:spacing w:after="0" w:line="240" w:lineRule="auto"/>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Não circulante</w:t>
            </w:r>
          </w:p>
        </w:tc>
        <w:tc>
          <w:tcPr>
            <w:tcW w:w="225" w:type="dxa"/>
            <w:tcBorders>
              <w:top w:val="nil"/>
              <w:left w:val="nil"/>
              <w:bottom w:val="nil"/>
              <w:right w:val="nil"/>
            </w:tcBorders>
            <w:shd w:val="clear" w:color="auto" w:fill="auto"/>
            <w:noWrap/>
            <w:vAlign w:val="center"/>
            <w:hideMark/>
          </w:tcPr>
          <w:p w14:paraId="317419F2" w14:textId="77777777" w:rsidR="00AD5C2E" w:rsidRPr="00AD5C2E" w:rsidRDefault="00AD5C2E" w:rsidP="00AD5C2E">
            <w:pPr>
              <w:spacing w:after="0" w:line="240" w:lineRule="auto"/>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w:t>
            </w:r>
          </w:p>
        </w:tc>
        <w:tc>
          <w:tcPr>
            <w:tcW w:w="1834" w:type="dxa"/>
            <w:tcBorders>
              <w:top w:val="nil"/>
              <w:left w:val="nil"/>
              <w:bottom w:val="nil"/>
              <w:right w:val="nil"/>
            </w:tcBorders>
            <w:shd w:val="clear" w:color="auto" w:fill="auto"/>
            <w:noWrap/>
            <w:vAlign w:val="center"/>
            <w:hideMark/>
          </w:tcPr>
          <w:p w14:paraId="4E14148E" w14:textId="77777777" w:rsidR="00AD5C2E" w:rsidRPr="00AD5C2E" w:rsidRDefault="00AD5C2E" w:rsidP="00AD5C2E">
            <w:pPr>
              <w:spacing w:after="0" w:line="240" w:lineRule="auto"/>
              <w:jc w:val="right"/>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xml:space="preserve">                      -   </w:t>
            </w:r>
          </w:p>
        </w:tc>
        <w:tc>
          <w:tcPr>
            <w:tcW w:w="225" w:type="dxa"/>
            <w:tcBorders>
              <w:top w:val="nil"/>
              <w:left w:val="nil"/>
              <w:bottom w:val="nil"/>
              <w:right w:val="nil"/>
            </w:tcBorders>
            <w:shd w:val="clear" w:color="auto" w:fill="auto"/>
            <w:noWrap/>
            <w:vAlign w:val="center"/>
            <w:hideMark/>
          </w:tcPr>
          <w:p w14:paraId="73657BE7" w14:textId="77777777" w:rsidR="00AD5C2E" w:rsidRPr="00AD5C2E" w:rsidRDefault="00AD5C2E" w:rsidP="00AD5C2E">
            <w:pPr>
              <w:spacing w:after="0" w:line="240" w:lineRule="auto"/>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w:t>
            </w:r>
          </w:p>
        </w:tc>
        <w:tc>
          <w:tcPr>
            <w:tcW w:w="1834" w:type="dxa"/>
            <w:tcBorders>
              <w:top w:val="nil"/>
              <w:left w:val="nil"/>
              <w:bottom w:val="nil"/>
              <w:right w:val="nil"/>
            </w:tcBorders>
            <w:shd w:val="clear" w:color="auto" w:fill="auto"/>
            <w:noWrap/>
            <w:vAlign w:val="center"/>
            <w:hideMark/>
          </w:tcPr>
          <w:p w14:paraId="174F3179" w14:textId="77777777" w:rsidR="00AD5C2E" w:rsidRPr="00AD5C2E" w:rsidRDefault="00AD5C2E" w:rsidP="00AD5C2E">
            <w:pPr>
              <w:spacing w:after="0" w:line="240" w:lineRule="auto"/>
              <w:jc w:val="right"/>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xml:space="preserve">            943.433 </w:t>
            </w:r>
          </w:p>
        </w:tc>
      </w:tr>
      <w:tr w:rsidR="00AD5C2E" w:rsidRPr="00AD5C2E" w14:paraId="074F51A3" w14:textId="77777777" w:rsidTr="00F7132F">
        <w:trPr>
          <w:trHeight w:val="20"/>
        </w:trPr>
        <w:tc>
          <w:tcPr>
            <w:tcW w:w="5217" w:type="dxa"/>
            <w:tcBorders>
              <w:top w:val="nil"/>
              <w:left w:val="nil"/>
              <w:bottom w:val="nil"/>
              <w:right w:val="nil"/>
            </w:tcBorders>
            <w:shd w:val="clear" w:color="auto" w:fill="auto"/>
            <w:noWrap/>
            <w:vAlign w:val="center"/>
            <w:hideMark/>
          </w:tcPr>
          <w:p w14:paraId="60B01B4C" w14:textId="77777777" w:rsidR="00AD5C2E" w:rsidRPr="00AD5C2E" w:rsidRDefault="00AD5C2E" w:rsidP="00AD5C2E">
            <w:pPr>
              <w:spacing w:after="0" w:line="240" w:lineRule="auto"/>
              <w:jc w:val="right"/>
              <w:rPr>
                <w:rFonts w:ascii="Verdana" w:eastAsia="Times New Roman" w:hAnsi="Verdana" w:cs="Calibri"/>
                <w:color w:val="000000"/>
                <w:sz w:val="18"/>
                <w:szCs w:val="18"/>
                <w:lang w:eastAsia="pt-BR"/>
              </w:rPr>
            </w:pPr>
          </w:p>
        </w:tc>
        <w:tc>
          <w:tcPr>
            <w:tcW w:w="225" w:type="dxa"/>
            <w:tcBorders>
              <w:top w:val="nil"/>
              <w:left w:val="nil"/>
              <w:bottom w:val="nil"/>
              <w:right w:val="nil"/>
            </w:tcBorders>
            <w:shd w:val="clear" w:color="auto" w:fill="auto"/>
            <w:noWrap/>
            <w:vAlign w:val="center"/>
            <w:hideMark/>
          </w:tcPr>
          <w:p w14:paraId="5F142E2A" w14:textId="77777777" w:rsidR="00AD5C2E" w:rsidRPr="00AD5C2E" w:rsidRDefault="00AD5C2E" w:rsidP="00AD5C2E">
            <w:pPr>
              <w:spacing w:after="0" w:line="240" w:lineRule="auto"/>
              <w:rPr>
                <w:rFonts w:ascii="Times New Roman" w:eastAsia="Times New Roman" w:hAnsi="Times New Roman" w:cs="Times New Roman"/>
                <w:sz w:val="20"/>
                <w:szCs w:val="20"/>
                <w:lang w:eastAsia="pt-BR"/>
              </w:rPr>
            </w:pPr>
          </w:p>
        </w:tc>
        <w:tc>
          <w:tcPr>
            <w:tcW w:w="1834" w:type="dxa"/>
            <w:tcBorders>
              <w:top w:val="single" w:sz="4" w:space="0" w:color="auto"/>
              <w:left w:val="nil"/>
              <w:bottom w:val="double" w:sz="6" w:space="0" w:color="auto"/>
              <w:right w:val="nil"/>
            </w:tcBorders>
            <w:shd w:val="clear" w:color="auto" w:fill="auto"/>
            <w:noWrap/>
            <w:vAlign w:val="center"/>
            <w:hideMark/>
          </w:tcPr>
          <w:p w14:paraId="243BEF41" w14:textId="77777777" w:rsidR="00AD5C2E" w:rsidRPr="00AD5C2E" w:rsidRDefault="00AD5C2E" w:rsidP="00AD5C2E">
            <w:pPr>
              <w:spacing w:after="0" w:line="240" w:lineRule="auto"/>
              <w:jc w:val="right"/>
              <w:rPr>
                <w:rFonts w:ascii="Verdana" w:eastAsia="Times New Roman" w:hAnsi="Verdana" w:cs="Calibri"/>
                <w:b/>
                <w:bCs/>
                <w:color w:val="000000"/>
                <w:sz w:val="18"/>
                <w:szCs w:val="18"/>
                <w:lang w:eastAsia="pt-BR"/>
              </w:rPr>
            </w:pPr>
            <w:r w:rsidRPr="00AD5C2E">
              <w:rPr>
                <w:rFonts w:ascii="Verdana" w:eastAsia="Times New Roman" w:hAnsi="Verdana" w:cs="Calibri"/>
                <w:b/>
                <w:bCs/>
                <w:color w:val="000000"/>
                <w:sz w:val="18"/>
                <w:szCs w:val="18"/>
                <w:lang w:eastAsia="pt-BR"/>
              </w:rPr>
              <w:t xml:space="preserve">                     -   </w:t>
            </w:r>
          </w:p>
        </w:tc>
        <w:tc>
          <w:tcPr>
            <w:tcW w:w="225" w:type="dxa"/>
            <w:tcBorders>
              <w:top w:val="nil"/>
              <w:left w:val="nil"/>
              <w:bottom w:val="nil"/>
              <w:right w:val="nil"/>
            </w:tcBorders>
            <w:shd w:val="clear" w:color="auto" w:fill="auto"/>
            <w:noWrap/>
            <w:vAlign w:val="center"/>
            <w:hideMark/>
          </w:tcPr>
          <w:p w14:paraId="2A565CF8" w14:textId="77777777" w:rsidR="00AD5C2E" w:rsidRPr="00AD5C2E" w:rsidRDefault="00AD5C2E" w:rsidP="00AD5C2E">
            <w:pPr>
              <w:spacing w:after="0" w:line="240" w:lineRule="auto"/>
              <w:jc w:val="right"/>
              <w:rPr>
                <w:rFonts w:ascii="Verdana" w:eastAsia="Times New Roman" w:hAnsi="Verdana" w:cs="Calibri"/>
                <w:b/>
                <w:bCs/>
                <w:color w:val="000000"/>
                <w:sz w:val="18"/>
                <w:szCs w:val="18"/>
                <w:lang w:eastAsia="pt-BR"/>
              </w:rPr>
            </w:pPr>
          </w:p>
        </w:tc>
        <w:tc>
          <w:tcPr>
            <w:tcW w:w="1834" w:type="dxa"/>
            <w:tcBorders>
              <w:top w:val="single" w:sz="4" w:space="0" w:color="auto"/>
              <w:left w:val="nil"/>
              <w:bottom w:val="double" w:sz="6" w:space="0" w:color="auto"/>
              <w:right w:val="nil"/>
            </w:tcBorders>
            <w:shd w:val="clear" w:color="auto" w:fill="auto"/>
            <w:noWrap/>
            <w:vAlign w:val="center"/>
            <w:hideMark/>
          </w:tcPr>
          <w:p w14:paraId="4E394D17" w14:textId="77777777" w:rsidR="00AD5C2E" w:rsidRPr="00AD5C2E" w:rsidRDefault="00AD5C2E" w:rsidP="00AD5C2E">
            <w:pPr>
              <w:spacing w:after="0" w:line="240" w:lineRule="auto"/>
              <w:jc w:val="right"/>
              <w:rPr>
                <w:rFonts w:ascii="Verdana" w:eastAsia="Times New Roman" w:hAnsi="Verdana" w:cs="Calibri"/>
                <w:b/>
                <w:bCs/>
                <w:color w:val="000000"/>
                <w:sz w:val="18"/>
                <w:szCs w:val="18"/>
                <w:lang w:eastAsia="pt-BR"/>
              </w:rPr>
            </w:pPr>
            <w:r w:rsidRPr="00AD5C2E">
              <w:rPr>
                <w:rFonts w:ascii="Verdana" w:eastAsia="Times New Roman" w:hAnsi="Verdana" w:cs="Calibri"/>
                <w:b/>
                <w:bCs/>
                <w:color w:val="000000"/>
                <w:sz w:val="18"/>
                <w:szCs w:val="18"/>
                <w:lang w:eastAsia="pt-BR"/>
              </w:rPr>
              <w:t xml:space="preserve">          948.617 </w:t>
            </w:r>
          </w:p>
        </w:tc>
      </w:tr>
    </w:tbl>
    <w:p w14:paraId="08FB8B5F" w14:textId="77777777" w:rsidR="00B87772" w:rsidRDefault="00B87772" w:rsidP="00720E7B">
      <w:pPr>
        <w:rPr>
          <w:rFonts w:ascii="Verdana" w:hAnsi="Verdana" w:cstheme="minorHAnsi"/>
          <w:noProof/>
          <w:lang w:eastAsia="pt-BR"/>
        </w:rPr>
      </w:pPr>
    </w:p>
    <w:p w14:paraId="351E74FC" w14:textId="77777777" w:rsidR="002B1787" w:rsidRPr="00F7132F" w:rsidRDefault="00581D1F" w:rsidP="00CF5F07">
      <w:pPr>
        <w:tabs>
          <w:tab w:val="left" w:pos="567"/>
          <w:tab w:val="left" w:pos="1134"/>
          <w:tab w:val="left" w:pos="1701"/>
          <w:tab w:val="left" w:pos="2268"/>
          <w:tab w:val="left" w:pos="2835"/>
        </w:tabs>
        <w:jc w:val="both"/>
        <w:outlineLvl w:val="0"/>
        <w:rPr>
          <w:rFonts w:ascii="Verdana" w:hAnsi="Verdana" w:cstheme="minorHAnsi"/>
          <w:b/>
        </w:rPr>
      </w:pPr>
      <w:r>
        <w:rPr>
          <w:rFonts w:ascii="Verdana" w:hAnsi="Verdana" w:cstheme="minorHAnsi"/>
          <w:b/>
        </w:rPr>
        <w:t>21</w:t>
      </w:r>
      <w:r w:rsidR="00F4139F" w:rsidRPr="00F7132F">
        <w:rPr>
          <w:rFonts w:ascii="Verdana" w:hAnsi="Verdana" w:cstheme="minorHAnsi"/>
          <w:b/>
        </w:rPr>
        <w:t xml:space="preserve"> </w:t>
      </w:r>
      <w:r w:rsidR="002B1787" w:rsidRPr="00F7132F">
        <w:rPr>
          <w:rFonts w:ascii="Verdana" w:hAnsi="Verdana" w:cstheme="minorHAnsi"/>
          <w:b/>
        </w:rPr>
        <w:t xml:space="preserve">– OBRIGAÇÃO PARA DESMOBILIZAÇÃO DE ATIVOS </w:t>
      </w:r>
    </w:p>
    <w:p w14:paraId="6C7AA73C" w14:textId="77777777" w:rsidR="00D413FF" w:rsidRPr="00C11BC9" w:rsidRDefault="00D413FF" w:rsidP="00D413FF">
      <w:pPr>
        <w:tabs>
          <w:tab w:val="center" w:pos="4419"/>
          <w:tab w:val="right" w:pos="8838"/>
        </w:tabs>
        <w:jc w:val="both"/>
        <w:rPr>
          <w:rFonts w:ascii="Verdana" w:hAnsi="Verdana" w:cstheme="minorHAnsi"/>
        </w:rPr>
      </w:pPr>
      <w:r w:rsidRPr="00C11BC9">
        <w:rPr>
          <w:rFonts w:ascii="Verdana" w:hAnsi="Verdana" w:cstheme="minorHAnsi"/>
        </w:rPr>
        <w:t xml:space="preserve">O descomissionamento de usinas nucleares refere-se à obrigação para desmobilização dos ativos dessas usinas para fazer face aos custos a serem incorridos ao final da vida útil econômica das mesmas. </w:t>
      </w:r>
    </w:p>
    <w:p w14:paraId="386E91C6" w14:textId="77777777" w:rsidR="00D413FF" w:rsidRPr="00C11BC9" w:rsidRDefault="00D413FF" w:rsidP="00D413FF">
      <w:pPr>
        <w:tabs>
          <w:tab w:val="center" w:pos="4419"/>
          <w:tab w:val="right" w:pos="8838"/>
        </w:tabs>
        <w:jc w:val="both"/>
        <w:rPr>
          <w:rFonts w:ascii="Verdana" w:hAnsi="Verdana" w:cstheme="minorHAnsi"/>
        </w:rPr>
      </w:pPr>
      <w:r w:rsidRPr="00C11BC9">
        <w:rPr>
          <w:rFonts w:ascii="Verdana" w:hAnsi="Verdana" w:cstheme="minorHAnsi"/>
        </w:rPr>
        <w:t xml:space="preserve">Conforme estabelecido no Pronunciamento Técnico CPC 25, a estimativa inicial dos custos de descomissionamento referentes à desmontagem e à remoção do item e de </w:t>
      </w:r>
      <w:r w:rsidRPr="00C11BC9">
        <w:rPr>
          <w:rFonts w:ascii="Verdana" w:hAnsi="Verdana" w:cstheme="minorHAnsi"/>
        </w:rPr>
        <w:lastRenderedPageBreak/>
        <w:t>restauração dos locais nos quais as instalações estão localizadas, deve ser contabilizada como custo do empreendimento.</w:t>
      </w:r>
    </w:p>
    <w:p w14:paraId="04DB1ED7" w14:textId="77777777" w:rsidR="00D413FF" w:rsidRPr="00C11BC9" w:rsidRDefault="00D413FF" w:rsidP="00D413FF">
      <w:pPr>
        <w:jc w:val="both"/>
        <w:rPr>
          <w:rFonts w:ascii="Verdana" w:hAnsi="Verdana" w:cstheme="minorHAnsi"/>
          <w:bCs/>
        </w:rPr>
      </w:pPr>
      <w:r w:rsidRPr="00C11BC9">
        <w:rPr>
          <w:rFonts w:ascii="Verdana" w:hAnsi="Verdana" w:cstheme="minorHAnsi"/>
          <w:bCs/>
        </w:rPr>
        <w:t xml:space="preserve">No cálculo do ajuste a valor presente do passivo para descomissionamento é considerado o custo total estimado para o descomissionamento e o cronograma de desembolsos, descontado a uma taxa que represente o risco do passivo para descomissionamento. </w:t>
      </w:r>
    </w:p>
    <w:p w14:paraId="653AE3A3" w14:textId="77777777" w:rsidR="00D413FF" w:rsidRPr="00C11BC9" w:rsidRDefault="00D413FF" w:rsidP="00D413FF">
      <w:pPr>
        <w:pStyle w:val="Textodecomentrio"/>
        <w:spacing w:after="160"/>
        <w:rPr>
          <w:rFonts w:ascii="Verdana" w:hAnsi="Verdana" w:cstheme="minorHAnsi"/>
          <w:sz w:val="22"/>
          <w:szCs w:val="22"/>
        </w:rPr>
      </w:pPr>
      <w:r w:rsidRPr="00C11BC9">
        <w:rPr>
          <w:rFonts w:ascii="Verdana" w:hAnsi="Verdana" w:cstheme="minorHAnsi"/>
          <w:sz w:val="22"/>
          <w:szCs w:val="22"/>
        </w:rPr>
        <w:t xml:space="preserve">A provisão foi estimada a preços correntes e com base no fluxo de caixa projetado utilizando uma taxa de desconto nominal média de 7,57% </w:t>
      </w:r>
      <w:r w:rsidR="004F352C" w:rsidRPr="00C11BC9">
        <w:rPr>
          <w:rFonts w:ascii="Verdana" w:hAnsi="Verdana" w:cstheme="minorHAnsi"/>
          <w:sz w:val="22"/>
          <w:szCs w:val="22"/>
        </w:rPr>
        <w:t>a.a.</w:t>
      </w:r>
      <w:r w:rsidRPr="00C11BC9">
        <w:rPr>
          <w:rFonts w:ascii="Verdana" w:hAnsi="Verdana" w:cstheme="minorHAnsi"/>
          <w:sz w:val="22"/>
          <w:szCs w:val="22"/>
        </w:rPr>
        <w:t xml:space="preserve">, com </w:t>
      </w:r>
      <w:proofErr w:type="spellStart"/>
      <w:r w:rsidRPr="00C11BC9">
        <w:rPr>
          <w:rFonts w:ascii="Verdana" w:hAnsi="Verdana" w:cstheme="minorHAnsi"/>
          <w:i/>
          <w:iCs/>
          <w:sz w:val="22"/>
          <w:szCs w:val="22"/>
        </w:rPr>
        <w:t>maturity</w:t>
      </w:r>
      <w:proofErr w:type="spellEnd"/>
      <w:r w:rsidR="00014731">
        <w:rPr>
          <w:rFonts w:ascii="Verdana" w:hAnsi="Verdana" w:cstheme="minorHAnsi"/>
          <w:sz w:val="22"/>
          <w:szCs w:val="22"/>
        </w:rPr>
        <w:t xml:space="preserve"> mais próxima</w:t>
      </w:r>
      <w:r w:rsidRPr="00C11BC9">
        <w:rPr>
          <w:rFonts w:ascii="Verdana" w:hAnsi="Verdana" w:cstheme="minorHAnsi"/>
          <w:sz w:val="22"/>
          <w:szCs w:val="22"/>
        </w:rPr>
        <w:t xml:space="preserve"> da data de início da atividade de cada rubrica somado à inflação projetada medida pelo Índice de Preços para o Consumidor Amplo - IPCA. </w:t>
      </w:r>
    </w:p>
    <w:p w14:paraId="1F3BD3A3" w14:textId="77777777" w:rsidR="00D413FF" w:rsidRPr="00C11BC9" w:rsidRDefault="00D413FF" w:rsidP="00D413FF">
      <w:pPr>
        <w:pStyle w:val="Textodecomentrio"/>
        <w:spacing w:after="160"/>
        <w:rPr>
          <w:rFonts w:ascii="Verdana" w:hAnsi="Verdana" w:cstheme="minorHAnsi"/>
          <w:sz w:val="22"/>
          <w:szCs w:val="22"/>
        </w:rPr>
      </w:pPr>
      <w:r w:rsidRPr="00C11BC9">
        <w:rPr>
          <w:rFonts w:ascii="Verdana" w:hAnsi="Verdana" w:cstheme="minorHAnsi"/>
          <w:sz w:val="22"/>
          <w:szCs w:val="22"/>
        </w:rPr>
        <w:t>No 2º trimestre de 2022, a Companhia não identificou a necessidade de alteração das estimativas de custos relacionadas com as atividades de descomissionamento.</w:t>
      </w:r>
    </w:p>
    <w:p w14:paraId="5532CB83" w14:textId="77777777" w:rsidR="00D413FF" w:rsidRPr="00C11BC9" w:rsidRDefault="00D413FF" w:rsidP="00D413FF">
      <w:pPr>
        <w:pStyle w:val="Textodecomentrio"/>
        <w:spacing w:after="160"/>
        <w:rPr>
          <w:rFonts w:ascii="Verdana" w:hAnsi="Verdana" w:cstheme="minorHAnsi"/>
          <w:sz w:val="22"/>
          <w:szCs w:val="22"/>
        </w:rPr>
      </w:pPr>
      <w:r w:rsidRPr="00C11BC9">
        <w:rPr>
          <w:rFonts w:ascii="Verdana" w:hAnsi="Verdana" w:cstheme="minorHAnsi"/>
          <w:sz w:val="22"/>
          <w:szCs w:val="22"/>
        </w:rPr>
        <w:t xml:space="preserve">O ajuste a valor presente da obrigação para descomissionamento é de R$3.086.268, perfazendo um reconhecimento da obrigação na data base de 30 de junho de 2022 de R$3.388.825 (R$3.268.301 em 31 de dezembro de 2021).  </w:t>
      </w:r>
    </w:p>
    <w:p w14:paraId="18B63C61" w14:textId="77777777" w:rsidR="00D413FF" w:rsidRPr="00C11BC9" w:rsidRDefault="00D413FF" w:rsidP="00D413FF">
      <w:pPr>
        <w:jc w:val="both"/>
        <w:rPr>
          <w:rFonts w:ascii="Verdana" w:hAnsi="Verdana" w:cstheme="minorHAnsi"/>
        </w:rPr>
      </w:pPr>
      <w:r w:rsidRPr="00C11BC9">
        <w:rPr>
          <w:rFonts w:ascii="Verdana" w:hAnsi="Verdana" w:cstheme="minorHAnsi"/>
        </w:rPr>
        <w:t>O quadro abaixo resume a posição dos valores correspondentes ao passivo total de desmobilização de ativos:</w:t>
      </w:r>
    </w:p>
    <w:tbl>
      <w:tblPr>
        <w:tblW w:w="8894" w:type="dxa"/>
        <w:jc w:val="center"/>
        <w:tblCellMar>
          <w:left w:w="70" w:type="dxa"/>
          <w:right w:w="70" w:type="dxa"/>
        </w:tblCellMar>
        <w:tblLook w:val="04A0" w:firstRow="1" w:lastRow="0" w:firstColumn="1" w:lastColumn="0" w:noHBand="0" w:noVBand="1"/>
      </w:tblPr>
      <w:tblGrid>
        <w:gridCol w:w="2036"/>
        <w:gridCol w:w="250"/>
        <w:gridCol w:w="2036"/>
        <w:gridCol w:w="250"/>
        <w:gridCol w:w="2036"/>
        <w:gridCol w:w="250"/>
        <w:gridCol w:w="2036"/>
      </w:tblGrid>
      <w:tr w:rsidR="00AD5C2E" w:rsidRPr="00AD5C2E" w14:paraId="559FAA59" w14:textId="77777777" w:rsidTr="00F7132F">
        <w:trPr>
          <w:trHeight w:val="18"/>
          <w:jc w:val="center"/>
        </w:trPr>
        <w:tc>
          <w:tcPr>
            <w:tcW w:w="2036" w:type="dxa"/>
            <w:tcBorders>
              <w:top w:val="nil"/>
              <w:left w:val="nil"/>
              <w:bottom w:val="single" w:sz="4" w:space="0" w:color="auto"/>
              <w:right w:val="nil"/>
            </w:tcBorders>
            <w:shd w:val="clear" w:color="auto" w:fill="auto"/>
            <w:noWrap/>
            <w:vAlign w:val="center"/>
            <w:hideMark/>
          </w:tcPr>
          <w:p w14:paraId="22371C46" w14:textId="77777777" w:rsidR="00AD5C2E" w:rsidRPr="00AD5C2E" w:rsidRDefault="00AD5C2E" w:rsidP="00AD5C2E">
            <w:pPr>
              <w:spacing w:after="0" w:line="240" w:lineRule="auto"/>
              <w:jc w:val="center"/>
              <w:rPr>
                <w:rFonts w:ascii="Verdana" w:eastAsia="Times New Roman" w:hAnsi="Verdana" w:cs="Calibri"/>
                <w:b/>
                <w:bCs/>
                <w:color w:val="000000"/>
                <w:sz w:val="18"/>
                <w:szCs w:val="18"/>
                <w:lang w:eastAsia="pt-BR"/>
              </w:rPr>
            </w:pPr>
            <w:r w:rsidRPr="00AD5C2E">
              <w:rPr>
                <w:rFonts w:ascii="Verdana" w:eastAsia="Times New Roman" w:hAnsi="Verdana" w:cs="Calibri"/>
                <w:b/>
                <w:bCs/>
                <w:color w:val="000000"/>
                <w:sz w:val="18"/>
                <w:szCs w:val="18"/>
                <w:lang w:eastAsia="pt-BR"/>
              </w:rPr>
              <w:t>Usinas</w:t>
            </w:r>
          </w:p>
        </w:tc>
        <w:tc>
          <w:tcPr>
            <w:tcW w:w="250" w:type="dxa"/>
            <w:tcBorders>
              <w:top w:val="nil"/>
              <w:left w:val="nil"/>
              <w:bottom w:val="nil"/>
              <w:right w:val="nil"/>
            </w:tcBorders>
            <w:shd w:val="clear" w:color="auto" w:fill="auto"/>
            <w:noWrap/>
            <w:vAlign w:val="center"/>
            <w:hideMark/>
          </w:tcPr>
          <w:p w14:paraId="37446466" w14:textId="77777777" w:rsidR="00AD5C2E" w:rsidRPr="00AD5C2E" w:rsidRDefault="00AD5C2E" w:rsidP="00AD5C2E">
            <w:pPr>
              <w:spacing w:after="0" w:line="240" w:lineRule="auto"/>
              <w:jc w:val="center"/>
              <w:rPr>
                <w:rFonts w:ascii="Verdana" w:eastAsia="Times New Roman" w:hAnsi="Verdana" w:cs="Calibri"/>
                <w:b/>
                <w:bCs/>
                <w:color w:val="000000"/>
                <w:sz w:val="18"/>
                <w:szCs w:val="18"/>
                <w:lang w:eastAsia="pt-BR"/>
              </w:rPr>
            </w:pPr>
          </w:p>
        </w:tc>
        <w:tc>
          <w:tcPr>
            <w:tcW w:w="2036" w:type="dxa"/>
            <w:tcBorders>
              <w:top w:val="nil"/>
              <w:left w:val="nil"/>
              <w:bottom w:val="single" w:sz="4" w:space="0" w:color="auto"/>
              <w:right w:val="nil"/>
            </w:tcBorders>
            <w:shd w:val="clear" w:color="auto" w:fill="auto"/>
            <w:vAlign w:val="center"/>
            <w:hideMark/>
          </w:tcPr>
          <w:p w14:paraId="55CC7505" w14:textId="77777777" w:rsidR="00AD5C2E" w:rsidRPr="00AD5C2E" w:rsidRDefault="00AD5C2E" w:rsidP="00AD5C2E">
            <w:pPr>
              <w:spacing w:after="0" w:line="240" w:lineRule="auto"/>
              <w:jc w:val="center"/>
              <w:rPr>
                <w:rFonts w:ascii="Verdana" w:eastAsia="Times New Roman" w:hAnsi="Verdana" w:cs="Calibri"/>
                <w:b/>
                <w:bCs/>
                <w:color w:val="000000"/>
                <w:sz w:val="18"/>
                <w:szCs w:val="18"/>
                <w:lang w:eastAsia="pt-BR"/>
              </w:rPr>
            </w:pPr>
            <w:r w:rsidRPr="00AD5C2E">
              <w:rPr>
                <w:rFonts w:ascii="Verdana" w:eastAsia="Times New Roman" w:hAnsi="Verdana" w:cs="Calibri"/>
                <w:b/>
                <w:bCs/>
                <w:color w:val="000000"/>
                <w:sz w:val="18"/>
                <w:szCs w:val="18"/>
                <w:lang w:eastAsia="pt-BR"/>
              </w:rPr>
              <w:t xml:space="preserve">Estimativa total </w:t>
            </w:r>
            <w:r w:rsidRPr="00AD5C2E">
              <w:rPr>
                <w:rFonts w:ascii="Verdana" w:eastAsia="Times New Roman" w:hAnsi="Verdana" w:cs="Calibri"/>
                <w:b/>
                <w:bCs/>
                <w:color w:val="000000"/>
                <w:sz w:val="18"/>
                <w:szCs w:val="18"/>
                <w:lang w:eastAsia="pt-BR"/>
              </w:rPr>
              <w:br/>
              <w:t>de custo</w:t>
            </w:r>
          </w:p>
        </w:tc>
        <w:tc>
          <w:tcPr>
            <w:tcW w:w="250" w:type="dxa"/>
            <w:tcBorders>
              <w:top w:val="nil"/>
              <w:left w:val="nil"/>
              <w:bottom w:val="nil"/>
              <w:right w:val="nil"/>
            </w:tcBorders>
            <w:shd w:val="clear" w:color="auto" w:fill="auto"/>
            <w:noWrap/>
            <w:vAlign w:val="center"/>
            <w:hideMark/>
          </w:tcPr>
          <w:p w14:paraId="1FB22419" w14:textId="77777777" w:rsidR="00AD5C2E" w:rsidRPr="00AD5C2E" w:rsidRDefault="00AD5C2E" w:rsidP="00AD5C2E">
            <w:pPr>
              <w:spacing w:after="0" w:line="240" w:lineRule="auto"/>
              <w:jc w:val="center"/>
              <w:rPr>
                <w:rFonts w:ascii="Verdana" w:eastAsia="Times New Roman" w:hAnsi="Verdana" w:cs="Calibri"/>
                <w:b/>
                <w:bCs/>
                <w:color w:val="000000"/>
                <w:sz w:val="18"/>
                <w:szCs w:val="18"/>
                <w:lang w:eastAsia="pt-BR"/>
              </w:rPr>
            </w:pPr>
          </w:p>
        </w:tc>
        <w:tc>
          <w:tcPr>
            <w:tcW w:w="2036" w:type="dxa"/>
            <w:tcBorders>
              <w:top w:val="nil"/>
              <w:left w:val="nil"/>
              <w:bottom w:val="single" w:sz="4" w:space="0" w:color="auto"/>
              <w:right w:val="nil"/>
            </w:tcBorders>
            <w:shd w:val="clear" w:color="auto" w:fill="auto"/>
            <w:vAlign w:val="center"/>
            <w:hideMark/>
          </w:tcPr>
          <w:p w14:paraId="101FA069" w14:textId="77777777" w:rsidR="00AD5C2E" w:rsidRPr="00AD5C2E" w:rsidRDefault="00AD5C2E" w:rsidP="00AD5C2E">
            <w:pPr>
              <w:spacing w:after="0" w:line="240" w:lineRule="auto"/>
              <w:jc w:val="center"/>
              <w:rPr>
                <w:rFonts w:ascii="Verdana" w:eastAsia="Times New Roman" w:hAnsi="Verdana" w:cs="Calibri"/>
                <w:b/>
                <w:bCs/>
                <w:color w:val="000000"/>
                <w:sz w:val="18"/>
                <w:szCs w:val="18"/>
                <w:lang w:eastAsia="pt-BR"/>
              </w:rPr>
            </w:pPr>
            <w:r w:rsidRPr="00AD5C2E">
              <w:rPr>
                <w:rFonts w:ascii="Verdana" w:eastAsia="Times New Roman" w:hAnsi="Verdana" w:cs="Calibri"/>
                <w:b/>
                <w:bCs/>
                <w:color w:val="000000"/>
                <w:sz w:val="18"/>
                <w:szCs w:val="18"/>
                <w:lang w:eastAsia="pt-BR"/>
              </w:rPr>
              <w:t>Ajuste a valor</w:t>
            </w:r>
            <w:r w:rsidRPr="00AD5C2E">
              <w:rPr>
                <w:rFonts w:ascii="Verdana" w:eastAsia="Times New Roman" w:hAnsi="Verdana" w:cs="Calibri"/>
                <w:b/>
                <w:bCs/>
                <w:color w:val="000000"/>
                <w:sz w:val="18"/>
                <w:szCs w:val="18"/>
                <w:lang w:eastAsia="pt-BR"/>
              </w:rPr>
              <w:br/>
              <w:t>presente</w:t>
            </w:r>
          </w:p>
        </w:tc>
        <w:tc>
          <w:tcPr>
            <w:tcW w:w="250" w:type="dxa"/>
            <w:tcBorders>
              <w:top w:val="nil"/>
              <w:left w:val="nil"/>
              <w:bottom w:val="nil"/>
              <w:right w:val="nil"/>
            </w:tcBorders>
            <w:shd w:val="clear" w:color="auto" w:fill="auto"/>
            <w:noWrap/>
            <w:vAlign w:val="center"/>
            <w:hideMark/>
          </w:tcPr>
          <w:p w14:paraId="2859A101" w14:textId="77777777" w:rsidR="00AD5C2E" w:rsidRPr="00AD5C2E" w:rsidRDefault="00AD5C2E" w:rsidP="00AD5C2E">
            <w:pPr>
              <w:spacing w:after="0" w:line="240" w:lineRule="auto"/>
              <w:jc w:val="center"/>
              <w:rPr>
                <w:rFonts w:ascii="Verdana" w:eastAsia="Times New Roman" w:hAnsi="Verdana" w:cs="Calibri"/>
                <w:b/>
                <w:bCs/>
                <w:color w:val="000000"/>
                <w:sz w:val="18"/>
                <w:szCs w:val="18"/>
                <w:lang w:eastAsia="pt-BR"/>
              </w:rPr>
            </w:pPr>
          </w:p>
        </w:tc>
        <w:tc>
          <w:tcPr>
            <w:tcW w:w="2036" w:type="dxa"/>
            <w:tcBorders>
              <w:top w:val="nil"/>
              <w:left w:val="nil"/>
              <w:bottom w:val="single" w:sz="4" w:space="0" w:color="auto"/>
              <w:right w:val="nil"/>
            </w:tcBorders>
            <w:shd w:val="clear" w:color="auto" w:fill="auto"/>
            <w:vAlign w:val="center"/>
            <w:hideMark/>
          </w:tcPr>
          <w:p w14:paraId="11827A6F" w14:textId="77777777" w:rsidR="00AD5C2E" w:rsidRPr="00AD5C2E" w:rsidRDefault="00AD5C2E" w:rsidP="00AD5C2E">
            <w:pPr>
              <w:spacing w:after="0" w:line="240" w:lineRule="auto"/>
              <w:jc w:val="center"/>
              <w:rPr>
                <w:rFonts w:ascii="Verdana" w:eastAsia="Times New Roman" w:hAnsi="Verdana" w:cs="Calibri"/>
                <w:b/>
                <w:bCs/>
                <w:color w:val="000000"/>
                <w:sz w:val="18"/>
                <w:szCs w:val="18"/>
                <w:lang w:eastAsia="pt-BR"/>
              </w:rPr>
            </w:pPr>
            <w:r w:rsidRPr="00AD5C2E">
              <w:rPr>
                <w:rFonts w:ascii="Verdana" w:eastAsia="Times New Roman" w:hAnsi="Verdana" w:cs="Calibri"/>
                <w:b/>
                <w:bCs/>
                <w:color w:val="000000"/>
                <w:sz w:val="18"/>
                <w:szCs w:val="18"/>
                <w:lang w:eastAsia="pt-BR"/>
              </w:rPr>
              <w:t xml:space="preserve">Estimativa a </w:t>
            </w:r>
            <w:r w:rsidRPr="00AD5C2E">
              <w:rPr>
                <w:rFonts w:ascii="Verdana" w:eastAsia="Times New Roman" w:hAnsi="Verdana" w:cs="Calibri"/>
                <w:b/>
                <w:bCs/>
                <w:color w:val="000000"/>
                <w:sz w:val="18"/>
                <w:szCs w:val="18"/>
                <w:lang w:eastAsia="pt-BR"/>
              </w:rPr>
              <w:br/>
              <w:t>valor presente</w:t>
            </w:r>
          </w:p>
        </w:tc>
      </w:tr>
      <w:tr w:rsidR="00AD5C2E" w:rsidRPr="00AD5C2E" w14:paraId="62A3C979" w14:textId="77777777" w:rsidTr="00F7132F">
        <w:trPr>
          <w:trHeight w:val="18"/>
          <w:jc w:val="center"/>
        </w:trPr>
        <w:tc>
          <w:tcPr>
            <w:tcW w:w="2036" w:type="dxa"/>
            <w:tcBorders>
              <w:top w:val="nil"/>
              <w:left w:val="nil"/>
              <w:bottom w:val="nil"/>
              <w:right w:val="nil"/>
            </w:tcBorders>
            <w:shd w:val="clear" w:color="auto" w:fill="auto"/>
            <w:noWrap/>
            <w:vAlign w:val="center"/>
            <w:hideMark/>
          </w:tcPr>
          <w:p w14:paraId="6956F0BF" w14:textId="77777777" w:rsidR="00AD5C2E" w:rsidRPr="00AD5C2E" w:rsidRDefault="00AD5C2E" w:rsidP="00AD5C2E">
            <w:pPr>
              <w:spacing w:after="0" w:line="240" w:lineRule="auto"/>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w:t>
            </w:r>
          </w:p>
        </w:tc>
        <w:tc>
          <w:tcPr>
            <w:tcW w:w="250" w:type="dxa"/>
            <w:tcBorders>
              <w:top w:val="nil"/>
              <w:left w:val="nil"/>
              <w:bottom w:val="nil"/>
              <w:right w:val="nil"/>
            </w:tcBorders>
            <w:shd w:val="clear" w:color="auto" w:fill="auto"/>
            <w:noWrap/>
            <w:vAlign w:val="center"/>
            <w:hideMark/>
          </w:tcPr>
          <w:p w14:paraId="475EB61D" w14:textId="77777777" w:rsidR="00AD5C2E" w:rsidRPr="00AD5C2E" w:rsidRDefault="00AD5C2E" w:rsidP="00AD5C2E">
            <w:pPr>
              <w:spacing w:after="0" w:line="240" w:lineRule="auto"/>
              <w:jc w:val="center"/>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w:t>
            </w:r>
          </w:p>
        </w:tc>
        <w:tc>
          <w:tcPr>
            <w:tcW w:w="2036" w:type="dxa"/>
            <w:tcBorders>
              <w:top w:val="nil"/>
              <w:left w:val="nil"/>
              <w:bottom w:val="nil"/>
              <w:right w:val="nil"/>
            </w:tcBorders>
            <w:shd w:val="clear" w:color="auto" w:fill="auto"/>
            <w:noWrap/>
            <w:vAlign w:val="center"/>
            <w:hideMark/>
          </w:tcPr>
          <w:p w14:paraId="177D5180" w14:textId="77777777" w:rsidR="00AD5C2E" w:rsidRPr="00AD5C2E" w:rsidRDefault="00AD5C2E" w:rsidP="00AD5C2E">
            <w:pPr>
              <w:spacing w:after="0" w:line="240" w:lineRule="auto"/>
              <w:jc w:val="center"/>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w:t>
            </w:r>
          </w:p>
        </w:tc>
        <w:tc>
          <w:tcPr>
            <w:tcW w:w="250" w:type="dxa"/>
            <w:tcBorders>
              <w:top w:val="nil"/>
              <w:left w:val="nil"/>
              <w:bottom w:val="nil"/>
              <w:right w:val="nil"/>
            </w:tcBorders>
            <w:shd w:val="clear" w:color="auto" w:fill="auto"/>
            <w:noWrap/>
            <w:vAlign w:val="center"/>
            <w:hideMark/>
          </w:tcPr>
          <w:p w14:paraId="3DAC629B" w14:textId="77777777" w:rsidR="00AD5C2E" w:rsidRPr="00AD5C2E" w:rsidRDefault="00AD5C2E" w:rsidP="00AD5C2E">
            <w:pPr>
              <w:spacing w:after="0" w:line="240" w:lineRule="auto"/>
              <w:jc w:val="center"/>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w:t>
            </w:r>
          </w:p>
        </w:tc>
        <w:tc>
          <w:tcPr>
            <w:tcW w:w="2036" w:type="dxa"/>
            <w:tcBorders>
              <w:top w:val="nil"/>
              <w:left w:val="nil"/>
              <w:bottom w:val="nil"/>
              <w:right w:val="nil"/>
            </w:tcBorders>
            <w:shd w:val="clear" w:color="auto" w:fill="auto"/>
            <w:noWrap/>
            <w:vAlign w:val="center"/>
            <w:hideMark/>
          </w:tcPr>
          <w:p w14:paraId="194FBC9D" w14:textId="77777777" w:rsidR="00AD5C2E" w:rsidRPr="00AD5C2E" w:rsidRDefault="00AD5C2E" w:rsidP="00AD5C2E">
            <w:pPr>
              <w:spacing w:after="0" w:line="240" w:lineRule="auto"/>
              <w:jc w:val="center"/>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w:t>
            </w:r>
          </w:p>
        </w:tc>
        <w:tc>
          <w:tcPr>
            <w:tcW w:w="250" w:type="dxa"/>
            <w:tcBorders>
              <w:top w:val="nil"/>
              <w:left w:val="nil"/>
              <w:bottom w:val="nil"/>
              <w:right w:val="nil"/>
            </w:tcBorders>
            <w:shd w:val="clear" w:color="auto" w:fill="auto"/>
            <w:noWrap/>
            <w:vAlign w:val="center"/>
            <w:hideMark/>
          </w:tcPr>
          <w:p w14:paraId="23038085" w14:textId="77777777" w:rsidR="00AD5C2E" w:rsidRPr="00AD5C2E" w:rsidRDefault="00AD5C2E" w:rsidP="00AD5C2E">
            <w:pPr>
              <w:spacing w:after="0" w:line="240" w:lineRule="auto"/>
              <w:jc w:val="center"/>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w:t>
            </w:r>
          </w:p>
        </w:tc>
        <w:tc>
          <w:tcPr>
            <w:tcW w:w="2036" w:type="dxa"/>
            <w:tcBorders>
              <w:top w:val="nil"/>
              <w:left w:val="nil"/>
              <w:bottom w:val="nil"/>
              <w:right w:val="nil"/>
            </w:tcBorders>
            <w:shd w:val="clear" w:color="auto" w:fill="auto"/>
            <w:noWrap/>
            <w:vAlign w:val="center"/>
            <w:hideMark/>
          </w:tcPr>
          <w:p w14:paraId="58662B9B" w14:textId="77777777" w:rsidR="00AD5C2E" w:rsidRPr="00AD5C2E" w:rsidRDefault="00AD5C2E" w:rsidP="00AD5C2E">
            <w:pPr>
              <w:spacing w:after="0" w:line="240" w:lineRule="auto"/>
              <w:jc w:val="center"/>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w:t>
            </w:r>
          </w:p>
        </w:tc>
      </w:tr>
      <w:tr w:rsidR="00AD5C2E" w:rsidRPr="00AD5C2E" w14:paraId="57CC4F5A" w14:textId="77777777" w:rsidTr="00F7132F">
        <w:trPr>
          <w:trHeight w:val="18"/>
          <w:jc w:val="center"/>
        </w:trPr>
        <w:tc>
          <w:tcPr>
            <w:tcW w:w="2036" w:type="dxa"/>
            <w:tcBorders>
              <w:top w:val="nil"/>
              <w:left w:val="nil"/>
              <w:bottom w:val="nil"/>
              <w:right w:val="nil"/>
            </w:tcBorders>
            <w:shd w:val="clear" w:color="auto" w:fill="auto"/>
            <w:noWrap/>
            <w:vAlign w:val="center"/>
            <w:hideMark/>
          </w:tcPr>
          <w:p w14:paraId="407523F0" w14:textId="77777777" w:rsidR="00AD5C2E" w:rsidRPr="00AD5C2E" w:rsidRDefault="00AD5C2E" w:rsidP="00AD5C2E">
            <w:pPr>
              <w:spacing w:after="0" w:line="240" w:lineRule="auto"/>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ANGRA 1</w:t>
            </w:r>
          </w:p>
        </w:tc>
        <w:tc>
          <w:tcPr>
            <w:tcW w:w="250" w:type="dxa"/>
            <w:tcBorders>
              <w:top w:val="nil"/>
              <w:left w:val="nil"/>
              <w:bottom w:val="nil"/>
              <w:right w:val="nil"/>
            </w:tcBorders>
            <w:shd w:val="clear" w:color="auto" w:fill="auto"/>
            <w:noWrap/>
            <w:vAlign w:val="center"/>
            <w:hideMark/>
          </w:tcPr>
          <w:p w14:paraId="68F08720" w14:textId="77777777" w:rsidR="00AD5C2E" w:rsidRPr="00AD5C2E" w:rsidRDefault="00AD5C2E" w:rsidP="00AD5C2E">
            <w:pPr>
              <w:spacing w:after="0" w:line="240" w:lineRule="auto"/>
              <w:rPr>
                <w:rFonts w:ascii="Verdana" w:eastAsia="Times New Roman" w:hAnsi="Verdana" w:cs="Calibri"/>
                <w:color w:val="000000"/>
                <w:sz w:val="18"/>
                <w:szCs w:val="18"/>
                <w:lang w:eastAsia="pt-BR"/>
              </w:rPr>
            </w:pPr>
          </w:p>
        </w:tc>
        <w:tc>
          <w:tcPr>
            <w:tcW w:w="2036" w:type="dxa"/>
            <w:tcBorders>
              <w:top w:val="nil"/>
              <w:left w:val="nil"/>
              <w:bottom w:val="nil"/>
              <w:right w:val="nil"/>
            </w:tcBorders>
            <w:shd w:val="clear" w:color="auto" w:fill="auto"/>
            <w:noWrap/>
            <w:vAlign w:val="center"/>
            <w:hideMark/>
          </w:tcPr>
          <w:p w14:paraId="6E7CC7C4" w14:textId="77777777" w:rsidR="00AD5C2E" w:rsidRPr="00AD5C2E" w:rsidRDefault="00AD5C2E" w:rsidP="00AD5C2E">
            <w:pPr>
              <w:spacing w:after="0" w:line="240" w:lineRule="auto"/>
              <w:jc w:val="right"/>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xml:space="preserve">         3.017.913 </w:t>
            </w:r>
          </w:p>
        </w:tc>
        <w:tc>
          <w:tcPr>
            <w:tcW w:w="250" w:type="dxa"/>
            <w:tcBorders>
              <w:top w:val="nil"/>
              <w:left w:val="nil"/>
              <w:bottom w:val="nil"/>
              <w:right w:val="nil"/>
            </w:tcBorders>
            <w:shd w:val="clear" w:color="auto" w:fill="auto"/>
            <w:noWrap/>
            <w:vAlign w:val="center"/>
            <w:hideMark/>
          </w:tcPr>
          <w:p w14:paraId="44088EAF" w14:textId="77777777" w:rsidR="00AD5C2E" w:rsidRPr="00AD5C2E" w:rsidRDefault="00AD5C2E" w:rsidP="00AD5C2E">
            <w:pPr>
              <w:spacing w:after="0" w:line="240" w:lineRule="auto"/>
              <w:jc w:val="right"/>
              <w:rPr>
                <w:rFonts w:ascii="Verdana" w:eastAsia="Times New Roman" w:hAnsi="Verdana" w:cs="Calibri"/>
                <w:color w:val="000000"/>
                <w:sz w:val="18"/>
                <w:szCs w:val="18"/>
                <w:lang w:eastAsia="pt-BR"/>
              </w:rPr>
            </w:pPr>
          </w:p>
        </w:tc>
        <w:tc>
          <w:tcPr>
            <w:tcW w:w="2036" w:type="dxa"/>
            <w:tcBorders>
              <w:top w:val="nil"/>
              <w:left w:val="nil"/>
              <w:bottom w:val="nil"/>
              <w:right w:val="nil"/>
            </w:tcBorders>
            <w:shd w:val="clear" w:color="auto" w:fill="auto"/>
            <w:noWrap/>
            <w:vAlign w:val="center"/>
            <w:hideMark/>
          </w:tcPr>
          <w:p w14:paraId="17569962" w14:textId="77777777" w:rsidR="00AD5C2E" w:rsidRPr="00AD5C2E" w:rsidRDefault="00AD5C2E" w:rsidP="00AD5C2E">
            <w:pPr>
              <w:spacing w:after="0" w:line="240" w:lineRule="auto"/>
              <w:jc w:val="right"/>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xml:space="preserve">       (1.111.504)</w:t>
            </w:r>
          </w:p>
        </w:tc>
        <w:tc>
          <w:tcPr>
            <w:tcW w:w="250" w:type="dxa"/>
            <w:tcBorders>
              <w:top w:val="nil"/>
              <w:left w:val="nil"/>
              <w:bottom w:val="nil"/>
              <w:right w:val="nil"/>
            </w:tcBorders>
            <w:shd w:val="clear" w:color="auto" w:fill="auto"/>
            <w:noWrap/>
            <w:vAlign w:val="center"/>
            <w:hideMark/>
          </w:tcPr>
          <w:p w14:paraId="7046F4DA" w14:textId="77777777" w:rsidR="00AD5C2E" w:rsidRPr="00AD5C2E" w:rsidRDefault="00AD5C2E" w:rsidP="00AD5C2E">
            <w:pPr>
              <w:spacing w:after="0" w:line="240" w:lineRule="auto"/>
              <w:jc w:val="right"/>
              <w:rPr>
                <w:rFonts w:ascii="Verdana" w:eastAsia="Times New Roman" w:hAnsi="Verdana" w:cs="Calibri"/>
                <w:color w:val="000000"/>
                <w:sz w:val="18"/>
                <w:szCs w:val="18"/>
                <w:lang w:eastAsia="pt-BR"/>
              </w:rPr>
            </w:pPr>
          </w:p>
        </w:tc>
        <w:tc>
          <w:tcPr>
            <w:tcW w:w="2036" w:type="dxa"/>
            <w:tcBorders>
              <w:top w:val="nil"/>
              <w:left w:val="nil"/>
              <w:bottom w:val="nil"/>
              <w:right w:val="nil"/>
            </w:tcBorders>
            <w:shd w:val="clear" w:color="auto" w:fill="auto"/>
            <w:noWrap/>
            <w:vAlign w:val="center"/>
            <w:hideMark/>
          </w:tcPr>
          <w:p w14:paraId="6D2C4E7F" w14:textId="77777777" w:rsidR="00AD5C2E" w:rsidRPr="00AD5C2E" w:rsidRDefault="00AD5C2E" w:rsidP="00AD5C2E">
            <w:pPr>
              <w:spacing w:after="0" w:line="240" w:lineRule="auto"/>
              <w:jc w:val="right"/>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xml:space="preserve">         1.906.408 </w:t>
            </w:r>
          </w:p>
        </w:tc>
      </w:tr>
      <w:tr w:rsidR="00AD5C2E" w:rsidRPr="00AD5C2E" w14:paraId="1B2D1064" w14:textId="77777777" w:rsidTr="00F7132F">
        <w:trPr>
          <w:trHeight w:val="18"/>
          <w:jc w:val="center"/>
        </w:trPr>
        <w:tc>
          <w:tcPr>
            <w:tcW w:w="2036" w:type="dxa"/>
            <w:tcBorders>
              <w:top w:val="nil"/>
              <w:left w:val="nil"/>
              <w:bottom w:val="nil"/>
              <w:right w:val="nil"/>
            </w:tcBorders>
            <w:shd w:val="clear" w:color="auto" w:fill="auto"/>
            <w:noWrap/>
            <w:vAlign w:val="center"/>
            <w:hideMark/>
          </w:tcPr>
          <w:p w14:paraId="540D1B37" w14:textId="77777777" w:rsidR="00AD5C2E" w:rsidRPr="00AD5C2E" w:rsidRDefault="00AD5C2E" w:rsidP="00AD5C2E">
            <w:pPr>
              <w:spacing w:after="0" w:line="240" w:lineRule="auto"/>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ANGRA 2</w:t>
            </w:r>
          </w:p>
        </w:tc>
        <w:tc>
          <w:tcPr>
            <w:tcW w:w="250" w:type="dxa"/>
            <w:tcBorders>
              <w:top w:val="nil"/>
              <w:left w:val="nil"/>
              <w:bottom w:val="nil"/>
              <w:right w:val="nil"/>
            </w:tcBorders>
            <w:shd w:val="clear" w:color="auto" w:fill="auto"/>
            <w:noWrap/>
            <w:vAlign w:val="center"/>
            <w:hideMark/>
          </w:tcPr>
          <w:p w14:paraId="15D9FFEC" w14:textId="77777777" w:rsidR="00AD5C2E" w:rsidRPr="00AD5C2E" w:rsidRDefault="00AD5C2E" w:rsidP="00AD5C2E">
            <w:pPr>
              <w:spacing w:after="0" w:line="240" w:lineRule="auto"/>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w:t>
            </w:r>
          </w:p>
        </w:tc>
        <w:tc>
          <w:tcPr>
            <w:tcW w:w="2036" w:type="dxa"/>
            <w:tcBorders>
              <w:top w:val="nil"/>
              <w:left w:val="nil"/>
              <w:bottom w:val="nil"/>
              <w:right w:val="nil"/>
            </w:tcBorders>
            <w:shd w:val="clear" w:color="auto" w:fill="auto"/>
            <w:noWrap/>
            <w:vAlign w:val="center"/>
            <w:hideMark/>
          </w:tcPr>
          <w:p w14:paraId="673BCCA2" w14:textId="77777777" w:rsidR="00AD5C2E" w:rsidRPr="00AD5C2E" w:rsidRDefault="00AD5C2E" w:rsidP="00AD5C2E">
            <w:pPr>
              <w:spacing w:after="0" w:line="240" w:lineRule="auto"/>
              <w:jc w:val="right"/>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xml:space="preserve">         3.457.180 </w:t>
            </w:r>
          </w:p>
        </w:tc>
        <w:tc>
          <w:tcPr>
            <w:tcW w:w="250" w:type="dxa"/>
            <w:tcBorders>
              <w:top w:val="nil"/>
              <w:left w:val="nil"/>
              <w:bottom w:val="nil"/>
              <w:right w:val="nil"/>
            </w:tcBorders>
            <w:shd w:val="clear" w:color="auto" w:fill="auto"/>
            <w:noWrap/>
            <w:vAlign w:val="center"/>
            <w:hideMark/>
          </w:tcPr>
          <w:p w14:paraId="7C266320" w14:textId="77777777" w:rsidR="00AD5C2E" w:rsidRPr="00AD5C2E" w:rsidRDefault="00AD5C2E" w:rsidP="00AD5C2E">
            <w:pPr>
              <w:spacing w:after="0" w:line="240" w:lineRule="auto"/>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w:t>
            </w:r>
          </w:p>
        </w:tc>
        <w:tc>
          <w:tcPr>
            <w:tcW w:w="2036" w:type="dxa"/>
            <w:tcBorders>
              <w:top w:val="nil"/>
              <w:left w:val="nil"/>
              <w:bottom w:val="nil"/>
              <w:right w:val="nil"/>
            </w:tcBorders>
            <w:shd w:val="clear" w:color="auto" w:fill="auto"/>
            <w:noWrap/>
            <w:vAlign w:val="center"/>
            <w:hideMark/>
          </w:tcPr>
          <w:p w14:paraId="67B5C1A0" w14:textId="77777777" w:rsidR="00AD5C2E" w:rsidRPr="00AD5C2E" w:rsidRDefault="00AD5C2E" w:rsidP="00AD5C2E">
            <w:pPr>
              <w:spacing w:after="0" w:line="240" w:lineRule="auto"/>
              <w:jc w:val="right"/>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xml:space="preserve">       (1.974.764)</w:t>
            </w:r>
          </w:p>
        </w:tc>
        <w:tc>
          <w:tcPr>
            <w:tcW w:w="250" w:type="dxa"/>
            <w:tcBorders>
              <w:top w:val="nil"/>
              <w:left w:val="nil"/>
              <w:bottom w:val="nil"/>
              <w:right w:val="nil"/>
            </w:tcBorders>
            <w:shd w:val="clear" w:color="auto" w:fill="auto"/>
            <w:noWrap/>
            <w:vAlign w:val="center"/>
            <w:hideMark/>
          </w:tcPr>
          <w:p w14:paraId="42D212D5" w14:textId="77777777" w:rsidR="00AD5C2E" w:rsidRPr="00AD5C2E" w:rsidRDefault="00AD5C2E" w:rsidP="00AD5C2E">
            <w:pPr>
              <w:spacing w:after="0" w:line="240" w:lineRule="auto"/>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w:t>
            </w:r>
          </w:p>
        </w:tc>
        <w:tc>
          <w:tcPr>
            <w:tcW w:w="2036" w:type="dxa"/>
            <w:tcBorders>
              <w:top w:val="nil"/>
              <w:left w:val="nil"/>
              <w:bottom w:val="nil"/>
              <w:right w:val="nil"/>
            </w:tcBorders>
            <w:shd w:val="clear" w:color="auto" w:fill="auto"/>
            <w:noWrap/>
            <w:vAlign w:val="center"/>
            <w:hideMark/>
          </w:tcPr>
          <w:p w14:paraId="10294AF3" w14:textId="77777777" w:rsidR="00AD5C2E" w:rsidRPr="00AD5C2E" w:rsidRDefault="00AD5C2E" w:rsidP="00AD5C2E">
            <w:pPr>
              <w:spacing w:after="0" w:line="240" w:lineRule="auto"/>
              <w:jc w:val="right"/>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xml:space="preserve">         1.482.417 </w:t>
            </w:r>
          </w:p>
        </w:tc>
      </w:tr>
      <w:tr w:rsidR="00AD5C2E" w:rsidRPr="00AD5C2E" w14:paraId="66CABBEB" w14:textId="77777777" w:rsidTr="00F7132F">
        <w:trPr>
          <w:trHeight w:val="18"/>
          <w:jc w:val="center"/>
        </w:trPr>
        <w:tc>
          <w:tcPr>
            <w:tcW w:w="2036" w:type="dxa"/>
            <w:tcBorders>
              <w:top w:val="nil"/>
              <w:left w:val="nil"/>
              <w:bottom w:val="nil"/>
              <w:right w:val="nil"/>
            </w:tcBorders>
            <w:shd w:val="clear" w:color="auto" w:fill="auto"/>
            <w:noWrap/>
            <w:vAlign w:val="center"/>
            <w:hideMark/>
          </w:tcPr>
          <w:p w14:paraId="2ADA8414" w14:textId="77777777" w:rsidR="00AD5C2E" w:rsidRPr="00AD5C2E" w:rsidRDefault="00AD5C2E" w:rsidP="00AD5C2E">
            <w:pPr>
              <w:spacing w:after="0" w:line="240" w:lineRule="auto"/>
              <w:jc w:val="right"/>
              <w:rPr>
                <w:rFonts w:ascii="Verdana" w:eastAsia="Times New Roman" w:hAnsi="Verdana" w:cs="Calibri"/>
                <w:color w:val="000000"/>
                <w:sz w:val="18"/>
                <w:szCs w:val="18"/>
                <w:lang w:eastAsia="pt-BR"/>
              </w:rPr>
            </w:pPr>
          </w:p>
        </w:tc>
        <w:tc>
          <w:tcPr>
            <w:tcW w:w="250" w:type="dxa"/>
            <w:tcBorders>
              <w:top w:val="nil"/>
              <w:left w:val="nil"/>
              <w:bottom w:val="nil"/>
              <w:right w:val="nil"/>
            </w:tcBorders>
            <w:shd w:val="clear" w:color="auto" w:fill="auto"/>
            <w:noWrap/>
            <w:vAlign w:val="center"/>
            <w:hideMark/>
          </w:tcPr>
          <w:p w14:paraId="1C09AC24" w14:textId="77777777" w:rsidR="00AD5C2E" w:rsidRPr="00AD5C2E" w:rsidRDefault="00AD5C2E" w:rsidP="00AD5C2E">
            <w:pPr>
              <w:spacing w:after="0" w:line="240" w:lineRule="auto"/>
              <w:rPr>
                <w:rFonts w:ascii="Times New Roman" w:eastAsia="Times New Roman" w:hAnsi="Times New Roman" w:cs="Times New Roman"/>
                <w:sz w:val="20"/>
                <w:szCs w:val="20"/>
                <w:lang w:eastAsia="pt-BR"/>
              </w:rPr>
            </w:pPr>
          </w:p>
        </w:tc>
        <w:tc>
          <w:tcPr>
            <w:tcW w:w="2036" w:type="dxa"/>
            <w:tcBorders>
              <w:top w:val="single" w:sz="4" w:space="0" w:color="auto"/>
              <w:left w:val="nil"/>
              <w:bottom w:val="double" w:sz="6" w:space="0" w:color="auto"/>
              <w:right w:val="nil"/>
            </w:tcBorders>
            <w:shd w:val="clear" w:color="auto" w:fill="auto"/>
            <w:noWrap/>
            <w:vAlign w:val="center"/>
            <w:hideMark/>
          </w:tcPr>
          <w:p w14:paraId="3A1D8F62" w14:textId="77777777" w:rsidR="00AD5C2E" w:rsidRPr="00AD5C2E" w:rsidRDefault="00AD5C2E" w:rsidP="00AD5C2E">
            <w:pPr>
              <w:spacing w:after="0" w:line="240" w:lineRule="auto"/>
              <w:jc w:val="right"/>
              <w:rPr>
                <w:rFonts w:ascii="Verdana" w:eastAsia="Times New Roman" w:hAnsi="Verdana" w:cs="Calibri"/>
                <w:b/>
                <w:bCs/>
                <w:color w:val="000000"/>
                <w:sz w:val="18"/>
                <w:szCs w:val="18"/>
                <w:lang w:eastAsia="pt-BR"/>
              </w:rPr>
            </w:pPr>
            <w:r w:rsidRPr="00AD5C2E">
              <w:rPr>
                <w:rFonts w:ascii="Verdana" w:eastAsia="Times New Roman" w:hAnsi="Verdana" w:cs="Calibri"/>
                <w:b/>
                <w:bCs/>
                <w:color w:val="000000"/>
                <w:sz w:val="18"/>
                <w:szCs w:val="18"/>
                <w:lang w:eastAsia="pt-BR"/>
              </w:rPr>
              <w:t xml:space="preserve">       6.475.093 </w:t>
            </w:r>
          </w:p>
        </w:tc>
        <w:tc>
          <w:tcPr>
            <w:tcW w:w="250" w:type="dxa"/>
            <w:tcBorders>
              <w:top w:val="nil"/>
              <w:left w:val="nil"/>
              <w:bottom w:val="nil"/>
              <w:right w:val="nil"/>
            </w:tcBorders>
            <w:shd w:val="clear" w:color="auto" w:fill="auto"/>
            <w:noWrap/>
            <w:vAlign w:val="center"/>
            <w:hideMark/>
          </w:tcPr>
          <w:p w14:paraId="1B12862F" w14:textId="77777777" w:rsidR="00AD5C2E" w:rsidRPr="00AD5C2E" w:rsidRDefault="00AD5C2E" w:rsidP="00AD5C2E">
            <w:pPr>
              <w:spacing w:after="0" w:line="240" w:lineRule="auto"/>
              <w:jc w:val="right"/>
              <w:rPr>
                <w:rFonts w:ascii="Verdana" w:eastAsia="Times New Roman" w:hAnsi="Verdana" w:cs="Calibri"/>
                <w:b/>
                <w:bCs/>
                <w:color w:val="000000"/>
                <w:sz w:val="18"/>
                <w:szCs w:val="18"/>
                <w:lang w:eastAsia="pt-BR"/>
              </w:rPr>
            </w:pPr>
          </w:p>
        </w:tc>
        <w:tc>
          <w:tcPr>
            <w:tcW w:w="2036" w:type="dxa"/>
            <w:tcBorders>
              <w:top w:val="single" w:sz="4" w:space="0" w:color="auto"/>
              <w:left w:val="nil"/>
              <w:bottom w:val="double" w:sz="6" w:space="0" w:color="auto"/>
              <w:right w:val="nil"/>
            </w:tcBorders>
            <w:shd w:val="clear" w:color="auto" w:fill="auto"/>
            <w:noWrap/>
            <w:vAlign w:val="center"/>
            <w:hideMark/>
          </w:tcPr>
          <w:p w14:paraId="30B27BE9" w14:textId="77777777" w:rsidR="00AD5C2E" w:rsidRPr="00AD5C2E" w:rsidRDefault="00AD5C2E" w:rsidP="00AD5C2E">
            <w:pPr>
              <w:spacing w:after="0" w:line="240" w:lineRule="auto"/>
              <w:jc w:val="right"/>
              <w:rPr>
                <w:rFonts w:ascii="Verdana" w:eastAsia="Times New Roman" w:hAnsi="Verdana" w:cs="Calibri"/>
                <w:b/>
                <w:bCs/>
                <w:color w:val="000000"/>
                <w:sz w:val="18"/>
                <w:szCs w:val="18"/>
                <w:lang w:eastAsia="pt-BR"/>
              </w:rPr>
            </w:pPr>
            <w:r w:rsidRPr="00AD5C2E">
              <w:rPr>
                <w:rFonts w:ascii="Verdana" w:eastAsia="Times New Roman" w:hAnsi="Verdana" w:cs="Calibri"/>
                <w:b/>
                <w:bCs/>
                <w:color w:val="000000"/>
                <w:sz w:val="18"/>
                <w:szCs w:val="18"/>
                <w:lang w:eastAsia="pt-BR"/>
              </w:rPr>
              <w:t xml:space="preserve">    (3.086.268)</w:t>
            </w:r>
          </w:p>
        </w:tc>
        <w:tc>
          <w:tcPr>
            <w:tcW w:w="250" w:type="dxa"/>
            <w:tcBorders>
              <w:top w:val="nil"/>
              <w:left w:val="nil"/>
              <w:bottom w:val="nil"/>
              <w:right w:val="nil"/>
            </w:tcBorders>
            <w:shd w:val="clear" w:color="auto" w:fill="auto"/>
            <w:noWrap/>
            <w:vAlign w:val="center"/>
            <w:hideMark/>
          </w:tcPr>
          <w:p w14:paraId="4A487462" w14:textId="77777777" w:rsidR="00AD5C2E" w:rsidRPr="00AD5C2E" w:rsidRDefault="00AD5C2E" w:rsidP="00AD5C2E">
            <w:pPr>
              <w:spacing w:after="0" w:line="240" w:lineRule="auto"/>
              <w:jc w:val="right"/>
              <w:rPr>
                <w:rFonts w:ascii="Verdana" w:eastAsia="Times New Roman" w:hAnsi="Verdana" w:cs="Calibri"/>
                <w:b/>
                <w:bCs/>
                <w:color w:val="000000"/>
                <w:sz w:val="18"/>
                <w:szCs w:val="18"/>
                <w:lang w:eastAsia="pt-BR"/>
              </w:rPr>
            </w:pPr>
          </w:p>
        </w:tc>
        <w:tc>
          <w:tcPr>
            <w:tcW w:w="2036" w:type="dxa"/>
            <w:tcBorders>
              <w:top w:val="single" w:sz="4" w:space="0" w:color="auto"/>
              <w:left w:val="nil"/>
              <w:bottom w:val="double" w:sz="6" w:space="0" w:color="auto"/>
              <w:right w:val="nil"/>
            </w:tcBorders>
            <w:shd w:val="clear" w:color="auto" w:fill="auto"/>
            <w:noWrap/>
            <w:vAlign w:val="center"/>
            <w:hideMark/>
          </w:tcPr>
          <w:p w14:paraId="58A5AC2A" w14:textId="77777777" w:rsidR="00AD5C2E" w:rsidRPr="00AD5C2E" w:rsidRDefault="00AD5C2E" w:rsidP="00AD5C2E">
            <w:pPr>
              <w:spacing w:after="0" w:line="240" w:lineRule="auto"/>
              <w:jc w:val="right"/>
              <w:rPr>
                <w:rFonts w:ascii="Verdana" w:eastAsia="Times New Roman" w:hAnsi="Verdana" w:cs="Calibri"/>
                <w:b/>
                <w:bCs/>
                <w:color w:val="000000"/>
                <w:sz w:val="18"/>
                <w:szCs w:val="18"/>
                <w:lang w:eastAsia="pt-BR"/>
              </w:rPr>
            </w:pPr>
            <w:r w:rsidRPr="00AD5C2E">
              <w:rPr>
                <w:rFonts w:ascii="Verdana" w:eastAsia="Times New Roman" w:hAnsi="Verdana" w:cs="Calibri"/>
                <w:b/>
                <w:bCs/>
                <w:color w:val="000000"/>
                <w:sz w:val="18"/>
                <w:szCs w:val="18"/>
                <w:lang w:eastAsia="pt-BR"/>
              </w:rPr>
              <w:t xml:space="preserve">       3.388.825 </w:t>
            </w:r>
          </w:p>
        </w:tc>
      </w:tr>
    </w:tbl>
    <w:p w14:paraId="0A981F75" w14:textId="77777777" w:rsidR="00D413FF" w:rsidRPr="00C11BC9" w:rsidRDefault="00D413FF" w:rsidP="00C144BB">
      <w:pPr>
        <w:spacing w:after="0"/>
        <w:rPr>
          <w:rFonts w:ascii="Verdana" w:hAnsi="Verdana" w:cstheme="minorHAnsi"/>
          <w:noProof/>
          <w:lang w:eastAsia="pt-BR"/>
        </w:rPr>
      </w:pPr>
    </w:p>
    <w:p w14:paraId="08FB935D" w14:textId="77777777" w:rsidR="002B1787" w:rsidRPr="00F7132F" w:rsidRDefault="00581D1F" w:rsidP="00CF5F07">
      <w:pPr>
        <w:tabs>
          <w:tab w:val="left" w:pos="567"/>
          <w:tab w:val="left" w:pos="1134"/>
          <w:tab w:val="left" w:pos="1701"/>
          <w:tab w:val="left" w:pos="2268"/>
          <w:tab w:val="left" w:pos="2835"/>
        </w:tabs>
        <w:jc w:val="both"/>
        <w:outlineLvl w:val="0"/>
        <w:rPr>
          <w:rFonts w:ascii="Verdana" w:hAnsi="Verdana" w:cstheme="minorHAnsi"/>
          <w:b/>
        </w:rPr>
      </w:pPr>
      <w:r>
        <w:rPr>
          <w:rFonts w:ascii="Verdana" w:hAnsi="Verdana" w:cstheme="minorHAnsi"/>
          <w:b/>
        </w:rPr>
        <w:t>22</w:t>
      </w:r>
      <w:r w:rsidR="00F4139F" w:rsidRPr="00F7132F">
        <w:rPr>
          <w:rFonts w:ascii="Verdana" w:hAnsi="Verdana" w:cstheme="minorHAnsi"/>
          <w:b/>
        </w:rPr>
        <w:t xml:space="preserve"> </w:t>
      </w:r>
      <w:r w:rsidR="002B1787" w:rsidRPr="00F7132F">
        <w:rPr>
          <w:rFonts w:ascii="Verdana" w:hAnsi="Verdana" w:cstheme="minorHAnsi"/>
          <w:b/>
        </w:rPr>
        <w:t>– PATRIMÔNIO LÍQUIDO</w:t>
      </w:r>
    </w:p>
    <w:p w14:paraId="365111AE" w14:textId="77777777" w:rsidR="00EB6518" w:rsidRDefault="00EB6518" w:rsidP="00EB6518">
      <w:pPr>
        <w:jc w:val="both"/>
        <w:rPr>
          <w:rFonts w:ascii="Verdana" w:hAnsi="Verdana" w:cstheme="minorHAnsi"/>
        </w:rPr>
      </w:pPr>
      <w:r w:rsidRPr="00C11BC9">
        <w:rPr>
          <w:rFonts w:ascii="Verdana" w:hAnsi="Verdana" w:cstheme="minorHAnsi"/>
        </w:rPr>
        <w:t>O capital social da Companhia em 30 de junho de 2022 é de R$4.000.000, representados por 4.000.000.000 (quatro bilhões) de ações ordinárias, todas nominativas e sem val</w:t>
      </w:r>
      <w:r w:rsidR="00720E7B">
        <w:rPr>
          <w:rFonts w:ascii="Verdana" w:hAnsi="Verdana" w:cstheme="minorHAnsi"/>
        </w:rPr>
        <w:t>or nominal, totalmente subscrito e integralizado</w:t>
      </w:r>
      <w:r w:rsidRPr="00C11BC9">
        <w:rPr>
          <w:rFonts w:ascii="Verdana" w:hAnsi="Verdana" w:cstheme="minorHAnsi"/>
        </w:rPr>
        <w:t xml:space="preserve"> pela União, sua única acionista.</w:t>
      </w:r>
    </w:p>
    <w:p w14:paraId="5F201135" w14:textId="77777777" w:rsidR="002B1787" w:rsidRPr="00F7132F" w:rsidRDefault="00581D1F" w:rsidP="00CF5F07">
      <w:pPr>
        <w:tabs>
          <w:tab w:val="left" w:pos="567"/>
          <w:tab w:val="left" w:pos="1134"/>
          <w:tab w:val="left" w:pos="1701"/>
          <w:tab w:val="left" w:pos="2268"/>
          <w:tab w:val="left" w:pos="2835"/>
        </w:tabs>
        <w:jc w:val="both"/>
        <w:outlineLvl w:val="0"/>
        <w:rPr>
          <w:rFonts w:ascii="Verdana" w:hAnsi="Verdana" w:cstheme="minorHAnsi"/>
          <w:b/>
        </w:rPr>
      </w:pPr>
      <w:r>
        <w:rPr>
          <w:rFonts w:ascii="Verdana" w:hAnsi="Verdana" w:cstheme="minorHAnsi"/>
          <w:b/>
        </w:rPr>
        <w:t>23</w:t>
      </w:r>
      <w:r w:rsidR="00F4139F" w:rsidRPr="00F7132F">
        <w:rPr>
          <w:rFonts w:ascii="Verdana" w:hAnsi="Verdana" w:cstheme="minorHAnsi"/>
          <w:b/>
        </w:rPr>
        <w:t xml:space="preserve"> </w:t>
      </w:r>
      <w:r w:rsidR="002B1787" w:rsidRPr="00F7132F">
        <w:rPr>
          <w:rFonts w:ascii="Verdana" w:hAnsi="Verdana" w:cstheme="minorHAnsi"/>
          <w:b/>
        </w:rPr>
        <w:t>– RECEITA OPERACIONAL LÍQUIDA</w:t>
      </w:r>
    </w:p>
    <w:tbl>
      <w:tblPr>
        <w:tblW w:w="12489" w:type="dxa"/>
        <w:tblInd w:w="-851" w:type="dxa"/>
        <w:tblCellMar>
          <w:left w:w="70" w:type="dxa"/>
          <w:right w:w="70" w:type="dxa"/>
        </w:tblCellMar>
        <w:tblLook w:val="04A0" w:firstRow="1" w:lastRow="0" w:firstColumn="1" w:lastColumn="0" w:noHBand="0" w:noVBand="1"/>
      </w:tblPr>
      <w:tblGrid>
        <w:gridCol w:w="4111"/>
        <w:gridCol w:w="160"/>
        <w:gridCol w:w="1502"/>
        <w:gridCol w:w="163"/>
        <w:gridCol w:w="1396"/>
        <w:gridCol w:w="182"/>
        <w:gridCol w:w="741"/>
        <w:gridCol w:w="269"/>
        <w:gridCol w:w="564"/>
        <w:gridCol w:w="163"/>
        <w:gridCol w:w="1369"/>
        <w:gridCol w:w="1869"/>
      </w:tblGrid>
      <w:tr w:rsidR="00920713" w:rsidRPr="00920713" w14:paraId="3FB9B8B3" w14:textId="77777777" w:rsidTr="00B63957">
        <w:trPr>
          <w:trHeight w:val="20"/>
        </w:trPr>
        <w:tc>
          <w:tcPr>
            <w:tcW w:w="4111" w:type="dxa"/>
            <w:tcBorders>
              <w:top w:val="nil"/>
              <w:left w:val="nil"/>
              <w:bottom w:val="nil"/>
              <w:right w:val="nil"/>
            </w:tcBorders>
            <w:shd w:val="clear" w:color="auto" w:fill="auto"/>
            <w:noWrap/>
            <w:vAlign w:val="bottom"/>
            <w:hideMark/>
          </w:tcPr>
          <w:p w14:paraId="0705BD67" w14:textId="77777777" w:rsidR="00920713" w:rsidRPr="00920713" w:rsidRDefault="00920713" w:rsidP="00920713">
            <w:pPr>
              <w:spacing w:after="0" w:line="240" w:lineRule="auto"/>
              <w:rPr>
                <w:rFonts w:ascii="Times New Roman" w:eastAsia="Times New Roman" w:hAnsi="Times New Roman" w:cs="Times New Roman"/>
                <w:sz w:val="24"/>
                <w:szCs w:val="24"/>
                <w:lang w:eastAsia="pt-BR"/>
              </w:rPr>
            </w:pPr>
          </w:p>
        </w:tc>
        <w:tc>
          <w:tcPr>
            <w:tcW w:w="160" w:type="dxa"/>
            <w:tcBorders>
              <w:top w:val="nil"/>
              <w:left w:val="nil"/>
              <w:bottom w:val="nil"/>
              <w:right w:val="nil"/>
            </w:tcBorders>
            <w:shd w:val="clear" w:color="auto" w:fill="auto"/>
            <w:noWrap/>
            <w:vAlign w:val="bottom"/>
            <w:hideMark/>
          </w:tcPr>
          <w:p w14:paraId="023FBF76" w14:textId="77777777" w:rsidR="00920713" w:rsidRPr="00920713" w:rsidRDefault="00920713" w:rsidP="00920713">
            <w:pPr>
              <w:spacing w:after="0" w:line="240" w:lineRule="auto"/>
              <w:rPr>
                <w:rFonts w:ascii="Times New Roman" w:eastAsia="Times New Roman" w:hAnsi="Times New Roman" w:cs="Times New Roman"/>
                <w:sz w:val="20"/>
                <w:szCs w:val="20"/>
                <w:lang w:eastAsia="pt-BR"/>
              </w:rPr>
            </w:pPr>
          </w:p>
        </w:tc>
        <w:tc>
          <w:tcPr>
            <w:tcW w:w="3984" w:type="dxa"/>
            <w:gridSpan w:val="5"/>
            <w:tcBorders>
              <w:top w:val="nil"/>
              <w:left w:val="nil"/>
              <w:bottom w:val="nil"/>
              <w:right w:val="nil"/>
            </w:tcBorders>
            <w:shd w:val="clear" w:color="auto" w:fill="auto"/>
            <w:noWrap/>
            <w:vAlign w:val="center"/>
            <w:hideMark/>
          </w:tcPr>
          <w:p w14:paraId="62A0B754" w14:textId="77777777" w:rsidR="00920713" w:rsidRPr="00920713" w:rsidRDefault="00920713" w:rsidP="00920713">
            <w:pPr>
              <w:spacing w:after="0" w:line="240" w:lineRule="auto"/>
              <w:ind w:left="708"/>
              <w:rPr>
                <w:rFonts w:ascii="Verdana" w:eastAsia="Times New Roman" w:hAnsi="Verdana" w:cs="Calibri"/>
                <w:b/>
                <w:bCs/>
                <w:color w:val="000000"/>
                <w:sz w:val="18"/>
                <w:szCs w:val="18"/>
                <w:lang w:eastAsia="pt-BR"/>
              </w:rPr>
            </w:pPr>
            <w:r w:rsidRPr="00920713">
              <w:rPr>
                <w:rFonts w:ascii="Verdana" w:eastAsia="Times New Roman" w:hAnsi="Verdana" w:cs="Calibri"/>
                <w:b/>
                <w:bCs/>
                <w:color w:val="000000"/>
                <w:sz w:val="18"/>
                <w:szCs w:val="18"/>
                <w:lang w:eastAsia="pt-BR"/>
              </w:rPr>
              <w:t>Controladora</w:t>
            </w:r>
          </w:p>
        </w:tc>
        <w:tc>
          <w:tcPr>
            <w:tcW w:w="269" w:type="dxa"/>
            <w:tcBorders>
              <w:top w:val="nil"/>
              <w:left w:val="nil"/>
              <w:bottom w:val="nil"/>
              <w:right w:val="nil"/>
            </w:tcBorders>
            <w:shd w:val="clear" w:color="auto" w:fill="auto"/>
            <w:noWrap/>
            <w:vAlign w:val="bottom"/>
            <w:hideMark/>
          </w:tcPr>
          <w:p w14:paraId="4AA60AD4" w14:textId="77777777" w:rsidR="00920713" w:rsidRPr="00920713" w:rsidRDefault="00920713" w:rsidP="00920713">
            <w:pPr>
              <w:spacing w:after="0" w:line="240" w:lineRule="auto"/>
              <w:jc w:val="center"/>
              <w:rPr>
                <w:rFonts w:ascii="Verdana" w:eastAsia="Times New Roman" w:hAnsi="Verdana" w:cs="Calibri"/>
                <w:b/>
                <w:bCs/>
                <w:color w:val="000000"/>
                <w:sz w:val="18"/>
                <w:szCs w:val="18"/>
                <w:lang w:eastAsia="pt-BR"/>
              </w:rPr>
            </w:pPr>
          </w:p>
        </w:tc>
        <w:tc>
          <w:tcPr>
            <w:tcW w:w="3965" w:type="dxa"/>
            <w:gridSpan w:val="4"/>
            <w:tcBorders>
              <w:top w:val="nil"/>
              <w:left w:val="nil"/>
              <w:bottom w:val="nil"/>
              <w:right w:val="nil"/>
            </w:tcBorders>
            <w:shd w:val="clear" w:color="auto" w:fill="auto"/>
            <w:noWrap/>
            <w:vAlign w:val="center"/>
            <w:hideMark/>
          </w:tcPr>
          <w:p w14:paraId="5EFA346A" w14:textId="77777777" w:rsidR="00920713" w:rsidRPr="00920713" w:rsidRDefault="00920713" w:rsidP="00920713">
            <w:pPr>
              <w:spacing w:after="0" w:line="240" w:lineRule="auto"/>
              <w:rPr>
                <w:rFonts w:ascii="Verdana" w:eastAsia="Times New Roman" w:hAnsi="Verdana" w:cs="Calibri"/>
                <w:b/>
                <w:bCs/>
                <w:color w:val="000000"/>
                <w:sz w:val="18"/>
                <w:szCs w:val="18"/>
                <w:lang w:eastAsia="pt-BR"/>
              </w:rPr>
            </w:pPr>
            <w:r w:rsidRPr="00920713">
              <w:rPr>
                <w:rFonts w:ascii="Verdana" w:eastAsia="Times New Roman" w:hAnsi="Verdana" w:cs="Calibri"/>
                <w:b/>
                <w:bCs/>
                <w:color w:val="000000"/>
                <w:sz w:val="18"/>
                <w:szCs w:val="18"/>
                <w:lang w:eastAsia="pt-BR"/>
              </w:rPr>
              <w:t>Consolidado</w:t>
            </w:r>
          </w:p>
        </w:tc>
      </w:tr>
      <w:tr w:rsidR="00920713" w:rsidRPr="00920713" w14:paraId="4B028956" w14:textId="77777777" w:rsidTr="00B63957">
        <w:trPr>
          <w:gridAfter w:val="1"/>
          <w:wAfter w:w="1869" w:type="dxa"/>
          <w:trHeight w:val="20"/>
        </w:trPr>
        <w:tc>
          <w:tcPr>
            <w:tcW w:w="4111" w:type="dxa"/>
            <w:tcBorders>
              <w:top w:val="nil"/>
              <w:left w:val="nil"/>
              <w:bottom w:val="nil"/>
              <w:right w:val="nil"/>
            </w:tcBorders>
            <w:shd w:val="clear" w:color="auto" w:fill="auto"/>
            <w:noWrap/>
            <w:vAlign w:val="center"/>
            <w:hideMark/>
          </w:tcPr>
          <w:p w14:paraId="52EF7DF9" w14:textId="77777777" w:rsidR="00920713" w:rsidRPr="00920713" w:rsidRDefault="00920713" w:rsidP="00920713">
            <w:pPr>
              <w:spacing w:after="0" w:line="240" w:lineRule="auto"/>
              <w:jc w:val="center"/>
              <w:rPr>
                <w:rFonts w:ascii="Verdana" w:eastAsia="Times New Roman" w:hAnsi="Verdana" w:cs="Calibri"/>
                <w:b/>
                <w:bCs/>
                <w:color w:val="000000"/>
                <w:sz w:val="18"/>
                <w:szCs w:val="18"/>
                <w:lang w:eastAsia="pt-BR"/>
              </w:rPr>
            </w:pPr>
          </w:p>
        </w:tc>
        <w:tc>
          <w:tcPr>
            <w:tcW w:w="160" w:type="dxa"/>
            <w:tcBorders>
              <w:top w:val="nil"/>
              <w:left w:val="nil"/>
              <w:bottom w:val="nil"/>
              <w:right w:val="nil"/>
            </w:tcBorders>
            <w:shd w:val="clear" w:color="auto" w:fill="auto"/>
            <w:noWrap/>
            <w:vAlign w:val="center"/>
            <w:hideMark/>
          </w:tcPr>
          <w:p w14:paraId="48C09638" w14:textId="77777777" w:rsidR="00920713" w:rsidRPr="00920713" w:rsidRDefault="00920713" w:rsidP="00920713">
            <w:pPr>
              <w:spacing w:after="0" w:line="240" w:lineRule="auto"/>
              <w:rPr>
                <w:rFonts w:ascii="Times New Roman" w:eastAsia="Times New Roman" w:hAnsi="Times New Roman" w:cs="Times New Roman"/>
                <w:sz w:val="20"/>
                <w:szCs w:val="20"/>
                <w:lang w:eastAsia="pt-BR"/>
              </w:rPr>
            </w:pPr>
          </w:p>
        </w:tc>
        <w:tc>
          <w:tcPr>
            <w:tcW w:w="1502" w:type="dxa"/>
            <w:tcBorders>
              <w:top w:val="single" w:sz="4" w:space="0" w:color="auto"/>
              <w:left w:val="nil"/>
              <w:bottom w:val="single" w:sz="4" w:space="0" w:color="auto"/>
              <w:right w:val="nil"/>
            </w:tcBorders>
            <w:shd w:val="clear" w:color="000000" w:fill="FFFFFF"/>
            <w:vAlign w:val="center"/>
            <w:hideMark/>
          </w:tcPr>
          <w:p w14:paraId="1F4FB73D" w14:textId="77777777" w:rsidR="00920713" w:rsidRPr="00920713" w:rsidRDefault="00920713" w:rsidP="00920713">
            <w:pPr>
              <w:spacing w:after="0" w:line="240" w:lineRule="auto"/>
              <w:jc w:val="center"/>
              <w:rPr>
                <w:rFonts w:ascii="Verdana" w:eastAsia="Times New Roman" w:hAnsi="Verdana" w:cs="Calibri"/>
                <w:b/>
                <w:bCs/>
                <w:color w:val="000000"/>
                <w:sz w:val="16"/>
                <w:szCs w:val="16"/>
                <w:lang w:eastAsia="pt-BR"/>
              </w:rPr>
            </w:pPr>
            <w:r w:rsidRPr="00920713">
              <w:rPr>
                <w:rFonts w:ascii="Verdana" w:eastAsia="Times New Roman" w:hAnsi="Verdana" w:cs="Calibri"/>
                <w:b/>
                <w:bCs/>
                <w:color w:val="000000"/>
                <w:sz w:val="16"/>
                <w:szCs w:val="16"/>
                <w:lang w:eastAsia="pt-BR"/>
              </w:rPr>
              <w:t xml:space="preserve"> 30/06/2022 </w:t>
            </w:r>
            <w:r w:rsidRPr="00920713">
              <w:rPr>
                <w:rFonts w:ascii="Verdana" w:eastAsia="Times New Roman" w:hAnsi="Verdana" w:cs="Calibri"/>
                <w:b/>
                <w:bCs/>
                <w:color w:val="000000"/>
                <w:sz w:val="16"/>
                <w:szCs w:val="16"/>
                <w:lang w:eastAsia="pt-BR"/>
              </w:rPr>
              <w:br/>
              <w:t>(6 meses)</w:t>
            </w:r>
          </w:p>
        </w:tc>
        <w:tc>
          <w:tcPr>
            <w:tcW w:w="163" w:type="dxa"/>
            <w:tcBorders>
              <w:top w:val="nil"/>
              <w:left w:val="nil"/>
              <w:bottom w:val="nil"/>
              <w:right w:val="nil"/>
            </w:tcBorders>
            <w:shd w:val="clear" w:color="auto" w:fill="auto"/>
            <w:noWrap/>
            <w:vAlign w:val="bottom"/>
            <w:hideMark/>
          </w:tcPr>
          <w:p w14:paraId="50357148" w14:textId="77777777" w:rsidR="00920713" w:rsidRPr="00920713" w:rsidRDefault="00920713" w:rsidP="00920713">
            <w:pPr>
              <w:spacing w:after="0" w:line="240" w:lineRule="auto"/>
              <w:jc w:val="center"/>
              <w:rPr>
                <w:rFonts w:ascii="Verdana" w:eastAsia="Times New Roman" w:hAnsi="Verdana" w:cs="Calibri"/>
                <w:b/>
                <w:bCs/>
                <w:color w:val="000000"/>
                <w:sz w:val="16"/>
                <w:szCs w:val="16"/>
                <w:lang w:eastAsia="pt-BR"/>
              </w:rPr>
            </w:pPr>
          </w:p>
        </w:tc>
        <w:tc>
          <w:tcPr>
            <w:tcW w:w="1396" w:type="dxa"/>
            <w:tcBorders>
              <w:top w:val="single" w:sz="4" w:space="0" w:color="auto"/>
              <w:left w:val="nil"/>
              <w:bottom w:val="single" w:sz="4" w:space="0" w:color="auto"/>
              <w:right w:val="nil"/>
            </w:tcBorders>
            <w:shd w:val="clear" w:color="000000" w:fill="FFFFFF"/>
            <w:vAlign w:val="center"/>
            <w:hideMark/>
          </w:tcPr>
          <w:p w14:paraId="2D47B3FE" w14:textId="77777777" w:rsidR="00920713" w:rsidRPr="00920713" w:rsidRDefault="00920713" w:rsidP="00920713">
            <w:pPr>
              <w:spacing w:after="0" w:line="240" w:lineRule="auto"/>
              <w:jc w:val="center"/>
              <w:rPr>
                <w:rFonts w:ascii="Verdana" w:eastAsia="Times New Roman" w:hAnsi="Verdana" w:cs="Calibri"/>
                <w:b/>
                <w:bCs/>
                <w:color w:val="000000"/>
                <w:sz w:val="16"/>
                <w:szCs w:val="16"/>
                <w:lang w:eastAsia="pt-BR"/>
              </w:rPr>
            </w:pPr>
            <w:r w:rsidRPr="00920713">
              <w:rPr>
                <w:rFonts w:ascii="Verdana" w:eastAsia="Times New Roman" w:hAnsi="Verdana" w:cs="Calibri"/>
                <w:b/>
                <w:bCs/>
                <w:color w:val="000000"/>
                <w:sz w:val="16"/>
                <w:szCs w:val="16"/>
                <w:lang w:eastAsia="pt-BR"/>
              </w:rPr>
              <w:t xml:space="preserve"> 30/06/2022 </w:t>
            </w:r>
            <w:r w:rsidRPr="00920713">
              <w:rPr>
                <w:rFonts w:ascii="Verdana" w:eastAsia="Times New Roman" w:hAnsi="Verdana" w:cs="Calibri"/>
                <w:b/>
                <w:bCs/>
                <w:color w:val="000000"/>
                <w:sz w:val="16"/>
                <w:szCs w:val="16"/>
                <w:lang w:eastAsia="pt-BR"/>
              </w:rPr>
              <w:br/>
              <w:t>(3 meses)</w:t>
            </w:r>
          </w:p>
        </w:tc>
        <w:tc>
          <w:tcPr>
            <w:tcW w:w="182" w:type="dxa"/>
            <w:tcBorders>
              <w:top w:val="nil"/>
              <w:left w:val="nil"/>
              <w:bottom w:val="nil"/>
              <w:right w:val="nil"/>
            </w:tcBorders>
            <w:shd w:val="clear" w:color="auto" w:fill="auto"/>
            <w:noWrap/>
            <w:vAlign w:val="bottom"/>
            <w:hideMark/>
          </w:tcPr>
          <w:p w14:paraId="32D0F323" w14:textId="77777777" w:rsidR="00920713" w:rsidRPr="00920713" w:rsidRDefault="00920713" w:rsidP="00920713">
            <w:pPr>
              <w:spacing w:after="0" w:line="240" w:lineRule="auto"/>
              <w:jc w:val="center"/>
              <w:rPr>
                <w:rFonts w:ascii="Verdana" w:eastAsia="Times New Roman" w:hAnsi="Verdana" w:cs="Calibri"/>
                <w:b/>
                <w:bCs/>
                <w:color w:val="000000"/>
                <w:sz w:val="16"/>
                <w:szCs w:val="16"/>
                <w:lang w:eastAsia="pt-BR"/>
              </w:rPr>
            </w:pPr>
          </w:p>
        </w:tc>
        <w:tc>
          <w:tcPr>
            <w:tcW w:w="1574" w:type="dxa"/>
            <w:gridSpan w:val="3"/>
            <w:tcBorders>
              <w:top w:val="single" w:sz="4" w:space="0" w:color="auto"/>
              <w:left w:val="nil"/>
              <w:bottom w:val="single" w:sz="4" w:space="0" w:color="auto"/>
              <w:right w:val="nil"/>
            </w:tcBorders>
            <w:shd w:val="clear" w:color="000000" w:fill="FFFFFF"/>
            <w:vAlign w:val="center"/>
            <w:hideMark/>
          </w:tcPr>
          <w:p w14:paraId="150C53B8" w14:textId="77777777" w:rsidR="00920713" w:rsidRPr="00920713" w:rsidRDefault="00920713" w:rsidP="00920713">
            <w:pPr>
              <w:spacing w:after="0" w:line="240" w:lineRule="auto"/>
              <w:jc w:val="center"/>
              <w:rPr>
                <w:rFonts w:ascii="Verdana" w:eastAsia="Times New Roman" w:hAnsi="Verdana" w:cs="Calibri"/>
                <w:b/>
                <w:bCs/>
                <w:color w:val="000000"/>
                <w:sz w:val="16"/>
                <w:szCs w:val="16"/>
                <w:lang w:eastAsia="pt-BR"/>
              </w:rPr>
            </w:pPr>
            <w:r w:rsidRPr="00920713">
              <w:rPr>
                <w:rFonts w:ascii="Verdana" w:eastAsia="Times New Roman" w:hAnsi="Verdana" w:cs="Calibri"/>
                <w:b/>
                <w:bCs/>
                <w:color w:val="000000"/>
                <w:sz w:val="16"/>
                <w:szCs w:val="16"/>
                <w:lang w:eastAsia="pt-BR"/>
              </w:rPr>
              <w:t xml:space="preserve"> 30/06/2022 </w:t>
            </w:r>
            <w:r w:rsidRPr="00920713">
              <w:rPr>
                <w:rFonts w:ascii="Verdana" w:eastAsia="Times New Roman" w:hAnsi="Verdana" w:cs="Calibri"/>
                <w:b/>
                <w:bCs/>
                <w:color w:val="000000"/>
                <w:sz w:val="16"/>
                <w:szCs w:val="16"/>
                <w:lang w:eastAsia="pt-BR"/>
              </w:rPr>
              <w:br/>
              <w:t>(6 meses)</w:t>
            </w:r>
          </w:p>
        </w:tc>
        <w:tc>
          <w:tcPr>
            <w:tcW w:w="163" w:type="dxa"/>
            <w:tcBorders>
              <w:top w:val="nil"/>
              <w:left w:val="nil"/>
              <w:bottom w:val="nil"/>
              <w:right w:val="nil"/>
            </w:tcBorders>
            <w:shd w:val="clear" w:color="auto" w:fill="auto"/>
            <w:noWrap/>
            <w:vAlign w:val="bottom"/>
            <w:hideMark/>
          </w:tcPr>
          <w:p w14:paraId="14F470B2" w14:textId="77777777" w:rsidR="00920713" w:rsidRPr="00920713" w:rsidRDefault="00920713" w:rsidP="00920713">
            <w:pPr>
              <w:spacing w:after="0" w:line="240" w:lineRule="auto"/>
              <w:jc w:val="center"/>
              <w:rPr>
                <w:rFonts w:ascii="Verdana" w:eastAsia="Times New Roman" w:hAnsi="Verdana" w:cs="Calibri"/>
                <w:b/>
                <w:bCs/>
                <w:color w:val="000000"/>
                <w:sz w:val="16"/>
                <w:szCs w:val="16"/>
                <w:lang w:eastAsia="pt-BR"/>
              </w:rPr>
            </w:pPr>
          </w:p>
        </w:tc>
        <w:tc>
          <w:tcPr>
            <w:tcW w:w="1369" w:type="dxa"/>
            <w:tcBorders>
              <w:top w:val="single" w:sz="4" w:space="0" w:color="auto"/>
              <w:left w:val="nil"/>
              <w:bottom w:val="single" w:sz="4" w:space="0" w:color="auto"/>
              <w:right w:val="nil"/>
            </w:tcBorders>
            <w:shd w:val="clear" w:color="000000" w:fill="FFFFFF"/>
            <w:vAlign w:val="center"/>
            <w:hideMark/>
          </w:tcPr>
          <w:p w14:paraId="00940EA5" w14:textId="77777777" w:rsidR="00920713" w:rsidRPr="00920713" w:rsidRDefault="00920713" w:rsidP="00920713">
            <w:pPr>
              <w:spacing w:after="0" w:line="240" w:lineRule="auto"/>
              <w:jc w:val="center"/>
              <w:rPr>
                <w:rFonts w:ascii="Verdana" w:eastAsia="Times New Roman" w:hAnsi="Verdana" w:cs="Calibri"/>
                <w:b/>
                <w:bCs/>
                <w:color w:val="000000"/>
                <w:sz w:val="16"/>
                <w:szCs w:val="16"/>
                <w:lang w:eastAsia="pt-BR"/>
              </w:rPr>
            </w:pPr>
            <w:r w:rsidRPr="00920713">
              <w:rPr>
                <w:rFonts w:ascii="Verdana" w:eastAsia="Times New Roman" w:hAnsi="Verdana" w:cs="Calibri"/>
                <w:b/>
                <w:bCs/>
                <w:color w:val="000000"/>
                <w:sz w:val="16"/>
                <w:szCs w:val="16"/>
                <w:lang w:eastAsia="pt-BR"/>
              </w:rPr>
              <w:t xml:space="preserve"> 30/06/2022 </w:t>
            </w:r>
            <w:r w:rsidRPr="00920713">
              <w:rPr>
                <w:rFonts w:ascii="Verdana" w:eastAsia="Times New Roman" w:hAnsi="Verdana" w:cs="Calibri"/>
                <w:b/>
                <w:bCs/>
                <w:color w:val="000000"/>
                <w:sz w:val="16"/>
                <w:szCs w:val="16"/>
                <w:lang w:eastAsia="pt-BR"/>
              </w:rPr>
              <w:br/>
              <w:t>(3 meses)</w:t>
            </w:r>
          </w:p>
        </w:tc>
      </w:tr>
      <w:tr w:rsidR="00920713" w:rsidRPr="00920713" w14:paraId="40DD9038" w14:textId="77777777" w:rsidTr="00B63957">
        <w:trPr>
          <w:gridAfter w:val="1"/>
          <w:wAfter w:w="1869" w:type="dxa"/>
          <w:trHeight w:val="20"/>
        </w:trPr>
        <w:tc>
          <w:tcPr>
            <w:tcW w:w="4111" w:type="dxa"/>
            <w:tcBorders>
              <w:top w:val="nil"/>
              <w:left w:val="nil"/>
              <w:bottom w:val="nil"/>
              <w:right w:val="nil"/>
            </w:tcBorders>
            <w:shd w:val="clear" w:color="auto" w:fill="auto"/>
            <w:noWrap/>
            <w:vAlign w:val="center"/>
            <w:hideMark/>
          </w:tcPr>
          <w:p w14:paraId="3B5B8754" w14:textId="77777777" w:rsidR="00920713" w:rsidRPr="00920713" w:rsidRDefault="00920713" w:rsidP="00920713">
            <w:pPr>
              <w:spacing w:after="0" w:line="240" w:lineRule="auto"/>
              <w:rPr>
                <w:rFonts w:ascii="Verdana" w:eastAsia="Times New Roman" w:hAnsi="Verdana" w:cs="Calibri"/>
                <w:b/>
                <w:bCs/>
                <w:color w:val="000000"/>
                <w:sz w:val="18"/>
                <w:szCs w:val="18"/>
                <w:lang w:eastAsia="pt-BR"/>
              </w:rPr>
            </w:pPr>
            <w:r w:rsidRPr="00920713">
              <w:rPr>
                <w:rFonts w:ascii="Verdana" w:eastAsia="Times New Roman" w:hAnsi="Verdana" w:cs="Calibri"/>
                <w:b/>
                <w:bCs/>
                <w:color w:val="000000"/>
                <w:sz w:val="18"/>
                <w:szCs w:val="18"/>
                <w:lang w:eastAsia="pt-BR"/>
              </w:rPr>
              <w:t>Receitas operacionais</w:t>
            </w:r>
          </w:p>
        </w:tc>
        <w:tc>
          <w:tcPr>
            <w:tcW w:w="160" w:type="dxa"/>
            <w:tcBorders>
              <w:top w:val="nil"/>
              <w:left w:val="nil"/>
              <w:bottom w:val="nil"/>
              <w:right w:val="nil"/>
            </w:tcBorders>
            <w:shd w:val="clear" w:color="auto" w:fill="auto"/>
            <w:noWrap/>
            <w:vAlign w:val="center"/>
            <w:hideMark/>
          </w:tcPr>
          <w:p w14:paraId="416373B6" w14:textId="77777777" w:rsidR="00920713" w:rsidRPr="00920713" w:rsidRDefault="00920713" w:rsidP="00920713">
            <w:pPr>
              <w:spacing w:after="0" w:line="240" w:lineRule="auto"/>
              <w:rPr>
                <w:rFonts w:ascii="Verdana" w:eastAsia="Times New Roman" w:hAnsi="Verdana" w:cs="Calibri"/>
                <w:b/>
                <w:bCs/>
                <w:color w:val="000000"/>
                <w:sz w:val="18"/>
                <w:szCs w:val="18"/>
                <w:lang w:eastAsia="pt-BR"/>
              </w:rPr>
            </w:pPr>
          </w:p>
        </w:tc>
        <w:tc>
          <w:tcPr>
            <w:tcW w:w="1502" w:type="dxa"/>
            <w:tcBorders>
              <w:top w:val="nil"/>
              <w:left w:val="nil"/>
              <w:bottom w:val="nil"/>
              <w:right w:val="nil"/>
            </w:tcBorders>
            <w:shd w:val="clear" w:color="auto" w:fill="auto"/>
            <w:noWrap/>
            <w:vAlign w:val="center"/>
            <w:hideMark/>
          </w:tcPr>
          <w:p w14:paraId="1F5AF0ED" w14:textId="77777777" w:rsidR="00920713" w:rsidRPr="00920713" w:rsidRDefault="00920713" w:rsidP="00920713">
            <w:pPr>
              <w:spacing w:after="0" w:line="240" w:lineRule="auto"/>
              <w:rPr>
                <w:rFonts w:ascii="Times New Roman" w:eastAsia="Times New Roman" w:hAnsi="Times New Roman" w:cs="Times New Roman"/>
                <w:sz w:val="20"/>
                <w:szCs w:val="20"/>
                <w:lang w:eastAsia="pt-BR"/>
              </w:rPr>
            </w:pPr>
          </w:p>
        </w:tc>
        <w:tc>
          <w:tcPr>
            <w:tcW w:w="163" w:type="dxa"/>
            <w:tcBorders>
              <w:top w:val="nil"/>
              <w:left w:val="nil"/>
              <w:bottom w:val="nil"/>
              <w:right w:val="nil"/>
            </w:tcBorders>
            <w:shd w:val="clear" w:color="auto" w:fill="auto"/>
            <w:noWrap/>
            <w:vAlign w:val="center"/>
            <w:hideMark/>
          </w:tcPr>
          <w:p w14:paraId="7ED96579" w14:textId="77777777" w:rsidR="00920713" w:rsidRPr="00920713" w:rsidRDefault="00920713" w:rsidP="00920713">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center"/>
            <w:hideMark/>
          </w:tcPr>
          <w:p w14:paraId="7516C7B1" w14:textId="77777777" w:rsidR="00920713" w:rsidRPr="00920713" w:rsidRDefault="00920713" w:rsidP="00920713">
            <w:pPr>
              <w:spacing w:after="0" w:line="240" w:lineRule="auto"/>
              <w:rPr>
                <w:rFonts w:ascii="Times New Roman" w:eastAsia="Times New Roman" w:hAnsi="Times New Roman" w:cs="Times New Roman"/>
                <w:sz w:val="20"/>
                <w:szCs w:val="20"/>
                <w:lang w:eastAsia="pt-BR"/>
              </w:rPr>
            </w:pPr>
          </w:p>
        </w:tc>
        <w:tc>
          <w:tcPr>
            <w:tcW w:w="182" w:type="dxa"/>
            <w:tcBorders>
              <w:top w:val="nil"/>
              <w:left w:val="nil"/>
              <w:bottom w:val="nil"/>
              <w:right w:val="nil"/>
            </w:tcBorders>
            <w:shd w:val="clear" w:color="auto" w:fill="auto"/>
            <w:noWrap/>
            <w:vAlign w:val="bottom"/>
            <w:hideMark/>
          </w:tcPr>
          <w:p w14:paraId="05F7D182" w14:textId="77777777" w:rsidR="00920713" w:rsidRPr="00920713" w:rsidRDefault="00920713" w:rsidP="00920713">
            <w:pPr>
              <w:spacing w:after="0" w:line="240" w:lineRule="auto"/>
              <w:rPr>
                <w:rFonts w:ascii="Times New Roman" w:eastAsia="Times New Roman" w:hAnsi="Times New Roman" w:cs="Times New Roman"/>
                <w:sz w:val="20"/>
                <w:szCs w:val="20"/>
                <w:lang w:eastAsia="pt-BR"/>
              </w:rPr>
            </w:pPr>
          </w:p>
        </w:tc>
        <w:tc>
          <w:tcPr>
            <w:tcW w:w="1574" w:type="dxa"/>
            <w:gridSpan w:val="3"/>
            <w:tcBorders>
              <w:top w:val="nil"/>
              <w:left w:val="nil"/>
              <w:bottom w:val="nil"/>
              <w:right w:val="nil"/>
            </w:tcBorders>
            <w:shd w:val="clear" w:color="auto" w:fill="auto"/>
            <w:noWrap/>
            <w:vAlign w:val="center"/>
            <w:hideMark/>
          </w:tcPr>
          <w:p w14:paraId="0F2D139D" w14:textId="77777777" w:rsidR="00920713" w:rsidRPr="00920713" w:rsidRDefault="00920713" w:rsidP="00920713">
            <w:pPr>
              <w:spacing w:after="0" w:line="240" w:lineRule="auto"/>
              <w:rPr>
                <w:rFonts w:ascii="Times New Roman" w:eastAsia="Times New Roman" w:hAnsi="Times New Roman" w:cs="Times New Roman"/>
                <w:sz w:val="20"/>
                <w:szCs w:val="20"/>
                <w:lang w:eastAsia="pt-BR"/>
              </w:rPr>
            </w:pPr>
          </w:p>
        </w:tc>
        <w:tc>
          <w:tcPr>
            <w:tcW w:w="163" w:type="dxa"/>
            <w:tcBorders>
              <w:top w:val="nil"/>
              <w:left w:val="nil"/>
              <w:bottom w:val="nil"/>
              <w:right w:val="nil"/>
            </w:tcBorders>
            <w:shd w:val="clear" w:color="auto" w:fill="auto"/>
            <w:noWrap/>
            <w:vAlign w:val="center"/>
            <w:hideMark/>
          </w:tcPr>
          <w:p w14:paraId="4F562807" w14:textId="77777777" w:rsidR="00920713" w:rsidRPr="00920713" w:rsidRDefault="00920713" w:rsidP="00920713">
            <w:pPr>
              <w:spacing w:after="0" w:line="240" w:lineRule="auto"/>
              <w:rPr>
                <w:rFonts w:ascii="Times New Roman" w:eastAsia="Times New Roman" w:hAnsi="Times New Roman" w:cs="Times New Roman"/>
                <w:sz w:val="20"/>
                <w:szCs w:val="20"/>
                <w:lang w:eastAsia="pt-BR"/>
              </w:rPr>
            </w:pPr>
          </w:p>
        </w:tc>
        <w:tc>
          <w:tcPr>
            <w:tcW w:w="1369" w:type="dxa"/>
            <w:tcBorders>
              <w:top w:val="nil"/>
              <w:left w:val="nil"/>
              <w:bottom w:val="nil"/>
              <w:right w:val="nil"/>
            </w:tcBorders>
            <w:shd w:val="clear" w:color="auto" w:fill="auto"/>
            <w:noWrap/>
            <w:vAlign w:val="center"/>
            <w:hideMark/>
          </w:tcPr>
          <w:p w14:paraId="374A8503" w14:textId="77777777" w:rsidR="00920713" w:rsidRPr="00920713" w:rsidRDefault="00920713" w:rsidP="00920713">
            <w:pPr>
              <w:spacing w:after="0" w:line="240" w:lineRule="auto"/>
              <w:rPr>
                <w:rFonts w:ascii="Times New Roman" w:eastAsia="Times New Roman" w:hAnsi="Times New Roman" w:cs="Times New Roman"/>
                <w:sz w:val="20"/>
                <w:szCs w:val="20"/>
                <w:lang w:eastAsia="pt-BR"/>
              </w:rPr>
            </w:pPr>
          </w:p>
        </w:tc>
      </w:tr>
      <w:tr w:rsidR="00920713" w:rsidRPr="00920713" w14:paraId="07B496E4" w14:textId="77777777" w:rsidTr="00B63957">
        <w:trPr>
          <w:gridAfter w:val="1"/>
          <w:wAfter w:w="1869" w:type="dxa"/>
          <w:trHeight w:val="20"/>
        </w:trPr>
        <w:tc>
          <w:tcPr>
            <w:tcW w:w="4271" w:type="dxa"/>
            <w:gridSpan w:val="2"/>
            <w:tcBorders>
              <w:top w:val="nil"/>
              <w:left w:val="nil"/>
              <w:bottom w:val="nil"/>
              <w:right w:val="nil"/>
            </w:tcBorders>
            <w:shd w:val="clear" w:color="auto" w:fill="auto"/>
            <w:noWrap/>
            <w:vAlign w:val="center"/>
            <w:hideMark/>
          </w:tcPr>
          <w:p w14:paraId="0EF27CCD" w14:textId="77777777" w:rsidR="00920713" w:rsidRPr="00920713" w:rsidRDefault="00920713" w:rsidP="00920713">
            <w:pPr>
              <w:spacing w:after="0" w:line="240" w:lineRule="auto"/>
              <w:rPr>
                <w:rFonts w:ascii="Verdana" w:eastAsia="Times New Roman" w:hAnsi="Verdana" w:cs="Calibri"/>
                <w:color w:val="000000"/>
                <w:sz w:val="18"/>
                <w:szCs w:val="18"/>
                <w:lang w:eastAsia="pt-BR"/>
              </w:rPr>
            </w:pPr>
            <w:r w:rsidRPr="00920713">
              <w:rPr>
                <w:rFonts w:ascii="Verdana" w:eastAsia="Times New Roman" w:hAnsi="Verdana" w:cs="Calibri"/>
                <w:color w:val="000000"/>
                <w:sz w:val="18"/>
                <w:szCs w:val="18"/>
                <w:lang w:eastAsia="pt-BR"/>
              </w:rPr>
              <w:t xml:space="preserve">  Receita com suprimento de energia elétrica</w:t>
            </w:r>
          </w:p>
        </w:tc>
        <w:tc>
          <w:tcPr>
            <w:tcW w:w="1502" w:type="dxa"/>
            <w:tcBorders>
              <w:top w:val="nil"/>
              <w:left w:val="nil"/>
              <w:bottom w:val="nil"/>
              <w:right w:val="nil"/>
            </w:tcBorders>
            <w:shd w:val="clear" w:color="auto" w:fill="auto"/>
            <w:noWrap/>
            <w:vAlign w:val="center"/>
            <w:hideMark/>
          </w:tcPr>
          <w:p w14:paraId="07AA90C1" w14:textId="77777777" w:rsidR="00920713" w:rsidRPr="00920713" w:rsidRDefault="00920713" w:rsidP="00920713">
            <w:pPr>
              <w:spacing w:after="0" w:line="240" w:lineRule="auto"/>
              <w:jc w:val="right"/>
              <w:rPr>
                <w:rFonts w:ascii="Verdana" w:eastAsia="Times New Roman" w:hAnsi="Verdana" w:cs="Calibri"/>
                <w:color w:val="000000"/>
                <w:sz w:val="18"/>
                <w:szCs w:val="18"/>
                <w:lang w:eastAsia="pt-BR"/>
              </w:rPr>
            </w:pPr>
            <w:r w:rsidRPr="00920713">
              <w:rPr>
                <w:rFonts w:ascii="Verdana" w:eastAsia="Times New Roman" w:hAnsi="Verdana" w:cs="Calibri"/>
                <w:color w:val="000000"/>
                <w:sz w:val="18"/>
                <w:szCs w:val="18"/>
                <w:lang w:eastAsia="pt-BR"/>
              </w:rPr>
              <w:t xml:space="preserve">          -  </w:t>
            </w:r>
          </w:p>
        </w:tc>
        <w:tc>
          <w:tcPr>
            <w:tcW w:w="163" w:type="dxa"/>
            <w:tcBorders>
              <w:top w:val="nil"/>
              <w:left w:val="nil"/>
              <w:bottom w:val="nil"/>
              <w:right w:val="nil"/>
            </w:tcBorders>
            <w:shd w:val="clear" w:color="auto" w:fill="auto"/>
            <w:noWrap/>
            <w:vAlign w:val="center"/>
            <w:hideMark/>
          </w:tcPr>
          <w:p w14:paraId="357FEC25" w14:textId="77777777" w:rsidR="00920713" w:rsidRPr="00920713" w:rsidRDefault="00920713" w:rsidP="00920713">
            <w:pPr>
              <w:spacing w:after="0" w:line="240" w:lineRule="auto"/>
              <w:jc w:val="right"/>
              <w:rPr>
                <w:rFonts w:ascii="Verdana" w:eastAsia="Times New Roman" w:hAnsi="Verdana" w:cs="Calibri"/>
                <w:color w:val="000000"/>
                <w:sz w:val="18"/>
                <w:szCs w:val="18"/>
                <w:lang w:eastAsia="pt-BR"/>
              </w:rPr>
            </w:pPr>
          </w:p>
        </w:tc>
        <w:tc>
          <w:tcPr>
            <w:tcW w:w="1396" w:type="dxa"/>
            <w:tcBorders>
              <w:top w:val="nil"/>
              <w:left w:val="nil"/>
              <w:bottom w:val="nil"/>
              <w:right w:val="nil"/>
            </w:tcBorders>
            <w:shd w:val="clear" w:color="auto" w:fill="auto"/>
            <w:noWrap/>
            <w:vAlign w:val="center"/>
            <w:hideMark/>
          </w:tcPr>
          <w:p w14:paraId="07930B7B" w14:textId="77777777" w:rsidR="00920713" w:rsidRPr="00920713" w:rsidRDefault="00920713" w:rsidP="00920713">
            <w:pPr>
              <w:spacing w:after="0" w:line="240" w:lineRule="auto"/>
              <w:rPr>
                <w:rFonts w:ascii="Times New Roman" w:eastAsia="Times New Roman" w:hAnsi="Times New Roman" w:cs="Times New Roman"/>
                <w:sz w:val="20"/>
                <w:szCs w:val="20"/>
                <w:lang w:eastAsia="pt-BR"/>
              </w:rPr>
            </w:pPr>
          </w:p>
        </w:tc>
        <w:tc>
          <w:tcPr>
            <w:tcW w:w="182" w:type="dxa"/>
            <w:tcBorders>
              <w:top w:val="nil"/>
              <w:left w:val="nil"/>
              <w:bottom w:val="nil"/>
              <w:right w:val="nil"/>
            </w:tcBorders>
            <w:shd w:val="clear" w:color="auto" w:fill="auto"/>
            <w:noWrap/>
            <w:vAlign w:val="bottom"/>
            <w:hideMark/>
          </w:tcPr>
          <w:p w14:paraId="2F2C1E77" w14:textId="77777777" w:rsidR="00920713" w:rsidRPr="00920713" w:rsidRDefault="00920713" w:rsidP="00920713">
            <w:pPr>
              <w:spacing w:after="0" w:line="240" w:lineRule="auto"/>
              <w:jc w:val="right"/>
              <w:rPr>
                <w:rFonts w:ascii="Times New Roman" w:eastAsia="Times New Roman" w:hAnsi="Times New Roman" w:cs="Times New Roman"/>
                <w:sz w:val="20"/>
                <w:szCs w:val="20"/>
                <w:lang w:eastAsia="pt-BR"/>
              </w:rPr>
            </w:pPr>
          </w:p>
        </w:tc>
        <w:tc>
          <w:tcPr>
            <w:tcW w:w="1574" w:type="dxa"/>
            <w:gridSpan w:val="3"/>
            <w:tcBorders>
              <w:top w:val="nil"/>
              <w:left w:val="nil"/>
              <w:bottom w:val="nil"/>
              <w:right w:val="nil"/>
            </w:tcBorders>
            <w:shd w:val="clear" w:color="auto" w:fill="auto"/>
            <w:noWrap/>
            <w:vAlign w:val="center"/>
            <w:hideMark/>
          </w:tcPr>
          <w:p w14:paraId="4A997839" w14:textId="2AE4E60E" w:rsidR="00920713" w:rsidRPr="00920713" w:rsidRDefault="00920713" w:rsidP="00920713">
            <w:pPr>
              <w:spacing w:after="0" w:line="240" w:lineRule="auto"/>
              <w:jc w:val="right"/>
              <w:rPr>
                <w:rFonts w:ascii="Verdana" w:eastAsia="Times New Roman" w:hAnsi="Verdana" w:cs="Calibri"/>
                <w:color w:val="000000"/>
                <w:sz w:val="18"/>
                <w:szCs w:val="18"/>
                <w:lang w:eastAsia="pt-BR"/>
              </w:rPr>
            </w:pPr>
            <w:r w:rsidRPr="00920713">
              <w:rPr>
                <w:rFonts w:ascii="Verdana" w:eastAsia="Times New Roman" w:hAnsi="Verdana" w:cs="Calibri"/>
                <w:color w:val="000000"/>
                <w:sz w:val="18"/>
                <w:szCs w:val="18"/>
                <w:lang w:eastAsia="pt-BR"/>
              </w:rPr>
              <w:t xml:space="preserve">        389.361 </w:t>
            </w:r>
          </w:p>
        </w:tc>
        <w:tc>
          <w:tcPr>
            <w:tcW w:w="163" w:type="dxa"/>
            <w:tcBorders>
              <w:top w:val="nil"/>
              <w:left w:val="nil"/>
              <w:bottom w:val="nil"/>
              <w:right w:val="nil"/>
            </w:tcBorders>
            <w:shd w:val="clear" w:color="auto" w:fill="auto"/>
            <w:noWrap/>
            <w:vAlign w:val="center"/>
            <w:hideMark/>
          </w:tcPr>
          <w:p w14:paraId="7CA5F6FF" w14:textId="77777777" w:rsidR="00920713" w:rsidRPr="00920713" w:rsidRDefault="00920713" w:rsidP="00920713">
            <w:pPr>
              <w:spacing w:after="0" w:line="240" w:lineRule="auto"/>
              <w:jc w:val="right"/>
              <w:rPr>
                <w:rFonts w:ascii="Verdana" w:eastAsia="Times New Roman" w:hAnsi="Verdana" w:cs="Calibri"/>
                <w:color w:val="000000"/>
                <w:sz w:val="18"/>
                <w:szCs w:val="18"/>
                <w:lang w:eastAsia="pt-BR"/>
              </w:rPr>
            </w:pPr>
          </w:p>
        </w:tc>
        <w:tc>
          <w:tcPr>
            <w:tcW w:w="1369" w:type="dxa"/>
            <w:tcBorders>
              <w:top w:val="nil"/>
              <w:left w:val="nil"/>
              <w:bottom w:val="nil"/>
              <w:right w:val="nil"/>
            </w:tcBorders>
            <w:shd w:val="clear" w:color="auto" w:fill="auto"/>
            <w:noWrap/>
            <w:vAlign w:val="center"/>
            <w:hideMark/>
          </w:tcPr>
          <w:p w14:paraId="0601A21B" w14:textId="514D3254" w:rsidR="00920713" w:rsidRPr="00920713" w:rsidRDefault="00920713" w:rsidP="00920713">
            <w:pPr>
              <w:spacing w:after="0" w:line="240" w:lineRule="auto"/>
              <w:jc w:val="right"/>
              <w:rPr>
                <w:rFonts w:ascii="Verdana" w:eastAsia="Times New Roman" w:hAnsi="Verdana" w:cs="Calibri"/>
                <w:color w:val="000000"/>
                <w:sz w:val="18"/>
                <w:szCs w:val="18"/>
                <w:lang w:eastAsia="pt-BR"/>
              </w:rPr>
            </w:pPr>
            <w:r w:rsidRPr="00920713">
              <w:rPr>
                <w:rFonts w:ascii="Verdana" w:eastAsia="Times New Roman" w:hAnsi="Verdana" w:cs="Calibri"/>
                <w:color w:val="000000"/>
                <w:sz w:val="18"/>
                <w:szCs w:val="18"/>
                <w:lang w:eastAsia="pt-BR"/>
              </w:rPr>
              <w:t xml:space="preserve">      389.361 </w:t>
            </w:r>
          </w:p>
        </w:tc>
      </w:tr>
      <w:tr w:rsidR="00920713" w:rsidRPr="00920713" w14:paraId="0789977E" w14:textId="77777777" w:rsidTr="00B63957">
        <w:trPr>
          <w:gridAfter w:val="1"/>
          <w:wAfter w:w="1869" w:type="dxa"/>
          <w:trHeight w:val="20"/>
        </w:trPr>
        <w:tc>
          <w:tcPr>
            <w:tcW w:w="4111" w:type="dxa"/>
            <w:tcBorders>
              <w:top w:val="nil"/>
              <w:left w:val="nil"/>
              <w:bottom w:val="nil"/>
              <w:right w:val="nil"/>
            </w:tcBorders>
            <w:shd w:val="clear" w:color="auto" w:fill="auto"/>
            <w:noWrap/>
            <w:vAlign w:val="center"/>
            <w:hideMark/>
          </w:tcPr>
          <w:p w14:paraId="360D5B55" w14:textId="77777777" w:rsidR="00920713" w:rsidRPr="00920713" w:rsidRDefault="00920713" w:rsidP="00920713">
            <w:pPr>
              <w:spacing w:after="0" w:line="240" w:lineRule="auto"/>
              <w:rPr>
                <w:rFonts w:ascii="Verdana" w:eastAsia="Times New Roman" w:hAnsi="Verdana" w:cs="Calibri"/>
                <w:color w:val="000000"/>
                <w:sz w:val="18"/>
                <w:szCs w:val="18"/>
                <w:lang w:eastAsia="pt-BR"/>
              </w:rPr>
            </w:pPr>
            <w:r w:rsidRPr="00920713">
              <w:rPr>
                <w:rFonts w:ascii="Verdana" w:eastAsia="Times New Roman" w:hAnsi="Verdana" w:cs="Calibri"/>
                <w:color w:val="000000"/>
                <w:sz w:val="18"/>
                <w:szCs w:val="18"/>
                <w:lang w:eastAsia="pt-BR"/>
              </w:rPr>
              <w:t xml:space="preserve">  Outras receitas</w:t>
            </w:r>
          </w:p>
        </w:tc>
        <w:tc>
          <w:tcPr>
            <w:tcW w:w="160" w:type="dxa"/>
            <w:tcBorders>
              <w:top w:val="nil"/>
              <w:left w:val="nil"/>
              <w:bottom w:val="nil"/>
              <w:right w:val="nil"/>
            </w:tcBorders>
            <w:shd w:val="clear" w:color="auto" w:fill="auto"/>
            <w:noWrap/>
            <w:vAlign w:val="center"/>
            <w:hideMark/>
          </w:tcPr>
          <w:p w14:paraId="39758FB1" w14:textId="77777777" w:rsidR="00920713" w:rsidRPr="00920713" w:rsidRDefault="00920713" w:rsidP="00920713">
            <w:pPr>
              <w:spacing w:after="0" w:line="240" w:lineRule="auto"/>
              <w:rPr>
                <w:rFonts w:ascii="Verdana" w:eastAsia="Times New Roman" w:hAnsi="Verdana" w:cs="Calibri"/>
                <w:color w:val="000000"/>
                <w:sz w:val="18"/>
                <w:szCs w:val="18"/>
                <w:lang w:eastAsia="pt-BR"/>
              </w:rPr>
            </w:pPr>
          </w:p>
        </w:tc>
        <w:tc>
          <w:tcPr>
            <w:tcW w:w="1502" w:type="dxa"/>
            <w:tcBorders>
              <w:top w:val="nil"/>
              <w:left w:val="nil"/>
              <w:bottom w:val="nil"/>
              <w:right w:val="nil"/>
            </w:tcBorders>
            <w:shd w:val="clear" w:color="auto" w:fill="auto"/>
            <w:noWrap/>
            <w:vAlign w:val="center"/>
            <w:hideMark/>
          </w:tcPr>
          <w:p w14:paraId="6E163B89" w14:textId="74FAF6CE" w:rsidR="00920713" w:rsidRPr="00920713" w:rsidRDefault="00920713" w:rsidP="00920713">
            <w:pPr>
              <w:spacing w:after="0" w:line="240" w:lineRule="auto"/>
              <w:jc w:val="right"/>
              <w:rPr>
                <w:rFonts w:ascii="Verdana" w:eastAsia="Times New Roman" w:hAnsi="Verdana" w:cs="Calibri"/>
                <w:color w:val="000000"/>
                <w:sz w:val="18"/>
                <w:szCs w:val="18"/>
                <w:lang w:eastAsia="pt-BR"/>
              </w:rPr>
            </w:pPr>
            <w:r w:rsidRPr="00920713">
              <w:rPr>
                <w:rFonts w:ascii="Verdana" w:eastAsia="Times New Roman" w:hAnsi="Verdana" w:cs="Calibri"/>
                <w:color w:val="000000"/>
                <w:sz w:val="18"/>
                <w:szCs w:val="18"/>
                <w:lang w:eastAsia="pt-BR"/>
              </w:rPr>
              <w:t xml:space="preserve">            1.205 </w:t>
            </w:r>
          </w:p>
        </w:tc>
        <w:tc>
          <w:tcPr>
            <w:tcW w:w="163" w:type="dxa"/>
            <w:tcBorders>
              <w:top w:val="nil"/>
              <w:left w:val="nil"/>
              <w:bottom w:val="nil"/>
              <w:right w:val="nil"/>
            </w:tcBorders>
            <w:shd w:val="clear" w:color="auto" w:fill="auto"/>
            <w:noWrap/>
            <w:vAlign w:val="center"/>
            <w:hideMark/>
          </w:tcPr>
          <w:p w14:paraId="65F6E67C" w14:textId="77777777" w:rsidR="00920713" w:rsidRPr="00920713" w:rsidRDefault="00920713" w:rsidP="00920713">
            <w:pPr>
              <w:spacing w:after="0" w:line="240" w:lineRule="auto"/>
              <w:jc w:val="right"/>
              <w:rPr>
                <w:rFonts w:ascii="Verdana" w:eastAsia="Times New Roman" w:hAnsi="Verdana" w:cs="Calibri"/>
                <w:color w:val="000000"/>
                <w:sz w:val="18"/>
                <w:szCs w:val="18"/>
                <w:lang w:eastAsia="pt-BR"/>
              </w:rPr>
            </w:pPr>
          </w:p>
        </w:tc>
        <w:tc>
          <w:tcPr>
            <w:tcW w:w="1396" w:type="dxa"/>
            <w:tcBorders>
              <w:top w:val="nil"/>
              <w:left w:val="nil"/>
              <w:bottom w:val="nil"/>
              <w:right w:val="nil"/>
            </w:tcBorders>
            <w:shd w:val="clear" w:color="auto" w:fill="auto"/>
            <w:noWrap/>
            <w:vAlign w:val="center"/>
            <w:hideMark/>
          </w:tcPr>
          <w:p w14:paraId="4BF51CA8" w14:textId="3BE4DAD9" w:rsidR="00920713" w:rsidRPr="00920713" w:rsidRDefault="00920713" w:rsidP="00920713">
            <w:pPr>
              <w:spacing w:after="0" w:line="240" w:lineRule="auto"/>
              <w:jc w:val="right"/>
              <w:rPr>
                <w:rFonts w:ascii="Verdana" w:eastAsia="Times New Roman" w:hAnsi="Verdana" w:cs="Calibri"/>
                <w:color w:val="000000"/>
                <w:sz w:val="18"/>
                <w:szCs w:val="18"/>
                <w:lang w:eastAsia="pt-BR"/>
              </w:rPr>
            </w:pPr>
            <w:r w:rsidRPr="00920713">
              <w:rPr>
                <w:rFonts w:ascii="Verdana" w:eastAsia="Times New Roman" w:hAnsi="Verdana" w:cs="Calibri"/>
                <w:color w:val="000000"/>
                <w:sz w:val="18"/>
                <w:szCs w:val="18"/>
                <w:lang w:eastAsia="pt-BR"/>
              </w:rPr>
              <w:t xml:space="preserve">           1.205 </w:t>
            </w:r>
          </w:p>
        </w:tc>
        <w:tc>
          <w:tcPr>
            <w:tcW w:w="182" w:type="dxa"/>
            <w:tcBorders>
              <w:top w:val="nil"/>
              <w:left w:val="nil"/>
              <w:bottom w:val="nil"/>
              <w:right w:val="nil"/>
            </w:tcBorders>
            <w:shd w:val="clear" w:color="auto" w:fill="auto"/>
            <w:noWrap/>
            <w:vAlign w:val="bottom"/>
            <w:hideMark/>
          </w:tcPr>
          <w:p w14:paraId="15592B4E" w14:textId="77777777" w:rsidR="00920713" w:rsidRPr="00920713" w:rsidRDefault="00920713" w:rsidP="00920713">
            <w:pPr>
              <w:spacing w:after="0" w:line="240" w:lineRule="auto"/>
              <w:jc w:val="right"/>
              <w:rPr>
                <w:rFonts w:ascii="Verdana" w:eastAsia="Times New Roman" w:hAnsi="Verdana" w:cs="Calibri"/>
                <w:color w:val="000000"/>
                <w:sz w:val="18"/>
                <w:szCs w:val="18"/>
                <w:lang w:eastAsia="pt-BR"/>
              </w:rPr>
            </w:pPr>
          </w:p>
        </w:tc>
        <w:tc>
          <w:tcPr>
            <w:tcW w:w="1574" w:type="dxa"/>
            <w:gridSpan w:val="3"/>
            <w:tcBorders>
              <w:top w:val="nil"/>
              <w:left w:val="nil"/>
              <w:bottom w:val="nil"/>
              <w:right w:val="nil"/>
            </w:tcBorders>
            <w:shd w:val="clear" w:color="auto" w:fill="auto"/>
            <w:noWrap/>
            <w:vAlign w:val="center"/>
            <w:hideMark/>
          </w:tcPr>
          <w:p w14:paraId="18DF13C0" w14:textId="3CE68F9E" w:rsidR="00920713" w:rsidRPr="00920713" w:rsidRDefault="00920713" w:rsidP="00920713">
            <w:pPr>
              <w:spacing w:after="0" w:line="240" w:lineRule="auto"/>
              <w:jc w:val="right"/>
              <w:rPr>
                <w:rFonts w:ascii="Verdana" w:eastAsia="Times New Roman" w:hAnsi="Verdana" w:cs="Calibri"/>
                <w:color w:val="000000"/>
                <w:sz w:val="18"/>
                <w:szCs w:val="18"/>
                <w:lang w:eastAsia="pt-BR"/>
              </w:rPr>
            </w:pPr>
            <w:r w:rsidRPr="00920713">
              <w:rPr>
                <w:rFonts w:ascii="Verdana" w:eastAsia="Times New Roman" w:hAnsi="Verdana" w:cs="Calibri"/>
                <w:color w:val="000000"/>
                <w:sz w:val="18"/>
                <w:szCs w:val="18"/>
                <w:lang w:eastAsia="pt-BR"/>
              </w:rPr>
              <w:t xml:space="preserve">            1.230 </w:t>
            </w:r>
          </w:p>
        </w:tc>
        <w:tc>
          <w:tcPr>
            <w:tcW w:w="163" w:type="dxa"/>
            <w:tcBorders>
              <w:top w:val="nil"/>
              <w:left w:val="nil"/>
              <w:bottom w:val="nil"/>
              <w:right w:val="nil"/>
            </w:tcBorders>
            <w:shd w:val="clear" w:color="auto" w:fill="auto"/>
            <w:noWrap/>
            <w:vAlign w:val="center"/>
            <w:hideMark/>
          </w:tcPr>
          <w:p w14:paraId="41055A02" w14:textId="77777777" w:rsidR="00920713" w:rsidRPr="00920713" w:rsidRDefault="00920713" w:rsidP="00920713">
            <w:pPr>
              <w:spacing w:after="0" w:line="240" w:lineRule="auto"/>
              <w:jc w:val="right"/>
              <w:rPr>
                <w:rFonts w:ascii="Verdana" w:eastAsia="Times New Roman" w:hAnsi="Verdana" w:cs="Calibri"/>
                <w:color w:val="000000"/>
                <w:sz w:val="18"/>
                <w:szCs w:val="18"/>
                <w:lang w:eastAsia="pt-BR"/>
              </w:rPr>
            </w:pPr>
          </w:p>
        </w:tc>
        <w:tc>
          <w:tcPr>
            <w:tcW w:w="1369" w:type="dxa"/>
            <w:tcBorders>
              <w:top w:val="nil"/>
              <w:left w:val="nil"/>
              <w:bottom w:val="nil"/>
              <w:right w:val="nil"/>
            </w:tcBorders>
            <w:shd w:val="clear" w:color="auto" w:fill="auto"/>
            <w:noWrap/>
            <w:vAlign w:val="center"/>
            <w:hideMark/>
          </w:tcPr>
          <w:p w14:paraId="055ACD7B" w14:textId="6D2E34CF" w:rsidR="00920713" w:rsidRPr="00920713" w:rsidRDefault="00920713" w:rsidP="00920713">
            <w:pPr>
              <w:spacing w:after="0" w:line="240" w:lineRule="auto"/>
              <w:jc w:val="right"/>
              <w:rPr>
                <w:rFonts w:ascii="Verdana" w:eastAsia="Times New Roman" w:hAnsi="Verdana" w:cs="Calibri"/>
                <w:color w:val="000000"/>
                <w:sz w:val="18"/>
                <w:szCs w:val="18"/>
                <w:lang w:eastAsia="pt-BR"/>
              </w:rPr>
            </w:pPr>
            <w:r w:rsidRPr="00920713">
              <w:rPr>
                <w:rFonts w:ascii="Verdana" w:eastAsia="Times New Roman" w:hAnsi="Verdana" w:cs="Calibri"/>
                <w:color w:val="000000"/>
                <w:sz w:val="18"/>
                <w:szCs w:val="18"/>
                <w:lang w:eastAsia="pt-BR"/>
              </w:rPr>
              <w:t xml:space="preserve">         1.230 </w:t>
            </w:r>
          </w:p>
        </w:tc>
      </w:tr>
      <w:tr w:rsidR="00920713" w:rsidRPr="00920713" w14:paraId="6F263A3D" w14:textId="77777777" w:rsidTr="00B63957">
        <w:trPr>
          <w:gridAfter w:val="1"/>
          <w:wAfter w:w="1869" w:type="dxa"/>
          <w:trHeight w:val="20"/>
        </w:trPr>
        <w:tc>
          <w:tcPr>
            <w:tcW w:w="4111" w:type="dxa"/>
            <w:tcBorders>
              <w:top w:val="nil"/>
              <w:left w:val="nil"/>
              <w:bottom w:val="nil"/>
              <w:right w:val="nil"/>
            </w:tcBorders>
            <w:shd w:val="clear" w:color="auto" w:fill="auto"/>
            <w:noWrap/>
            <w:vAlign w:val="center"/>
            <w:hideMark/>
          </w:tcPr>
          <w:p w14:paraId="44856BE7" w14:textId="77777777" w:rsidR="00920713" w:rsidRPr="00920713" w:rsidRDefault="00920713" w:rsidP="00920713">
            <w:pPr>
              <w:spacing w:after="0" w:line="240" w:lineRule="auto"/>
              <w:jc w:val="right"/>
              <w:rPr>
                <w:rFonts w:ascii="Verdana" w:eastAsia="Times New Roman" w:hAnsi="Verdana" w:cs="Calibri"/>
                <w:color w:val="000000"/>
                <w:sz w:val="18"/>
                <w:szCs w:val="18"/>
                <w:lang w:eastAsia="pt-BR"/>
              </w:rPr>
            </w:pPr>
          </w:p>
        </w:tc>
        <w:tc>
          <w:tcPr>
            <w:tcW w:w="160" w:type="dxa"/>
            <w:tcBorders>
              <w:top w:val="nil"/>
              <w:left w:val="nil"/>
              <w:bottom w:val="nil"/>
              <w:right w:val="nil"/>
            </w:tcBorders>
            <w:shd w:val="clear" w:color="auto" w:fill="auto"/>
            <w:noWrap/>
            <w:vAlign w:val="center"/>
            <w:hideMark/>
          </w:tcPr>
          <w:p w14:paraId="4D89606C" w14:textId="77777777" w:rsidR="00920713" w:rsidRPr="00920713" w:rsidRDefault="00920713" w:rsidP="00920713">
            <w:pPr>
              <w:spacing w:after="0" w:line="240" w:lineRule="auto"/>
              <w:rPr>
                <w:rFonts w:ascii="Times New Roman" w:eastAsia="Times New Roman" w:hAnsi="Times New Roman" w:cs="Times New Roman"/>
                <w:sz w:val="20"/>
                <w:szCs w:val="20"/>
                <w:lang w:eastAsia="pt-BR"/>
              </w:rPr>
            </w:pPr>
          </w:p>
        </w:tc>
        <w:tc>
          <w:tcPr>
            <w:tcW w:w="1502" w:type="dxa"/>
            <w:tcBorders>
              <w:top w:val="single" w:sz="8" w:space="0" w:color="auto"/>
              <w:left w:val="nil"/>
              <w:bottom w:val="nil"/>
              <w:right w:val="nil"/>
            </w:tcBorders>
            <w:shd w:val="clear" w:color="auto" w:fill="auto"/>
            <w:noWrap/>
            <w:vAlign w:val="center"/>
            <w:hideMark/>
          </w:tcPr>
          <w:p w14:paraId="2A44F178" w14:textId="62F02775" w:rsidR="00920713" w:rsidRPr="00920713" w:rsidRDefault="00920713" w:rsidP="00920713">
            <w:pPr>
              <w:spacing w:after="0" w:line="240" w:lineRule="auto"/>
              <w:jc w:val="right"/>
              <w:rPr>
                <w:rFonts w:ascii="Verdana" w:eastAsia="Times New Roman" w:hAnsi="Verdana" w:cs="Calibri"/>
                <w:color w:val="000000"/>
                <w:sz w:val="18"/>
                <w:szCs w:val="18"/>
                <w:lang w:eastAsia="pt-BR"/>
              </w:rPr>
            </w:pPr>
            <w:r w:rsidRPr="00920713">
              <w:rPr>
                <w:rFonts w:ascii="Verdana" w:eastAsia="Times New Roman" w:hAnsi="Verdana" w:cs="Calibri"/>
                <w:color w:val="000000"/>
                <w:sz w:val="18"/>
                <w:szCs w:val="18"/>
                <w:lang w:eastAsia="pt-BR"/>
              </w:rPr>
              <w:t xml:space="preserve">             1.205 </w:t>
            </w:r>
          </w:p>
        </w:tc>
        <w:tc>
          <w:tcPr>
            <w:tcW w:w="163" w:type="dxa"/>
            <w:tcBorders>
              <w:top w:val="nil"/>
              <w:left w:val="nil"/>
              <w:bottom w:val="nil"/>
              <w:right w:val="nil"/>
            </w:tcBorders>
            <w:shd w:val="clear" w:color="auto" w:fill="auto"/>
            <w:noWrap/>
            <w:vAlign w:val="center"/>
            <w:hideMark/>
          </w:tcPr>
          <w:p w14:paraId="31F04117" w14:textId="77777777" w:rsidR="00920713" w:rsidRPr="00920713" w:rsidRDefault="00920713" w:rsidP="00920713">
            <w:pPr>
              <w:spacing w:after="0" w:line="240" w:lineRule="auto"/>
              <w:jc w:val="right"/>
              <w:rPr>
                <w:rFonts w:ascii="Verdana" w:eastAsia="Times New Roman" w:hAnsi="Verdana" w:cs="Calibri"/>
                <w:color w:val="000000"/>
                <w:sz w:val="18"/>
                <w:szCs w:val="18"/>
                <w:lang w:eastAsia="pt-BR"/>
              </w:rPr>
            </w:pPr>
          </w:p>
        </w:tc>
        <w:tc>
          <w:tcPr>
            <w:tcW w:w="1396" w:type="dxa"/>
            <w:tcBorders>
              <w:top w:val="single" w:sz="8" w:space="0" w:color="auto"/>
              <w:left w:val="nil"/>
              <w:bottom w:val="nil"/>
              <w:right w:val="nil"/>
            </w:tcBorders>
            <w:shd w:val="clear" w:color="auto" w:fill="auto"/>
            <w:noWrap/>
            <w:vAlign w:val="center"/>
            <w:hideMark/>
          </w:tcPr>
          <w:p w14:paraId="68FDE78B" w14:textId="50901057" w:rsidR="00920713" w:rsidRPr="00920713" w:rsidRDefault="00920713" w:rsidP="00920713">
            <w:pPr>
              <w:spacing w:after="0" w:line="240" w:lineRule="auto"/>
              <w:jc w:val="right"/>
              <w:rPr>
                <w:rFonts w:ascii="Verdana" w:eastAsia="Times New Roman" w:hAnsi="Verdana" w:cs="Calibri"/>
                <w:color w:val="000000"/>
                <w:sz w:val="18"/>
                <w:szCs w:val="18"/>
                <w:lang w:eastAsia="pt-BR"/>
              </w:rPr>
            </w:pPr>
            <w:r w:rsidRPr="00920713">
              <w:rPr>
                <w:rFonts w:ascii="Verdana" w:eastAsia="Times New Roman" w:hAnsi="Verdana" w:cs="Calibri"/>
                <w:color w:val="000000"/>
                <w:sz w:val="18"/>
                <w:szCs w:val="18"/>
                <w:lang w:eastAsia="pt-BR"/>
              </w:rPr>
              <w:t xml:space="preserve">          1.205 </w:t>
            </w:r>
          </w:p>
        </w:tc>
        <w:tc>
          <w:tcPr>
            <w:tcW w:w="182" w:type="dxa"/>
            <w:tcBorders>
              <w:top w:val="nil"/>
              <w:left w:val="nil"/>
              <w:bottom w:val="nil"/>
              <w:right w:val="nil"/>
            </w:tcBorders>
            <w:shd w:val="clear" w:color="auto" w:fill="auto"/>
            <w:noWrap/>
            <w:vAlign w:val="bottom"/>
            <w:hideMark/>
          </w:tcPr>
          <w:p w14:paraId="6FA8B7AE" w14:textId="77777777" w:rsidR="00920713" w:rsidRPr="00920713" w:rsidRDefault="00920713" w:rsidP="00920713">
            <w:pPr>
              <w:spacing w:after="0" w:line="240" w:lineRule="auto"/>
              <w:jc w:val="right"/>
              <w:rPr>
                <w:rFonts w:ascii="Verdana" w:eastAsia="Times New Roman" w:hAnsi="Verdana" w:cs="Calibri"/>
                <w:color w:val="000000"/>
                <w:sz w:val="18"/>
                <w:szCs w:val="18"/>
                <w:lang w:eastAsia="pt-BR"/>
              </w:rPr>
            </w:pPr>
          </w:p>
        </w:tc>
        <w:tc>
          <w:tcPr>
            <w:tcW w:w="1574" w:type="dxa"/>
            <w:gridSpan w:val="3"/>
            <w:tcBorders>
              <w:top w:val="single" w:sz="8" w:space="0" w:color="auto"/>
              <w:left w:val="nil"/>
              <w:bottom w:val="nil"/>
              <w:right w:val="nil"/>
            </w:tcBorders>
            <w:shd w:val="clear" w:color="auto" w:fill="auto"/>
            <w:noWrap/>
            <w:vAlign w:val="center"/>
            <w:hideMark/>
          </w:tcPr>
          <w:p w14:paraId="369B758A" w14:textId="48505825" w:rsidR="00920713" w:rsidRPr="00920713" w:rsidRDefault="00920713" w:rsidP="00920713">
            <w:pPr>
              <w:spacing w:after="0" w:line="240" w:lineRule="auto"/>
              <w:jc w:val="right"/>
              <w:rPr>
                <w:rFonts w:ascii="Verdana" w:eastAsia="Times New Roman" w:hAnsi="Verdana" w:cs="Calibri"/>
                <w:color w:val="000000"/>
                <w:sz w:val="18"/>
                <w:szCs w:val="18"/>
                <w:lang w:eastAsia="pt-BR"/>
              </w:rPr>
            </w:pPr>
            <w:r w:rsidRPr="00920713">
              <w:rPr>
                <w:rFonts w:ascii="Verdana" w:eastAsia="Times New Roman" w:hAnsi="Verdana" w:cs="Calibri"/>
                <w:color w:val="000000"/>
                <w:sz w:val="18"/>
                <w:szCs w:val="18"/>
                <w:lang w:eastAsia="pt-BR"/>
              </w:rPr>
              <w:t xml:space="preserve">         390.591 </w:t>
            </w:r>
          </w:p>
        </w:tc>
        <w:tc>
          <w:tcPr>
            <w:tcW w:w="163" w:type="dxa"/>
            <w:tcBorders>
              <w:top w:val="nil"/>
              <w:left w:val="nil"/>
              <w:bottom w:val="nil"/>
              <w:right w:val="nil"/>
            </w:tcBorders>
            <w:shd w:val="clear" w:color="auto" w:fill="auto"/>
            <w:noWrap/>
            <w:vAlign w:val="center"/>
            <w:hideMark/>
          </w:tcPr>
          <w:p w14:paraId="04F8F532" w14:textId="77777777" w:rsidR="00920713" w:rsidRPr="00920713" w:rsidRDefault="00920713" w:rsidP="00920713">
            <w:pPr>
              <w:spacing w:after="0" w:line="240" w:lineRule="auto"/>
              <w:jc w:val="right"/>
              <w:rPr>
                <w:rFonts w:ascii="Verdana" w:eastAsia="Times New Roman" w:hAnsi="Verdana" w:cs="Calibri"/>
                <w:color w:val="000000"/>
                <w:sz w:val="18"/>
                <w:szCs w:val="18"/>
                <w:lang w:eastAsia="pt-BR"/>
              </w:rPr>
            </w:pPr>
          </w:p>
        </w:tc>
        <w:tc>
          <w:tcPr>
            <w:tcW w:w="1369" w:type="dxa"/>
            <w:tcBorders>
              <w:top w:val="single" w:sz="8" w:space="0" w:color="auto"/>
              <w:left w:val="nil"/>
              <w:bottom w:val="nil"/>
              <w:right w:val="nil"/>
            </w:tcBorders>
            <w:shd w:val="clear" w:color="auto" w:fill="auto"/>
            <w:noWrap/>
            <w:vAlign w:val="center"/>
            <w:hideMark/>
          </w:tcPr>
          <w:p w14:paraId="5DE32C45" w14:textId="7D1BF0EC" w:rsidR="00920713" w:rsidRPr="00920713" w:rsidRDefault="00920713" w:rsidP="00920713">
            <w:pPr>
              <w:spacing w:after="0" w:line="240" w:lineRule="auto"/>
              <w:jc w:val="right"/>
              <w:rPr>
                <w:rFonts w:ascii="Verdana" w:eastAsia="Times New Roman" w:hAnsi="Verdana" w:cs="Calibri"/>
                <w:color w:val="000000"/>
                <w:sz w:val="18"/>
                <w:szCs w:val="18"/>
                <w:lang w:eastAsia="pt-BR"/>
              </w:rPr>
            </w:pPr>
            <w:r w:rsidRPr="00920713">
              <w:rPr>
                <w:rFonts w:ascii="Verdana" w:eastAsia="Times New Roman" w:hAnsi="Verdana" w:cs="Calibri"/>
                <w:color w:val="000000"/>
                <w:sz w:val="18"/>
                <w:szCs w:val="18"/>
                <w:lang w:eastAsia="pt-BR"/>
              </w:rPr>
              <w:t xml:space="preserve">      390.591 </w:t>
            </w:r>
          </w:p>
        </w:tc>
      </w:tr>
      <w:tr w:rsidR="00920713" w:rsidRPr="00920713" w14:paraId="5C2DFD0C" w14:textId="77777777" w:rsidTr="00B63957">
        <w:trPr>
          <w:gridAfter w:val="1"/>
          <w:wAfter w:w="1869" w:type="dxa"/>
          <w:trHeight w:val="20"/>
        </w:trPr>
        <w:tc>
          <w:tcPr>
            <w:tcW w:w="4111" w:type="dxa"/>
            <w:tcBorders>
              <w:top w:val="nil"/>
              <w:left w:val="nil"/>
              <w:bottom w:val="nil"/>
              <w:right w:val="nil"/>
            </w:tcBorders>
            <w:shd w:val="clear" w:color="auto" w:fill="auto"/>
            <w:noWrap/>
            <w:vAlign w:val="center"/>
            <w:hideMark/>
          </w:tcPr>
          <w:p w14:paraId="28953AEF" w14:textId="77777777" w:rsidR="00920713" w:rsidRPr="00920713" w:rsidRDefault="00920713" w:rsidP="00920713">
            <w:pPr>
              <w:spacing w:after="0" w:line="240" w:lineRule="auto"/>
              <w:rPr>
                <w:rFonts w:ascii="Verdana" w:eastAsia="Times New Roman" w:hAnsi="Verdana" w:cs="Calibri"/>
                <w:b/>
                <w:bCs/>
                <w:color w:val="000000"/>
                <w:sz w:val="18"/>
                <w:szCs w:val="18"/>
                <w:lang w:eastAsia="pt-BR"/>
              </w:rPr>
            </w:pPr>
            <w:r w:rsidRPr="00920713">
              <w:rPr>
                <w:rFonts w:ascii="Verdana" w:eastAsia="Times New Roman" w:hAnsi="Verdana" w:cs="Calibri"/>
                <w:b/>
                <w:bCs/>
                <w:color w:val="000000"/>
                <w:sz w:val="18"/>
                <w:szCs w:val="18"/>
                <w:lang w:eastAsia="pt-BR"/>
              </w:rPr>
              <w:t>Deduções</w:t>
            </w:r>
          </w:p>
        </w:tc>
        <w:tc>
          <w:tcPr>
            <w:tcW w:w="160" w:type="dxa"/>
            <w:tcBorders>
              <w:top w:val="nil"/>
              <w:left w:val="nil"/>
              <w:bottom w:val="nil"/>
              <w:right w:val="nil"/>
            </w:tcBorders>
            <w:shd w:val="clear" w:color="auto" w:fill="auto"/>
            <w:noWrap/>
            <w:vAlign w:val="center"/>
            <w:hideMark/>
          </w:tcPr>
          <w:p w14:paraId="0002B793" w14:textId="77777777" w:rsidR="00920713" w:rsidRPr="00920713" w:rsidRDefault="00920713" w:rsidP="00920713">
            <w:pPr>
              <w:spacing w:after="0" w:line="240" w:lineRule="auto"/>
              <w:rPr>
                <w:rFonts w:ascii="Verdana" w:eastAsia="Times New Roman" w:hAnsi="Verdana" w:cs="Calibri"/>
                <w:b/>
                <w:bCs/>
                <w:color w:val="000000"/>
                <w:sz w:val="18"/>
                <w:szCs w:val="18"/>
                <w:lang w:eastAsia="pt-BR"/>
              </w:rPr>
            </w:pPr>
          </w:p>
        </w:tc>
        <w:tc>
          <w:tcPr>
            <w:tcW w:w="1502" w:type="dxa"/>
            <w:tcBorders>
              <w:top w:val="nil"/>
              <w:left w:val="nil"/>
              <w:bottom w:val="nil"/>
              <w:right w:val="nil"/>
            </w:tcBorders>
            <w:shd w:val="clear" w:color="auto" w:fill="auto"/>
            <w:noWrap/>
            <w:vAlign w:val="center"/>
            <w:hideMark/>
          </w:tcPr>
          <w:p w14:paraId="0349203A" w14:textId="77777777" w:rsidR="00920713" w:rsidRPr="00920713" w:rsidRDefault="00920713" w:rsidP="00920713">
            <w:pPr>
              <w:spacing w:after="0" w:line="240" w:lineRule="auto"/>
              <w:rPr>
                <w:rFonts w:ascii="Times New Roman" w:eastAsia="Times New Roman" w:hAnsi="Times New Roman" w:cs="Times New Roman"/>
                <w:sz w:val="20"/>
                <w:szCs w:val="20"/>
                <w:lang w:eastAsia="pt-BR"/>
              </w:rPr>
            </w:pPr>
          </w:p>
        </w:tc>
        <w:tc>
          <w:tcPr>
            <w:tcW w:w="163" w:type="dxa"/>
            <w:tcBorders>
              <w:top w:val="nil"/>
              <w:left w:val="nil"/>
              <w:bottom w:val="nil"/>
              <w:right w:val="nil"/>
            </w:tcBorders>
            <w:shd w:val="clear" w:color="auto" w:fill="auto"/>
            <w:noWrap/>
            <w:vAlign w:val="center"/>
            <w:hideMark/>
          </w:tcPr>
          <w:p w14:paraId="27660FCA" w14:textId="77777777" w:rsidR="00920713" w:rsidRPr="00920713" w:rsidRDefault="00920713" w:rsidP="00920713">
            <w:pPr>
              <w:spacing w:after="0" w:line="240" w:lineRule="auto"/>
              <w:jc w:val="right"/>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center"/>
            <w:hideMark/>
          </w:tcPr>
          <w:p w14:paraId="11787AF9" w14:textId="77777777" w:rsidR="00920713" w:rsidRPr="00920713" w:rsidRDefault="00920713" w:rsidP="00920713">
            <w:pPr>
              <w:spacing w:after="0" w:line="240" w:lineRule="auto"/>
              <w:rPr>
                <w:rFonts w:ascii="Times New Roman" w:eastAsia="Times New Roman" w:hAnsi="Times New Roman" w:cs="Times New Roman"/>
                <w:sz w:val="20"/>
                <w:szCs w:val="20"/>
                <w:lang w:eastAsia="pt-BR"/>
              </w:rPr>
            </w:pPr>
          </w:p>
        </w:tc>
        <w:tc>
          <w:tcPr>
            <w:tcW w:w="182" w:type="dxa"/>
            <w:tcBorders>
              <w:top w:val="nil"/>
              <w:left w:val="nil"/>
              <w:bottom w:val="nil"/>
              <w:right w:val="nil"/>
            </w:tcBorders>
            <w:shd w:val="clear" w:color="auto" w:fill="auto"/>
            <w:noWrap/>
            <w:vAlign w:val="bottom"/>
            <w:hideMark/>
          </w:tcPr>
          <w:p w14:paraId="56125183" w14:textId="77777777" w:rsidR="00920713" w:rsidRPr="00920713" w:rsidRDefault="00920713" w:rsidP="00920713">
            <w:pPr>
              <w:spacing w:after="0" w:line="240" w:lineRule="auto"/>
              <w:jc w:val="right"/>
              <w:rPr>
                <w:rFonts w:ascii="Times New Roman" w:eastAsia="Times New Roman" w:hAnsi="Times New Roman" w:cs="Times New Roman"/>
                <w:sz w:val="20"/>
                <w:szCs w:val="20"/>
                <w:lang w:eastAsia="pt-BR"/>
              </w:rPr>
            </w:pPr>
          </w:p>
        </w:tc>
        <w:tc>
          <w:tcPr>
            <w:tcW w:w="1574" w:type="dxa"/>
            <w:gridSpan w:val="3"/>
            <w:tcBorders>
              <w:top w:val="nil"/>
              <w:left w:val="nil"/>
              <w:bottom w:val="nil"/>
              <w:right w:val="nil"/>
            </w:tcBorders>
            <w:shd w:val="clear" w:color="auto" w:fill="auto"/>
            <w:noWrap/>
            <w:vAlign w:val="center"/>
            <w:hideMark/>
          </w:tcPr>
          <w:p w14:paraId="17CDEB21" w14:textId="77777777" w:rsidR="00920713" w:rsidRPr="00920713" w:rsidRDefault="00920713" w:rsidP="00920713">
            <w:pPr>
              <w:spacing w:after="0" w:line="240" w:lineRule="auto"/>
              <w:rPr>
                <w:rFonts w:ascii="Times New Roman" w:eastAsia="Times New Roman" w:hAnsi="Times New Roman" w:cs="Times New Roman"/>
                <w:sz w:val="20"/>
                <w:szCs w:val="20"/>
                <w:lang w:eastAsia="pt-BR"/>
              </w:rPr>
            </w:pPr>
          </w:p>
        </w:tc>
        <w:tc>
          <w:tcPr>
            <w:tcW w:w="163" w:type="dxa"/>
            <w:tcBorders>
              <w:top w:val="nil"/>
              <w:left w:val="nil"/>
              <w:bottom w:val="nil"/>
              <w:right w:val="nil"/>
            </w:tcBorders>
            <w:shd w:val="clear" w:color="auto" w:fill="auto"/>
            <w:noWrap/>
            <w:vAlign w:val="center"/>
            <w:hideMark/>
          </w:tcPr>
          <w:p w14:paraId="51C210FA" w14:textId="77777777" w:rsidR="00920713" w:rsidRPr="00920713" w:rsidRDefault="00920713" w:rsidP="00920713">
            <w:pPr>
              <w:spacing w:after="0" w:line="240" w:lineRule="auto"/>
              <w:jc w:val="right"/>
              <w:rPr>
                <w:rFonts w:ascii="Times New Roman" w:eastAsia="Times New Roman" w:hAnsi="Times New Roman" w:cs="Times New Roman"/>
                <w:sz w:val="20"/>
                <w:szCs w:val="20"/>
                <w:lang w:eastAsia="pt-BR"/>
              </w:rPr>
            </w:pPr>
          </w:p>
        </w:tc>
        <w:tc>
          <w:tcPr>
            <w:tcW w:w="1369" w:type="dxa"/>
            <w:tcBorders>
              <w:top w:val="nil"/>
              <w:left w:val="nil"/>
              <w:bottom w:val="nil"/>
              <w:right w:val="nil"/>
            </w:tcBorders>
            <w:shd w:val="clear" w:color="auto" w:fill="auto"/>
            <w:noWrap/>
            <w:vAlign w:val="center"/>
            <w:hideMark/>
          </w:tcPr>
          <w:p w14:paraId="1D12254F" w14:textId="77777777" w:rsidR="00920713" w:rsidRPr="00920713" w:rsidRDefault="00920713" w:rsidP="00920713">
            <w:pPr>
              <w:spacing w:after="0" w:line="240" w:lineRule="auto"/>
              <w:rPr>
                <w:rFonts w:ascii="Times New Roman" w:eastAsia="Times New Roman" w:hAnsi="Times New Roman" w:cs="Times New Roman"/>
                <w:sz w:val="20"/>
                <w:szCs w:val="20"/>
                <w:lang w:eastAsia="pt-BR"/>
              </w:rPr>
            </w:pPr>
          </w:p>
        </w:tc>
      </w:tr>
      <w:tr w:rsidR="00920713" w:rsidRPr="00920713" w14:paraId="770C7C2E" w14:textId="77777777" w:rsidTr="00B63957">
        <w:trPr>
          <w:gridAfter w:val="1"/>
          <w:wAfter w:w="1869" w:type="dxa"/>
          <w:trHeight w:val="20"/>
        </w:trPr>
        <w:tc>
          <w:tcPr>
            <w:tcW w:w="4111" w:type="dxa"/>
            <w:tcBorders>
              <w:top w:val="nil"/>
              <w:left w:val="nil"/>
              <w:bottom w:val="nil"/>
              <w:right w:val="nil"/>
            </w:tcBorders>
            <w:shd w:val="clear" w:color="auto" w:fill="auto"/>
            <w:noWrap/>
            <w:vAlign w:val="center"/>
            <w:hideMark/>
          </w:tcPr>
          <w:p w14:paraId="6B519BC9" w14:textId="77777777" w:rsidR="00920713" w:rsidRPr="00920713" w:rsidRDefault="00920713" w:rsidP="00920713">
            <w:pPr>
              <w:spacing w:after="0" w:line="240" w:lineRule="auto"/>
              <w:rPr>
                <w:rFonts w:ascii="Verdana" w:eastAsia="Times New Roman" w:hAnsi="Verdana" w:cs="Calibri"/>
                <w:color w:val="000000"/>
                <w:sz w:val="18"/>
                <w:szCs w:val="18"/>
                <w:lang w:eastAsia="pt-BR"/>
              </w:rPr>
            </w:pPr>
            <w:r w:rsidRPr="00920713">
              <w:rPr>
                <w:rFonts w:ascii="Verdana" w:eastAsia="Times New Roman" w:hAnsi="Verdana" w:cs="Calibri"/>
                <w:color w:val="000000"/>
                <w:sz w:val="18"/>
                <w:szCs w:val="18"/>
                <w:lang w:eastAsia="pt-BR"/>
              </w:rPr>
              <w:t xml:space="preserve">    (-) Encargos setoriais e regulatórios</w:t>
            </w:r>
          </w:p>
        </w:tc>
        <w:tc>
          <w:tcPr>
            <w:tcW w:w="160" w:type="dxa"/>
            <w:tcBorders>
              <w:top w:val="nil"/>
              <w:left w:val="nil"/>
              <w:bottom w:val="nil"/>
              <w:right w:val="nil"/>
            </w:tcBorders>
            <w:shd w:val="clear" w:color="auto" w:fill="auto"/>
            <w:noWrap/>
            <w:vAlign w:val="center"/>
            <w:hideMark/>
          </w:tcPr>
          <w:p w14:paraId="34D25379" w14:textId="77777777" w:rsidR="00920713" w:rsidRPr="00920713" w:rsidRDefault="00920713" w:rsidP="00920713">
            <w:pPr>
              <w:spacing w:after="0" w:line="240" w:lineRule="auto"/>
              <w:rPr>
                <w:rFonts w:ascii="Verdana" w:eastAsia="Times New Roman" w:hAnsi="Verdana" w:cs="Calibri"/>
                <w:color w:val="000000"/>
                <w:sz w:val="18"/>
                <w:szCs w:val="18"/>
                <w:lang w:eastAsia="pt-BR"/>
              </w:rPr>
            </w:pPr>
          </w:p>
        </w:tc>
        <w:tc>
          <w:tcPr>
            <w:tcW w:w="1502" w:type="dxa"/>
            <w:tcBorders>
              <w:top w:val="nil"/>
              <w:left w:val="nil"/>
              <w:bottom w:val="nil"/>
              <w:right w:val="nil"/>
            </w:tcBorders>
            <w:shd w:val="clear" w:color="auto" w:fill="auto"/>
            <w:noWrap/>
            <w:vAlign w:val="center"/>
            <w:hideMark/>
          </w:tcPr>
          <w:p w14:paraId="03D920B4" w14:textId="77777777" w:rsidR="00920713" w:rsidRPr="00920713" w:rsidRDefault="00920713" w:rsidP="00920713">
            <w:pPr>
              <w:spacing w:after="0" w:line="240" w:lineRule="auto"/>
              <w:jc w:val="right"/>
              <w:rPr>
                <w:rFonts w:ascii="Verdana" w:eastAsia="Times New Roman" w:hAnsi="Verdana" w:cs="Calibri"/>
                <w:color w:val="000000"/>
                <w:sz w:val="18"/>
                <w:szCs w:val="18"/>
                <w:lang w:eastAsia="pt-BR"/>
              </w:rPr>
            </w:pPr>
            <w:r w:rsidRPr="00920713">
              <w:rPr>
                <w:rFonts w:ascii="Verdana" w:eastAsia="Times New Roman" w:hAnsi="Verdana" w:cs="Calibri"/>
                <w:color w:val="000000"/>
                <w:sz w:val="18"/>
                <w:szCs w:val="18"/>
                <w:lang w:eastAsia="pt-BR"/>
              </w:rPr>
              <w:t xml:space="preserve"> - </w:t>
            </w:r>
          </w:p>
        </w:tc>
        <w:tc>
          <w:tcPr>
            <w:tcW w:w="163" w:type="dxa"/>
            <w:tcBorders>
              <w:top w:val="nil"/>
              <w:left w:val="nil"/>
              <w:bottom w:val="nil"/>
              <w:right w:val="nil"/>
            </w:tcBorders>
            <w:shd w:val="clear" w:color="auto" w:fill="auto"/>
            <w:noWrap/>
            <w:vAlign w:val="center"/>
            <w:hideMark/>
          </w:tcPr>
          <w:p w14:paraId="3BC84167" w14:textId="77777777" w:rsidR="00920713" w:rsidRPr="00920713" w:rsidRDefault="00920713" w:rsidP="00920713">
            <w:pPr>
              <w:spacing w:after="0" w:line="240" w:lineRule="auto"/>
              <w:jc w:val="right"/>
              <w:rPr>
                <w:rFonts w:ascii="Verdana" w:eastAsia="Times New Roman" w:hAnsi="Verdana" w:cs="Calibri"/>
                <w:color w:val="000000"/>
                <w:sz w:val="18"/>
                <w:szCs w:val="18"/>
                <w:lang w:eastAsia="pt-BR"/>
              </w:rPr>
            </w:pPr>
          </w:p>
        </w:tc>
        <w:tc>
          <w:tcPr>
            <w:tcW w:w="1396" w:type="dxa"/>
            <w:tcBorders>
              <w:top w:val="nil"/>
              <w:left w:val="nil"/>
              <w:bottom w:val="nil"/>
              <w:right w:val="nil"/>
            </w:tcBorders>
            <w:shd w:val="clear" w:color="auto" w:fill="auto"/>
            <w:noWrap/>
            <w:vAlign w:val="center"/>
            <w:hideMark/>
          </w:tcPr>
          <w:p w14:paraId="0C81E61C" w14:textId="77777777" w:rsidR="00920713" w:rsidRPr="00920713" w:rsidRDefault="00920713" w:rsidP="00920713">
            <w:pPr>
              <w:spacing w:after="0" w:line="240" w:lineRule="auto"/>
              <w:jc w:val="right"/>
              <w:rPr>
                <w:rFonts w:ascii="Verdana" w:eastAsia="Times New Roman" w:hAnsi="Verdana" w:cs="Calibri"/>
                <w:color w:val="000000"/>
                <w:sz w:val="18"/>
                <w:szCs w:val="18"/>
                <w:lang w:eastAsia="pt-BR"/>
              </w:rPr>
            </w:pPr>
            <w:r w:rsidRPr="00920713">
              <w:rPr>
                <w:rFonts w:ascii="Verdana" w:eastAsia="Times New Roman" w:hAnsi="Verdana" w:cs="Calibri"/>
                <w:color w:val="000000"/>
                <w:sz w:val="18"/>
                <w:szCs w:val="18"/>
                <w:lang w:eastAsia="pt-BR"/>
              </w:rPr>
              <w:t xml:space="preserve"> - </w:t>
            </w:r>
          </w:p>
        </w:tc>
        <w:tc>
          <w:tcPr>
            <w:tcW w:w="182" w:type="dxa"/>
            <w:tcBorders>
              <w:top w:val="nil"/>
              <w:left w:val="nil"/>
              <w:bottom w:val="nil"/>
              <w:right w:val="nil"/>
            </w:tcBorders>
            <w:shd w:val="clear" w:color="auto" w:fill="auto"/>
            <w:noWrap/>
            <w:vAlign w:val="bottom"/>
            <w:hideMark/>
          </w:tcPr>
          <w:p w14:paraId="6E6583E8" w14:textId="77777777" w:rsidR="00920713" w:rsidRPr="00920713" w:rsidRDefault="00920713" w:rsidP="00920713">
            <w:pPr>
              <w:spacing w:after="0" w:line="240" w:lineRule="auto"/>
              <w:jc w:val="right"/>
              <w:rPr>
                <w:rFonts w:ascii="Verdana" w:eastAsia="Times New Roman" w:hAnsi="Verdana" w:cs="Calibri"/>
                <w:color w:val="000000"/>
                <w:sz w:val="18"/>
                <w:szCs w:val="18"/>
                <w:lang w:eastAsia="pt-BR"/>
              </w:rPr>
            </w:pPr>
          </w:p>
        </w:tc>
        <w:tc>
          <w:tcPr>
            <w:tcW w:w="1574" w:type="dxa"/>
            <w:gridSpan w:val="3"/>
            <w:tcBorders>
              <w:top w:val="nil"/>
              <w:left w:val="nil"/>
              <w:bottom w:val="nil"/>
              <w:right w:val="nil"/>
            </w:tcBorders>
            <w:shd w:val="clear" w:color="auto" w:fill="auto"/>
            <w:noWrap/>
            <w:vAlign w:val="center"/>
            <w:hideMark/>
          </w:tcPr>
          <w:p w14:paraId="47823CEA" w14:textId="1ED0D4BB" w:rsidR="00920713" w:rsidRPr="00920713" w:rsidRDefault="00920713" w:rsidP="00920713">
            <w:pPr>
              <w:spacing w:after="0" w:line="240" w:lineRule="auto"/>
              <w:jc w:val="right"/>
              <w:rPr>
                <w:rFonts w:ascii="Verdana" w:eastAsia="Times New Roman" w:hAnsi="Verdana" w:cs="Calibri"/>
                <w:color w:val="000000"/>
                <w:sz w:val="18"/>
                <w:szCs w:val="18"/>
                <w:lang w:eastAsia="pt-BR"/>
              </w:rPr>
            </w:pPr>
            <w:r w:rsidRPr="00920713">
              <w:rPr>
                <w:rFonts w:ascii="Verdana" w:eastAsia="Times New Roman" w:hAnsi="Verdana" w:cs="Calibri"/>
                <w:color w:val="000000"/>
                <w:sz w:val="18"/>
                <w:szCs w:val="18"/>
                <w:lang w:eastAsia="pt-BR"/>
              </w:rPr>
              <w:t xml:space="preserve">         (11.681)</w:t>
            </w:r>
          </w:p>
        </w:tc>
        <w:tc>
          <w:tcPr>
            <w:tcW w:w="163" w:type="dxa"/>
            <w:tcBorders>
              <w:top w:val="nil"/>
              <w:left w:val="nil"/>
              <w:bottom w:val="nil"/>
              <w:right w:val="nil"/>
            </w:tcBorders>
            <w:shd w:val="clear" w:color="auto" w:fill="auto"/>
            <w:noWrap/>
            <w:vAlign w:val="center"/>
            <w:hideMark/>
          </w:tcPr>
          <w:p w14:paraId="6A67AA8E" w14:textId="77777777" w:rsidR="00920713" w:rsidRPr="00920713" w:rsidRDefault="00920713" w:rsidP="00920713">
            <w:pPr>
              <w:spacing w:after="0" w:line="240" w:lineRule="auto"/>
              <w:jc w:val="right"/>
              <w:rPr>
                <w:rFonts w:ascii="Verdana" w:eastAsia="Times New Roman" w:hAnsi="Verdana" w:cs="Calibri"/>
                <w:color w:val="000000"/>
                <w:sz w:val="18"/>
                <w:szCs w:val="18"/>
                <w:lang w:eastAsia="pt-BR"/>
              </w:rPr>
            </w:pPr>
          </w:p>
        </w:tc>
        <w:tc>
          <w:tcPr>
            <w:tcW w:w="1369" w:type="dxa"/>
            <w:tcBorders>
              <w:top w:val="nil"/>
              <w:left w:val="nil"/>
              <w:bottom w:val="nil"/>
              <w:right w:val="nil"/>
            </w:tcBorders>
            <w:shd w:val="clear" w:color="auto" w:fill="auto"/>
            <w:noWrap/>
            <w:vAlign w:val="center"/>
            <w:hideMark/>
          </w:tcPr>
          <w:p w14:paraId="260709B7" w14:textId="4B8C4E1A" w:rsidR="00920713" w:rsidRPr="00920713" w:rsidRDefault="00920713" w:rsidP="00920713">
            <w:pPr>
              <w:spacing w:after="0" w:line="240" w:lineRule="auto"/>
              <w:jc w:val="right"/>
              <w:rPr>
                <w:rFonts w:ascii="Verdana" w:eastAsia="Times New Roman" w:hAnsi="Verdana" w:cs="Calibri"/>
                <w:color w:val="000000"/>
                <w:sz w:val="18"/>
                <w:szCs w:val="18"/>
                <w:lang w:eastAsia="pt-BR"/>
              </w:rPr>
            </w:pPr>
            <w:r w:rsidRPr="00920713">
              <w:rPr>
                <w:rFonts w:ascii="Verdana" w:eastAsia="Times New Roman" w:hAnsi="Verdana" w:cs="Calibri"/>
                <w:color w:val="000000"/>
                <w:sz w:val="18"/>
                <w:szCs w:val="18"/>
                <w:lang w:eastAsia="pt-BR"/>
              </w:rPr>
              <w:t xml:space="preserve">     (11.681)</w:t>
            </w:r>
          </w:p>
        </w:tc>
      </w:tr>
      <w:tr w:rsidR="00920713" w:rsidRPr="00920713" w14:paraId="01330A3C" w14:textId="77777777" w:rsidTr="00B63957">
        <w:trPr>
          <w:gridAfter w:val="1"/>
          <w:wAfter w:w="1869" w:type="dxa"/>
          <w:trHeight w:val="20"/>
        </w:trPr>
        <w:tc>
          <w:tcPr>
            <w:tcW w:w="4111" w:type="dxa"/>
            <w:tcBorders>
              <w:top w:val="nil"/>
              <w:left w:val="nil"/>
              <w:bottom w:val="nil"/>
              <w:right w:val="nil"/>
            </w:tcBorders>
            <w:shd w:val="clear" w:color="auto" w:fill="auto"/>
            <w:noWrap/>
            <w:vAlign w:val="center"/>
            <w:hideMark/>
          </w:tcPr>
          <w:p w14:paraId="3504F496" w14:textId="77777777" w:rsidR="00920713" w:rsidRPr="00920713" w:rsidRDefault="00920713" w:rsidP="00920713">
            <w:pPr>
              <w:spacing w:after="0" w:line="240" w:lineRule="auto"/>
              <w:rPr>
                <w:rFonts w:ascii="Verdana" w:eastAsia="Times New Roman" w:hAnsi="Verdana" w:cs="Calibri"/>
                <w:color w:val="000000"/>
                <w:sz w:val="18"/>
                <w:szCs w:val="18"/>
                <w:lang w:eastAsia="pt-BR"/>
              </w:rPr>
            </w:pPr>
            <w:r w:rsidRPr="00920713">
              <w:rPr>
                <w:rFonts w:ascii="Verdana" w:eastAsia="Times New Roman" w:hAnsi="Verdana" w:cs="Calibri"/>
                <w:color w:val="000000"/>
                <w:sz w:val="18"/>
                <w:szCs w:val="18"/>
                <w:lang w:eastAsia="pt-BR"/>
              </w:rPr>
              <w:t xml:space="preserve">    (-) PASEP e COFINS</w:t>
            </w:r>
          </w:p>
        </w:tc>
        <w:tc>
          <w:tcPr>
            <w:tcW w:w="160" w:type="dxa"/>
            <w:tcBorders>
              <w:top w:val="nil"/>
              <w:left w:val="nil"/>
              <w:bottom w:val="nil"/>
              <w:right w:val="nil"/>
            </w:tcBorders>
            <w:shd w:val="clear" w:color="auto" w:fill="auto"/>
            <w:noWrap/>
            <w:vAlign w:val="center"/>
            <w:hideMark/>
          </w:tcPr>
          <w:p w14:paraId="1A27EC58" w14:textId="77777777" w:rsidR="00920713" w:rsidRPr="00920713" w:rsidRDefault="00920713" w:rsidP="00920713">
            <w:pPr>
              <w:spacing w:after="0" w:line="240" w:lineRule="auto"/>
              <w:rPr>
                <w:rFonts w:ascii="Verdana" w:eastAsia="Times New Roman" w:hAnsi="Verdana" w:cs="Calibri"/>
                <w:color w:val="000000"/>
                <w:sz w:val="18"/>
                <w:szCs w:val="18"/>
                <w:lang w:eastAsia="pt-BR"/>
              </w:rPr>
            </w:pPr>
          </w:p>
        </w:tc>
        <w:tc>
          <w:tcPr>
            <w:tcW w:w="1502" w:type="dxa"/>
            <w:tcBorders>
              <w:top w:val="nil"/>
              <w:left w:val="nil"/>
              <w:bottom w:val="nil"/>
              <w:right w:val="nil"/>
            </w:tcBorders>
            <w:shd w:val="clear" w:color="auto" w:fill="auto"/>
            <w:noWrap/>
            <w:vAlign w:val="center"/>
            <w:hideMark/>
          </w:tcPr>
          <w:p w14:paraId="08A2BB3F" w14:textId="78BB3EFE" w:rsidR="00920713" w:rsidRPr="00920713" w:rsidRDefault="00920713" w:rsidP="00920713">
            <w:pPr>
              <w:spacing w:after="0" w:line="240" w:lineRule="auto"/>
              <w:jc w:val="right"/>
              <w:rPr>
                <w:rFonts w:ascii="Verdana" w:eastAsia="Times New Roman" w:hAnsi="Verdana" w:cs="Calibri"/>
                <w:color w:val="000000"/>
                <w:sz w:val="18"/>
                <w:szCs w:val="18"/>
                <w:lang w:eastAsia="pt-BR"/>
              </w:rPr>
            </w:pPr>
            <w:r w:rsidRPr="00920713">
              <w:rPr>
                <w:rFonts w:ascii="Verdana" w:eastAsia="Times New Roman" w:hAnsi="Verdana" w:cs="Calibri"/>
                <w:color w:val="000000"/>
                <w:sz w:val="18"/>
                <w:szCs w:val="18"/>
                <w:lang w:eastAsia="pt-BR"/>
              </w:rPr>
              <w:t xml:space="preserve">            (112)</w:t>
            </w:r>
          </w:p>
        </w:tc>
        <w:tc>
          <w:tcPr>
            <w:tcW w:w="163" w:type="dxa"/>
            <w:tcBorders>
              <w:top w:val="nil"/>
              <w:left w:val="nil"/>
              <w:bottom w:val="nil"/>
              <w:right w:val="nil"/>
            </w:tcBorders>
            <w:shd w:val="clear" w:color="auto" w:fill="auto"/>
            <w:noWrap/>
            <w:vAlign w:val="center"/>
            <w:hideMark/>
          </w:tcPr>
          <w:p w14:paraId="65F61A1B" w14:textId="77777777" w:rsidR="00920713" w:rsidRPr="00920713" w:rsidRDefault="00920713" w:rsidP="00920713">
            <w:pPr>
              <w:spacing w:after="0" w:line="240" w:lineRule="auto"/>
              <w:jc w:val="right"/>
              <w:rPr>
                <w:rFonts w:ascii="Verdana" w:eastAsia="Times New Roman" w:hAnsi="Verdana" w:cs="Calibri"/>
                <w:color w:val="000000"/>
                <w:sz w:val="18"/>
                <w:szCs w:val="18"/>
                <w:lang w:eastAsia="pt-BR"/>
              </w:rPr>
            </w:pPr>
          </w:p>
        </w:tc>
        <w:tc>
          <w:tcPr>
            <w:tcW w:w="1396" w:type="dxa"/>
            <w:tcBorders>
              <w:top w:val="nil"/>
              <w:left w:val="nil"/>
              <w:bottom w:val="nil"/>
              <w:right w:val="nil"/>
            </w:tcBorders>
            <w:shd w:val="clear" w:color="auto" w:fill="auto"/>
            <w:noWrap/>
            <w:vAlign w:val="center"/>
            <w:hideMark/>
          </w:tcPr>
          <w:p w14:paraId="2D545CD2" w14:textId="35D02DAF" w:rsidR="00920713" w:rsidRPr="00920713" w:rsidRDefault="00920713" w:rsidP="00920713">
            <w:pPr>
              <w:spacing w:after="0" w:line="240" w:lineRule="auto"/>
              <w:jc w:val="right"/>
              <w:rPr>
                <w:rFonts w:ascii="Verdana" w:eastAsia="Times New Roman" w:hAnsi="Verdana" w:cs="Calibri"/>
                <w:color w:val="000000"/>
                <w:sz w:val="18"/>
                <w:szCs w:val="18"/>
                <w:lang w:eastAsia="pt-BR"/>
              </w:rPr>
            </w:pPr>
            <w:r w:rsidRPr="00920713">
              <w:rPr>
                <w:rFonts w:ascii="Verdana" w:eastAsia="Times New Roman" w:hAnsi="Verdana" w:cs="Calibri"/>
                <w:color w:val="000000"/>
                <w:sz w:val="18"/>
                <w:szCs w:val="18"/>
                <w:lang w:eastAsia="pt-BR"/>
              </w:rPr>
              <w:t xml:space="preserve">          (112)</w:t>
            </w:r>
          </w:p>
        </w:tc>
        <w:tc>
          <w:tcPr>
            <w:tcW w:w="182" w:type="dxa"/>
            <w:tcBorders>
              <w:top w:val="nil"/>
              <w:left w:val="nil"/>
              <w:bottom w:val="nil"/>
              <w:right w:val="nil"/>
            </w:tcBorders>
            <w:shd w:val="clear" w:color="auto" w:fill="auto"/>
            <w:noWrap/>
            <w:vAlign w:val="bottom"/>
            <w:hideMark/>
          </w:tcPr>
          <w:p w14:paraId="1879A40E" w14:textId="77777777" w:rsidR="00920713" w:rsidRPr="00920713" w:rsidRDefault="00920713" w:rsidP="00920713">
            <w:pPr>
              <w:spacing w:after="0" w:line="240" w:lineRule="auto"/>
              <w:jc w:val="right"/>
              <w:rPr>
                <w:rFonts w:ascii="Verdana" w:eastAsia="Times New Roman" w:hAnsi="Verdana" w:cs="Calibri"/>
                <w:color w:val="000000"/>
                <w:sz w:val="18"/>
                <w:szCs w:val="18"/>
                <w:lang w:eastAsia="pt-BR"/>
              </w:rPr>
            </w:pPr>
          </w:p>
        </w:tc>
        <w:tc>
          <w:tcPr>
            <w:tcW w:w="1574" w:type="dxa"/>
            <w:gridSpan w:val="3"/>
            <w:tcBorders>
              <w:top w:val="nil"/>
              <w:left w:val="nil"/>
              <w:bottom w:val="nil"/>
              <w:right w:val="nil"/>
            </w:tcBorders>
            <w:shd w:val="clear" w:color="auto" w:fill="auto"/>
            <w:noWrap/>
            <w:vAlign w:val="center"/>
            <w:hideMark/>
          </w:tcPr>
          <w:p w14:paraId="0D9776AB" w14:textId="57998E09" w:rsidR="00920713" w:rsidRPr="00920713" w:rsidRDefault="00920713" w:rsidP="00920713">
            <w:pPr>
              <w:spacing w:after="0" w:line="240" w:lineRule="auto"/>
              <w:jc w:val="right"/>
              <w:rPr>
                <w:rFonts w:ascii="Verdana" w:eastAsia="Times New Roman" w:hAnsi="Verdana" w:cs="Calibri"/>
                <w:color w:val="000000"/>
                <w:sz w:val="18"/>
                <w:szCs w:val="18"/>
                <w:lang w:eastAsia="pt-BR"/>
              </w:rPr>
            </w:pPr>
            <w:r w:rsidRPr="00920713">
              <w:rPr>
                <w:rFonts w:ascii="Verdana" w:eastAsia="Times New Roman" w:hAnsi="Verdana" w:cs="Calibri"/>
                <w:color w:val="000000"/>
                <w:sz w:val="18"/>
                <w:szCs w:val="18"/>
                <w:lang w:eastAsia="pt-BR"/>
              </w:rPr>
              <w:t xml:space="preserve">         (36.127)</w:t>
            </w:r>
          </w:p>
        </w:tc>
        <w:tc>
          <w:tcPr>
            <w:tcW w:w="163" w:type="dxa"/>
            <w:tcBorders>
              <w:top w:val="nil"/>
              <w:left w:val="nil"/>
              <w:bottom w:val="nil"/>
              <w:right w:val="nil"/>
            </w:tcBorders>
            <w:shd w:val="clear" w:color="auto" w:fill="auto"/>
            <w:noWrap/>
            <w:vAlign w:val="center"/>
            <w:hideMark/>
          </w:tcPr>
          <w:p w14:paraId="06B03FD6" w14:textId="77777777" w:rsidR="00920713" w:rsidRPr="00920713" w:rsidRDefault="00920713" w:rsidP="00920713">
            <w:pPr>
              <w:spacing w:after="0" w:line="240" w:lineRule="auto"/>
              <w:jc w:val="right"/>
              <w:rPr>
                <w:rFonts w:ascii="Verdana" w:eastAsia="Times New Roman" w:hAnsi="Verdana" w:cs="Calibri"/>
                <w:color w:val="000000"/>
                <w:sz w:val="18"/>
                <w:szCs w:val="18"/>
                <w:lang w:eastAsia="pt-BR"/>
              </w:rPr>
            </w:pPr>
          </w:p>
        </w:tc>
        <w:tc>
          <w:tcPr>
            <w:tcW w:w="1369" w:type="dxa"/>
            <w:tcBorders>
              <w:top w:val="nil"/>
              <w:left w:val="nil"/>
              <w:bottom w:val="nil"/>
              <w:right w:val="nil"/>
            </w:tcBorders>
            <w:shd w:val="clear" w:color="auto" w:fill="auto"/>
            <w:noWrap/>
            <w:vAlign w:val="center"/>
            <w:hideMark/>
          </w:tcPr>
          <w:p w14:paraId="328DB3AF" w14:textId="23E9506A" w:rsidR="00920713" w:rsidRPr="00920713" w:rsidRDefault="00920713" w:rsidP="00920713">
            <w:pPr>
              <w:spacing w:after="0" w:line="240" w:lineRule="auto"/>
              <w:jc w:val="right"/>
              <w:rPr>
                <w:rFonts w:ascii="Verdana" w:eastAsia="Times New Roman" w:hAnsi="Verdana" w:cs="Calibri"/>
                <w:color w:val="000000"/>
                <w:sz w:val="18"/>
                <w:szCs w:val="18"/>
                <w:lang w:eastAsia="pt-BR"/>
              </w:rPr>
            </w:pPr>
            <w:r w:rsidRPr="00920713">
              <w:rPr>
                <w:rFonts w:ascii="Verdana" w:eastAsia="Times New Roman" w:hAnsi="Verdana" w:cs="Calibri"/>
                <w:color w:val="000000"/>
                <w:sz w:val="18"/>
                <w:szCs w:val="18"/>
                <w:lang w:eastAsia="pt-BR"/>
              </w:rPr>
              <w:t xml:space="preserve">      (36.127)</w:t>
            </w:r>
          </w:p>
        </w:tc>
      </w:tr>
      <w:tr w:rsidR="00920713" w:rsidRPr="00920713" w14:paraId="42A4749B" w14:textId="77777777" w:rsidTr="00B63957">
        <w:trPr>
          <w:gridAfter w:val="1"/>
          <w:wAfter w:w="1869" w:type="dxa"/>
          <w:trHeight w:val="20"/>
        </w:trPr>
        <w:tc>
          <w:tcPr>
            <w:tcW w:w="4111" w:type="dxa"/>
            <w:tcBorders>
              <w:top w:val="nil"/>
              <w:left w:val="nil"/>
              <w:bottom w:val="nil"/>
              <w:right w:val="nil"/>
            </w:tcBorders>
            <w:shd w:val="clear" w:color="auto" w:fill="auto"/>
            <w:noWrap/>
            <w:vAlign w:val="center"/>
            <w:hideMark/>
          </w:tcPr>
          <w:p w14:paraId="1E1C421E" w14:textId="77777777" w:rsidR="00920713" w:rsidRPr="00920713" w:rsidRDefault="00920713" w:rsidP="00920713">
            <w:pPr>
              <w:spacing w:after="0" w:line="240" w:lineRule="auto"/>
              <w:jc w:val="right"/>
              <w:rPr>
                <w:rFonts w:ascii="Verdana" w:eastAsia="Times New Roman" w:hAnsi="Verdana" w:cs="Calibri"/>
                <w:color w:val="000000"/>
                <w:sz w:val="18"/>
                <w:szCs w:val="18"/>
                <w:lang w:eastAsia="pt-BR"/>
              </w:rPr>
            </w:pPr>
          </w:p>
        </w:tc>
        <w:tc>
          <w:tcPr>
            <w:tcW w:w="160" w:type="dxa"/>
            <w:tcBorders>
              <w:top w:val="nil"/>
              <w:left w:val="nil"/>
              <w:bottom w:val="nil"/>
              <w:right w:val="nil"/>
            </w:tcBorders>
            <w:shd w:val="clear" w:color="auto" w:fill="auto"/>
            <w:noWrap/>
            <w:vAlign w:val="center"/>
            <w:hideMark/>
          </w:tcPr>
          <w:p w14:paraId="3D2133B8" w14:textId="77777777" w:rsidR="00920713" w:rsidRPr="00920713" w:rsidRDefault="00920713" w:rsidP="00920713">
            <w:pPr>
              <w:spacing w:after="0" w:line="240" w:lineRule="auto"/>
              <w:rPr>
                <w:rFonts w:ascii="Times New Roman" w:eastAsia="Times New Roman" w:hAnsi="Times New Roman" w:cs="Times New Roman"/>
                <w:sz w:val="20"/>
                <w:szCs w:val="20"/>
                <w:lang w:eastAsia="pt-BR"/>
              </w:rPr>
            </w:pPr>
          </w:p>
        </w:tc>
        <w:tc>
          <w:tcPr>
            <w:tcW w:w="1502" w:type="dxa"/>
            <w:tcBorders>
              <w:top w:val="single" w:sz="8" w:space="0" w:color="auto"/>
              <w:left w:val="nil"/>
              <w:bottom w:val="nil"/>
              <w:right w:val="nil"/>
            </w:tcBorders>
            <w:shd w:val="clear" w:color="auto" w:fill="auto"/>
            <w:noWrap/>
            <w:vAlign w:val="center"/>
            <w:hideMark/>
          </w:tcPr>
          <w:p w14:paraId="3DC9EF60" w14:textId="09D16F33" w:rsidR="00920713" w:rsidRPr="00920713" w:rsidRDefault="00920713" w:rsidP="00920713">
            <w:pPr>
              <w:spacing w:after="0" w:line="240" w:lineRule="auto"/>
              <w:jc w:val="right"/>
              <w:rPr>
                <w:rFonts w:ascii="Verdana" w:eastAsia="Times New Roman" w:hAnsi="Verdana" w:cs="Calibri"/>
                <w:color w:val="000000"/>
                <w:sz w:val="18"/>
                <w:szCs w:val="18"/>
                <w:lang w:eastAsia="pt-BR"/>
              </w:rPr>
            </w:pPr>
            <w:r w:rsidRPr="00920713">
              <w:rPr>
                <w:rFonts w:ascii="Verdana" w:eastAsia="Times New Roman" w:hAnsi="Verdana" w:cs="Calibri"/>
                <w:color w:val="000000"/>
                <w:sz w:val="18"/>
                <w:szCs w:val="18"/>
                <w:lang w:eastAsia="pt-BR"/>
              </w:rPr>
              <w:t xml:space="preserve">            (112)</w:t>
            </w:r>
          </w:p>
        </w:tc>
        <w:tc>
          <w:tcPr>
            <w:tcW w:w="163" w:type="dxa"/>
            <w:tcBorders>
              <w:top w:val="nil"/>
              <w:left w:val="nil"/>
              <w:bottom w:val="nil"/>
              <w:right w:val="nil"/>
            </w:tcBorders>
            <w:shd w:val="clear" w:color="auto" w:fill="auto"/>
            <w:noWrap/>
            <w:vAlign w:val="center"/>
            <w:hideMark/>
          </w:tcPr>
          <w:p w14:paraId="06F109A6" w14:textId="77777777" w:rsidR="00920713" w:rsidRPr="00920713" w:rsidRDefault="00920713" w:rsidP="00920713">
            <w:pPr>
              <w:spacing w:after="0" w:line="240" w:lineRule="auto"/>
              <w:jc w:val="right"/>
              <w:rPr>
                <w:rFonts w:ascii="Verdana" w:eastAsia="Times New Roman" w:hAnsi="Verdana" w:cs="Calibri"/>
                <w:color w:val="000000"/>
                <w:sz w:val="18"/>
                <w:szCs w:val="18"/>
                <w:lang w:eastAsia="pt-BR"/>
              </w:rPr>
            </w:pPr>
          </w:p>
        </w:tc>
        <w:tc>
          <w:tcPr>
            <w:tcW w:w="1396" w:type="dxa"/>
            <w:tcBorders>
              <w:top w:val="single" w:sz="8" w:space="0" w:color="auto"/>
              <w:left w:val="nil"/>
              <w:bottom w:val="nil"/>
              <w:right w:val="nil"/>
            </w:tcBorders>
            <w:shd w:val="clear" w:color="auto" w:fill="auto"/>
            <w:noWrap/>
            <w:vAlign w:val="center"/>
            <w:hideMark/>
          </w:tcPr>
          <w:p w14:paraId="680BDBA0" w14:textId="1B43FAD9" w:rsidR="00920713" w:rsidRPr="00920713" w:rsidRDefault="00920713" w:rsidP="00920713">
            <w:pPr>
              <w:spacing w:after="0" w:line="240" w:lineRule="auto"/>
              <w:jc w:val="right"/>
              <w:rPr>
                <w:rFonts w:ascii="Verdana" w:eastAsia="Times New Roman" w:hAnsi="Verdana" w:cs="Calibri"/>
                <w:color w:val="000000"/>
                <w:sz w:val="18"/>
                <w:szCs w:val="18"/>
                <w:lang w:eastAsia="pt-BR"/>
              </w:rPr>
            </w:pPr>
            <w:r w:rsidRPr="00920713">
              <w:rPr>
                <w:rFonts w:ascii="Verdana" w:eastAsia="Times New Roman" w:hAnsi="Verdana" w:cs="Calibri"/>
                <w:color w:val="000000"/>
                <w:sz w:val="18"/>
                <w:szCs w:val="18"/>
                <w:lang w:eastAsia="pt-BR"/>
              </w:rPr>
              <w:t xml:space="preserve">           (112)</w:t>
            </w:r>
          </w:p>
        </w:tc>
        <w:tc>
          <w:tcPr>
            <w:tcW w:w="182" w:type="dxa"/>
            <w:tcBorders>
              <w:top w:val="nil"/>
              <w:left w:val="nil"/>
              <w:bottom w:val="nil"/>
              <w:right w:val="nil"/>
            </w:tcBorders>
            <w:shd w:val="clear" w:color="auto" w:fill="auto"/>
            <w:noWrap/>
            <w:vAlign w:val="bottom"/>
            <w:hideMark/>
          </w:tcPr>
          <w:p w14:paraId="29F57D6A" w14:textId="77777777" w:rsidR="00920713" w:rsidRPr="00920713" w:rsidRDefault="00920713" w:rsidP="00920713">
            <w:pPr>
              <w:spacing w:after="0" w:line="240" w:lineRule="auto"/>
              <w:jc w:val="right"/>
              <w:rPr>
                <w:rFonts w:ascii="Verdana" w:eastAsia="Times New Roman" w:hAnsi="Verdana" w:cs="Calibri"/>
                <w:color w:val="000000"/>
                <w:sz w:val="18"/>
                <w:szCs w:val="18"/>
                <w:lang w:eastAsia="pt-BR"/>
              </w:rPr>
            </w:pPr>
          </w:p>
        </w:tc>
        <w:tc>
          <w:tcPr>
            <w:tcW w:w="1574" w:type="dxa"/>
            <w:gridSpan w:val="3"/>
            <w:tcBorders>
              <w:top w:val="single" w:sz="8" w:space="0" w:color="auto"/>
              <w:left w:val="nil"/>
              <w:bottom w:val="nil"/>
              <w:right w:val="nil"/>
            </w:tcBorders>
            <w:shd w:val="clear" w:color="auto" w:fill="auto"/>
            <w:noWrap/>
            <w:vAlign w:val="center"/>
            <w:hideMark/>
          </w:tcPr>
          <w:p w14:paraId="49D921C0" w14:textId="1B4DC146" w:rsidR="00920713" w:rsidRPr="00920713" w:rsidRDefault="00920713" w:rsidP="00920713">
            <w:pPr>
              <w:spacing w:after="0" w:line="240" w:lineRule="auto"/>
              <w:jc w:val="right"/>
              <w:rPr>
                <w:rFonts w:ascii="Verdana" w:eastAsia="Times New Roman" w:hAnsi="Verdana" w:cs="Calibri"/>
                <w:color w:val="000000"/>
                <w:sz w:val="18"/>
                <w:szCs w:val="18"/>
                <w:lang w:eastAsia="pt-BR"/>
              </w:rPr>
            </w:pPr>
            <w:r w:rsidRPr="00920713">
              <w:rPr>
                <w:rFonts w:ascii="Verdana" w:eastAsia="Times New Roman" w:hAnsi="Verdana" w:cs="Calibri"/>
                <w:color w:val="000000"/>
                <w:sz w:val="18"/>
                <w:szCs w:val="18"/>
                <w:lang w:eastAsia="pt-BR"/>
              </w:rPr>
              <w:t xml:space="preserve">         (47.808)</w:t>
            </w:r>
          </w:p>
        </w:tc>
        <w:tc>
          <w:tcPr>
            <w:tcW w:w="163" w:type="dxa"/>
            <w:tcBorders>
              <w:top w:val="nil"/>
              <w:left w:val="nil"/>
              <w:bottom w:val="nil"/>
              <w:right w:val="nil"/>
            </w:tcBorders>
            <w:shd w:val="clear" w:color="auto" w:fill="auto"/>
            <w:noWrap/>
            <w:vAlign w:val="center"/>
            <w:hideMark/>
          </w:tcPr>
          <w:p w14:paraId="29F09F37" w14:textId="77777777" w:rsidR="00920713" w:rsidRPr="00920713" w:rsidRDefault="00920713" w:rsidP="00920713">
            <w:pPr>
              <w:spacing w:after="0" w:line="240" w:lineRule="auto"/>
              <w:jc w:val="right"/>
              <w:rPr>
                <w:rFonts w:ascii="Verdana" w:eastAsia="Times New Roman" w:hAnsi="Verdana" w:cs="Calibri"/>
                <w:color w:val="000000"/>
                <w:sz w:val="18"/>
                <w:szCs w:val="18"/>
                <w:lang w:eastAsia="pt-BR"/>
              </w:rPr>
            </w:pPr>
          </w:p>
        </w:tc>
        <w:tc>
          <w:tcPr>
            <w:tcW w:w="1369" w:type="dxa"/>
            <w:tcBorders>
              <w:top w:val="single" w:sz="8" w:space="0" w:color="auto"/>
              <w:left w:val="nil"/>
              <w:bottom w:val="nil"/>
              <w:right w:val="nil"/>
            </w:tcBorders>
            <w:shd w:val="clear" w:color="auto" w:fill="auto"/>
            <w:noWrap/>
            <w:vAlign w:val="center"/>
            <w:hideMark/>
          </w:tcPr>
          <w:p w14:paraId="0F18BA01" w14:textId="05F6DEC5" w:rsidR="00920713" w:rsidRPr="00920713" w:rsidRDefault="00920713" w:rsidP="00920713">
            <w:pPr>
              <w:spacing w:after="0" w:line="240" w:lineRule="auto"/>
              <w:jc w:val="right"/>
              <w:rPr>
                <w:rFonts w:ascii="Verdana" w:eastAsia="Times New Roman" w:hAnsi="Verdana" w:cs="Calibri"/>
                <w:color w:val="000000"/>
                <w:sz w:val="18"/>
                <w:szCs w:val="18"/>
                <w:lang w:eastAsia="pt-BR"/>
              </w:rPr>
            </w:pPr>
            <w:r w:rsidRPr="00920713">
              <w:rPr>
                <w:rFonts w:ascii="Verdana" w:eastAsia="Times New Roman" w:hAnsi="Verdana" w:cs="Calibri"/>
                <w:color w:val="000000"/>
                <w:sz w:val="18"/>
                <w:szCs w:val="18"/>
                <w:lang w:eastAsia="pt-BR"/>
              </w:rPr>
              <w:t xml:space="preserve">      (47.808)</w:t>
            </w:r>
          </w:p>
        </w:tc>
      </w:tr>
      <w:tr w:rsidR="00920713" w:rsidRPr="00920713" w14:paraId="679048BD" w14:textId="77777777" w:rsidTr="00B63957">
        <w:trPr>
          <w:gridAfter w:val="1"/>
          <w:wAfter w:w="1869" w:type="dxa"/>
          <w:trHeight w:val="20"/>
        </w:trPr>
        <w:tc>
          <w:tcPr>
            <w:tcW w:w="4111" w:type="dxa"/>
            <w:tcBorders>
              <w:top w:val="nil"/>
              <w:left w:val="nil"/>
              <w:bottom w:val="nil"/>
              <w:right w:val="nil"/>
            </w:tcBorders>
            <w:shd w:val="clear" w:color="auto" w:fill="auto"/>
            <w:noWrap/>
            <w:vAlign w:val="center"/>
            <w:hideMark/>
          </w:tcPr>
          <w:p w14:paraId="3A1A39A6" w14:textId="77777777" w:rsidR="00920713" w:rsidRPr="00920713" w:rsidRDefault="00920713" w:rsidP="00920713">
            <w:pPr>
              <w:spacing w:after="0" w:line="240" w:lineRule="auto"/>
              <w:jc w:val="right"/>
              <w:rPr>
                <w:rFonts w:ascii="Verdana" w:eastAsia="Times New Roman" w:hAnsi="Verdana" w:cs="Calibri"/>
                <w:color w:val="000000"/>
                <w:sz w:val="18"/>
                <w:szCs w:val="18"/>
                <w:lang w:eastAsia="pt-BR"/>
              </w:rPr>
            </w:pPr>
          </w:p>
        </w:tc>
        <w:tc>
          <w:tcPr>
            <w:tcW w:w="160" w:type="dxa"/>
            <w:tcBorders>
              <w:top w:val="nil"/>
              <w:left w:val="nil"/>
              <w:bottom w:val="nil"/>
              <w:right w:val="nil"/>
            </w:tcBorders>
            <w:shd w:val="clear" w:color="auto" w:fill="auto"/>
            <w:noWrap/>
            <w:vAlign w:val="center"/>
            <w:hideMark/>
          </w:tcPr>
          <w:p w14:paraId="1B2258E5" w14:textId="77777777" w:rsidR="00920713" w:rsidRPr="00920713" w:rsidRDefault="00920713" w:rsidP="00920713">
            <w:pPr>
              <w:spacing w:after="0" w:line="240" w:lineRule="auto"/>
              <w:rPr>
                <w:rFonts w:ascii="Times New Roman" w:eastAsia="Times New Roman" w:hAnsi="Times New Roman" w:cs="Times New Roman"/>
                <w:sz w:val="20"/>
                <w:szCs w:val="20"/>
                <w:lang w:eastAsia="pt-BR"/>
              </w:rPr>
            </w:pPr>
          </w:p>
        </w:tc>
        <w:tc>
          <w:tcPr>
            <w:tcW w:w="1502" w:type="dxa"/>
            <w:tcBorders>
              <w:top w:val="nil"/>
              <w:left w:val="nil"/>
              <w:bottom w:val="single" w:sz="8" w:space="0" w:color="auto"/>
              <w:right w:val="nil"/>
            </w:tcBorders>
            <w:shd w:val="clear" w:color="auto" w:fill="auto"/>
            <w:noWrap/>
            <w:vAlign w:val="center"/>
            <w:hideMark/>
          </w:tcPr>
          <w:p w14:paraId="0FB8F687" w14:textId="77777777" w:rsidR="00920713" w:rsidRPr="00920713" w:rsidRDefault="00920713" w:rsidP="00920713">
            <w:pPr>
              <w:spacing w:after="0" w:line="240" w:lineRule="auto"/>
              <w:jc w:val="right"/>
              <w:rPr>
                <w:rFonts w:ascii="Verdana" w:eastAsia="Times New Roman" w:hAnsi="Verdana" w:cs="Calibri"/>
                <w:color w:val="000000"/>
                <w:sz w:val="18"/>
                <w:szCs w:val="18"/>
                <w:lang w:eastAsia="pt-BR"/>
              </w:rPr>
            </w:pPr>
            <w:r w:rsidRPr="00920713">
              <w:rPr>
                <w:rFonts w:ascii="Verdana" w:eastAsia="Times New Roman" w:hAnsi="Verdana" w:cs="Calibri"/>
                <w:color w:val="000000"/>
                <w:sz w:val="18"/>
                <w:szCs w:val="18"/>
                <w:lang w:eastAsia="pt-BR"/>
              </w:rPr>
              <w:t> </w:t>
            </w:r>
          </w:p>
        </w:tc>
        <w:tc>
          <w:tcPr>
            <w:tcW w:w="163" w:type="dxa"/>
            <w:tcBorders>
              <w:top w:val="nil"/>
              <w:left w:val="nil"/>
              <w:bottom w:val="nil"/>
              <w:right w:val="nil"/>
            </w:tcBorders>
            <w:shd w:val="clear" w:color="auto" w:fill="auto"/>
            <w:noWrap/>
            <w:vAlign w:val="center"/>
            <w:hideMark/>
          </w:tcPr>
          <w:p w14:paraId="45D64866" w14:textId="77777777" w:rsidR="00920713" w:rsidRPr="00920713" w:rsidRDefault="00920713" w:rsidP="00920713">
            <w:pPr>
              <w:spacing w:after="0" w:line="240" w:lineRule="auto"/>
              <w:jc w:val="right"/>
              <w:rPr>
                <w:rFonts w:ascii="Verdana" w:eastAsia="Times New Roman" w:hAnsi="Verdana" w:cs="Calibri"/>
                <w:color w:val="000000"/>
                <w:sz w:val="18"/>
                <w:szCs w:val="18"/>
                <w:lang w:eastAsia="pt-BR"/>
              </w:rPr>
            </w:pPr>
          </w:p>
        </w:tc>
        <w:tc>
          <w:tcPr>
            <w:tcW w:w="1396" w:type="dxa"/>
            <w:tcBorders>
              <w:top w:val="nil"/>
              <w:left w:val="nil"/>
              <w:bottom w:val="single" w:sz="8" w:space="0" w:color="auto"/>
              <w:right w:val="nil"/>
            </w:tcBorders>
            <w:shd w:val="clear" w:color="auto" w:fill="auto"/>
            <w:noWrap/>
            <w:vAlign w:val="center"/>
            <w:hideMark/>
          </w:tcPr>
          <w:p w14:paraId="48A4431A" w14:textId="77777777" w:rsidR="00920713" w:rsidRPr="00920713" w:rsidRDefault="00920713" w:rsidP="00920713">
            <w:pPr>
              <w:spacing w:after="0" w:line="240" w:lineRule="auto"/>
              <w:jc w:val="right"/>
              <w:rPr>
                <w:rFonts w:ascii="Verdana" w:eastAsia="Times New Roman" w:hAnsi="Verdana" w:cs="Calibri"/>
                <w:color w:val="000000"/>
                <w:sz w:val="18"/>
                <w:szCs w:val="18"/>
                <w:lang w:eastAsia="pt-BR"/>
              </w:rPr>
            </w:pPr>
            <w:r w:rsidRPr="00920713">
              <w:rPr>
                <w:rFonts w:ascii="Verdana" w:eastAsia="Times New Roman" w:hAnsi="Verdana" w:cs="Calibri"/>
                <w:color w:val="000000"/>
                <w:sz w:val="18"/>
                <w:szCs w:val="18"/>
                <w:lang w:eastAsia="pt-BR"/>
              </w:rPr>
              <w:t> </w:t>
            </w:r>
          </w:p>
        </w:tc>
        <w:tc>
          <w:tcPr>
            <w:tcW w:w="182" w:type="dxa"/>
            <w:tcBorders>
              <w:top w:val="nil"/>
              <w:left w:val="nil"/>
              <w:bottom w:val="nil"/>
              <w:right w:val="nil"/>
            </w:tcBorders>
            <w:shd w:val="clear" w:color="auto" w:fill="auto"/>
            <w:noWrap/>
            <w:vAlign w:val="bottom"/>
            <w:hideMark/>
          </w:tcPr>
          <w:p w14:paraId="60AF1250" w14:textId="77777777" w:rsidR="00920713" w:rsidRPr="00920713" w:rsidRDefault="00920713" w:rsidP="00920713">
            <w:pPr>
              <w:spacing w:after="0" w:line="240" w:lineRule="auto"/>
              <w:jc w:val="right"/>
              <w:rPr>
                <w:rFonts w:ascii="Verdana" w:eastAsia="Times New Roman" w:hAnsi="Verdana" w:cs="Calibri"/>
                <w:color w:val="000000"/>
                <w:sz w:val="18"/>
                <w:szCs w:val="18"/>
                <w:lang w:eastAsia="pt-BR"/>
              </w:rPr>
            </w:pPr>
          </w:p>
        </w:tc>
        <w:tc>
          <w:tcPr>
            <w:tcW w:w="1574" w:type="dxa"/>
            <w:gridSpan w:val="3"/>
            <w:tcBorders>
              <w:top w:val="nil"/>
              <w:left w:val="nil"/>
              <w:bottom w:val="single" w:sz="8" w:space="0" w:color="auto"/>
              <w:right w:val="nil"/>
            </w:tcBorders>
            <w:shd w:val="clear" w:color="auto" w:fill="auto"/>
            <w:noWrap/>
            <w:vAlign w:val="center"/>
            <w:hideMark/>
          </w:tcPr>
          <w:p w14:paraId="375E670C" w14:textId="77777777" w:rsidR="00920713" w:rsidRPr="00920713" w:rsidRDefault="00920713" w:rsidP="00920713">
            <w:pPr>
              <w:spacing w:after="0" w:line="240" w:lineRule="auto"/>
              <w:jc w:val="right"/>
              <w:rPr>
                <w:rFonts w:ascii="Verdana" w:eastAsia="Times New Roman" w:hAnsi="Verdana" w:cs="Calibri"/>
                <w:color w:val="000000"/>
                <w:sz w:val="18"/>
                <w:szCs w:val="18"/>
                <w:lang w:eastAsia="pt-BR"/>
              </w:rPr>
            </w:pPr>
            <w:r w:rsidRPr="00920713">
              <w:rPr>
                <w:rFonts w:ascii="Verdana" w:eastAsia="Times New Roman" w:hAnsi="Verdana" w:cs="Calibri"/>
                <w:color w:val="000000"/>
                <w:sz w:val="18"/>
                <w:szCs w:val="18"/>
                <w:lang w:eastAsia="pt-BR"/>
              </w:rPr>
              <w:t> </w:t>
            </w:r>
          </w:p>
        </w:tc>
        <w:tc>
          <w:tcPr>
            <w:tcW w:w="163" w:type="dxa"/>
            <w:tcBorders>
              <w:top w:val="nil"/>
              <w:left w:val="nil"/>
              <w:bottom w:val="nil"/>
              <w:right w:val="nil"/>
            </w:tcBorders>
            <w:shd w:val="clear" w:color="auto" w:fill="auto"/>
            <w:noWrap/>
            <w:vAlign w:val="center"/>
            <w:hideMark/>
          </w:tcPr>
          <w:p w14:paraId="3BA404FC" w14:textId="77777777" w:rsidR="00920713" w:rsidRPr="00920713" w:rsidRDefault="00920713" w:rsidP="00920713">
            <w:pPr>
              <w:spacing w:after="0" w:line="240" w:lineRule="auto"/>
              <w:jc w:val="right"/>
              <w:rPr>
                <w:rFonts w:ascii="Verdana" w:eastAsia="Times New Roman" w:hAnsi="Verdana" w:cs="Calibri"/>
                <w:color w:val="000000"/>
                <w:sz w:val="18"/>
                <w:szCs w:val="18"/>
                <w:lang w:eastAsia="pt-BR"/>
              </w:rPr>
            </w:pPr>
          </w:p>
        </w:tc>
        <w:tc>
          <w:tcPr>
            <w:tcW w:w="1369" w:type="dxa"/>
            <w:tcBorders>
              <w:top w:val="nil"/>
              <w:left w:val="nil"/>
              <w:bottom w:val="single" w:sz="8" w:space="0" w:color="auto"/>
              <w:right w:val="nil"/>
            </w:tcBorders>
            <w:shd w:val="clear" w:color="auto" w:fill="auto"/>
            <w:noWrap/>
            <w:vAlign w:val="center"/>
            <w:hideMark/>
          </w:tcPr>
          <w:p w14:paraId="1E601848" w14:textId="77777777" w:rsidR="00920713" w:rsidRPr="00920713" w:rsidRDefault="00920713" w:rsidP="00920713">
            <w:pPr>
              <w:spacing w:after="0" w:line="240" w:lineRule="auto"/>
              <w:jc w:val="right"/>
              <w:rPr>
                <w:rFonts w:ascii="Verdana" w:eastAsia="Times New Roman" w:hAnsi="Verdana" w:cs="Calibri"/>
                <w:color w:val="000000"/>
                <w:sz w:val="18"/>
                <w:szCs w:val="18"/>
                <w:lang w:eastAsia="pt-BR"/>
              </w:rPr>
            </w:pPr>
            <w:r w:rsidRPr="00920713">
              <w:rPr>
                <w:rFonts w:ascii="Verdana" w:eastAsia="Times New Roman" w:hAnsi="Verdana" w:cs="Calibri"/>
                <w:color w:val="000000"/>
                <w:sz w:val="18"/>
                <w:szCs w:val="18"/>
                <w:lang w:eastAsia="pt-BR"/>
              </w:rPr>
              <w:t> </w:t>
            </w:r>
          </w:p>
        </w:tc>
      </w:tr>
      <w:tr w:rsidR="00920713" w:rsidRPr="00920713" w14:paraId="63FE5F64" w14:textId="77777777" w:rsidTr="00B63957">
        <w:trPr>
          <w:gridAfter w:val="1"/>
          <w:wAfter w:w="1869" w:type="dxa"/>
          <w:trHeight w:val="20"/>
        </w:trPr>
        <w:tc>
          <w:tcPr>
            <w:tcW w:w="4111" w:type="dxa"/>
            <w:tcBorders>
              <w:top w:val="nil"/>
              <w:left w:val="nil"/>
              <w:bottom w:val="nil"/>
              <w:right w:val="nil"/>
            </w:tcBorders>
            <w:shd w:val="clear" w:color="auto" w:fill="auto"/>
            <w:noWrap/>
            <w:vAlign w:val="center"/>
            <w:hideMark/>
          </w:tcPr>
          <w:p w14:paraId="2543588C" w14:textId="77777777" w:rsidR="00920713" w:rsidRPr="00920713" w:rsidRDefault="00920713" w:rsidP="00920713">
            <w:pPr>
              <w:spacing w:after="0" w:line="240" w:lineRule="auto"/>
              <w:jc w:val="right"/>
              <w:rPr>
                <w:rFonts w:ascii="Verdana" w:eastAsia="Times New Roman" w:hAnsi="Verdana" w:cs="Calibri"/>
                <w:color w:val="000000"/>
                <w:sz w:val="18"/>
                <w:szCs w:val="18"/>
                <w:lang w:eastAsia="pt-BR"/>
              </w:rPr>
            </w:pPr>
          </w:p>
        </w:tc>
        <w:tc>
          <w:tcPr>
            <w:tcW w:w="160" w:type="dxa"/>
            <w:tcBorders>
              <w:top w:val="nil"/>
              <w:left w:val="nil"/>
              <w:bottom w:val="nil"/>
              <w:right w:val="nil"/>
            </w:tcBorders>
            <w:shd w:val="clear" w:color="auto" w:fill="auto"/>
            <w:noWrap/>
            <w:vAlign w:val="center"/>
            <w:hideMark/>
          </w:tcPr>
          <w:p w14:paraId="23A8BD31" w14:textId="77777777" w:rsidR="00920713" w:rsidRPr="00920713" w:rsidRDefault="00920713" w:rsidP="00920713">
            <w:pPr>
              <w:spacing w:after="0" w:line="240" w:lineRule="auto"/>
              <w:rPr>
                <w:rFonts w:ascii="Times New Roman" w:eastAsia="Times New Roman" w:hAnsi="Times New Roman" w:cs="Times New Roman"/>
                <w:sz w:val="20"/>
                <w:szCs w:val="20"/>
                <w:lang w:eastAsia="pt-BR"/>
              </w:rPr>
            </w:pPr>
          </w:p>
        </w:tc>
        <w:tc>
          <w:tcPr>
            <w:tcW w:w="1502" w:type="dxa"/>
            <w:tcBorders>
              <w:top w:val="nil"/>
              <w:left w:val="nil"/>
              <w:bottom w:val="double" w:sz="6" w:space="0" w:color="auto"/>
              <w:right w:val="nil"/>
            </w:tcBorders>
            <w:shd w:val="clear" w:color="auto" w:fill="auto"/>
            <w:noWrap/>
            <w:vAlign w:val="center"/>
            <w:hideMark/>
          </w:tcPr>
          <w:p w14:paraId="1B6EBB79" w14:textId="1A39A0AD" w:rsidR="00920713" w:rsidRPr="00920713" w:rsidRDefault="00920713" w:rsidP="00920713">
            <w:pPr>
              <w:spacing w:after="0" w:line="240" w:lineRule="auto"/>
              <w:jc w:val="right"/>
              <w:rPr>
                <w:rFonts w:ascii="Verdana" w:eastAsia="Times New Roman" w:hAnsi="Verdana" w:cs="Calibri"/>
                <w:b/>
                <w:bCs/>
                <w:color w:val="000000"/>
                <w:sz w:val="18"/>
                <w:szCs w:val="18"/>
                <w:lang w:eastAsia="pt-BR"/>
              </w:rPr>
            </w:pPr>
            <w:r w:rsidRPr="00920713">
              <w:rPr>
                <w:rFonts w:ascii="Verdana" w:eastAsia="Times New Roman" w:hAnsi="Verdana" w:cs="Calibri"/>
                <w:b/>
                <w:bCs/>
                <w:color w:val="000000"/>
                <w:sz w:val="18"/>
                <w:szCs w:val="18"/>
                <w:lang w:eastAsia="pt-BR"/>
              </w:rPr>
              <w:t xml:space="preserve">           1.093 </w:t>
            </w:r>
          </w:p>
        </w:tc>
        <w:tc>
          <w:tcPr>
            <w:tcW w:w="163" w:type="dxa"/>
            <w:tcBorders>
              <w:top w:val="nil"/>
              <w:left w:val="nil"/>
              <w:bottom w:val="nil"/>
              <w:right w:val="nil"/>
            </w:tcBorders>
            <w:shd w:val="clear" w:color="auto" w:fill="auto"/>
            <w:noWrap/>
            <w:vAlign w:val="center"/>
            <w:hideMark/>
          </w:tcPr>
          <w:p w14:paraId="021ACD0E" w14:textId="77777777" w:rsidR="00920713" w:rsidRPr="00920713" w:rsidRDefault="00920713" w:rsidP="00920713">
            <w:pPr>
              <w:spacing w:after="0" w:line="240" w:lineRule="auto"/>
              <w:jc w:val="right"/>
              <w:rPr>
                <w:rFonts w:ascii="Verdana" w:eastAsia="Times New Roman" w:hAnsi="Verdana" w:cs="Calibri"/>
                <w:b/>
                <w:bCs/>
                <w:color w:val="000000"/>
                <w:sz w:val="18"/>
                <w:szCs w:val="18"/>
                <w:lang w:eastAsia="pt-BR"/>
              </w:rPr>
            </w:pPr>
          </w:p>
        </w:tc>
        <w:tc>
          <w:tcPr>
            <w:tcW w:w="1396" w:type="dxa"/>
            <w:tcBorders>
              <w:top w:val="nil"/>
              <w:left w:val="nil"/>
              <w:bottom w:val="double" w:sz="6" w:space="0" w:color="auto"/>
              <w:right w:val="nil"/>
            </w:tcBorders>
            <w:shd w:val="clear" w:color="auto" w:fill="auto"/>
            <w:noWrap/>
            <w:vAlign w:val="center"/>
            <w:hideMark/>
          </w:tcPr>
          <w:p w14:paraId="5939391F" w14:textId="5E8BCD35" w:rsidR="00920713" w:rsidRPr="00920713" w:rsidRDefault="00920713" w:rsidP="00920713">
            <w:pPr>
              <w:spacing w:after="0" w:line="240" w:lineRule="auto"/>
              <w:jc w:val="right"/>
              <w:rPr>
                <w:rFonts w:ascii="Verdana" w:eastAsia="Times New Roman" w:hAnsi="Verdana" w:cs="Calibri"/>
                <w:b/>
                <w:bCs/>
                <w:color w:val="000000"/>
                <w:sz w:val="18"/>
                <w:szCs w:val="18"/>
                <w:lang w:eastAsia="pt-BR"/>
              </w:rPr>
            </w:pPr>
            <w:r w:rsidRPr="00920713">
              <w:rPr>
                <w:rFonts w:ascii="Verdana" w:eastAsia="Times New Roman" w:hAnsi="Verdana" w:cs="Calibri"/>
                <w:b/>
                <w:bCs/>
                <w:color w:val="000000"/>
                <w:sz w:val="18"/>
                <w:szCs w:val="18"/>
                <w:lang w:eastAsia="pt-BR"/>
              </w:rPr>
              <w:t xml:space="preserve">           1.093 </w:t>
            </w:r>
          </w:p>
        </w:tc>
        <w:tc>
          <w:tcPr>
            <w:tcW w:w="182" w:type="dxa"/>
            <w:tcBorders>
              <w:top w:val="nil"/>
              <w:left w:val="nil"/>
              <w:bottom w:val="nil"/>
              <w:right w:val="nil"/>
            </w:tcBorders>
            <w:shd w:val="clear" w:color="auto" w:fill="auto"/>
            <w:noWrap/>
            <w:vAlign w:val="bottom"/>
            <w:hideMark/>
          </w:tcPr>
          <w:p w14:paraId="03514C75" w14:textId="77777777" w:rsidR="00920713" w:rsidRPr="00920713" w:rsidRDefault="00920713" w:rsidP="00920713">
            <w:pPr>
              <w:spacing w:after="0" w:line="240" w:lineRule="auto"/>
              <w:jc w:val="right"/>
              <w:rPr>
                <w:rFonts w:ascii="Verdana" w:eastAsia="Times New Roman" w:hAnsi="Verdana" w:cs="Calibri"/>
                <w:b/>
                <w:bCs/>
                <w:color w:val="000000"/>
                <w:sz w:val="18"/>
                <w:szCs w:val="18"/>
                <w:lang w:eastAsia="pt-BR"/>
              </w:rPr>
            </w:pPr>
          </w:p>
        </w:tc>
        <w:tc>
          <w:tcPr>
            <w:tcW w:w="1574" w:type="dxa"/>
            <w:gridSpan w:val="3"/>
            <w:tcBorders>
              <w:top w:val="nil"/>
              <w:left w:val="nil"/>
              <w:bottom w:val="double" w:sz="6" w:space="0" w:color="auto"/>
              <w:right w:val="nil"/>
            </w:tcBorders>
            <w:shd w:val="clear" w:color="auto" w:fill="auto"/>
            <w:noWrap/>
            <w:vAlign w:val="center"/>
            <w:hideMark/>
          </w:tcPr>
          <w:p w14:paraId="60EEE816" w14:textId="1DFC6603" w:rsidR="00920713" w:rsidRPr="00920713" w:rsidRDefault="00920713" w:rsidP="00920713">
            <w:pPr>
              <w:spacing w:after="0" w:line="240" w:lineRule="auto"/>
              <w:jc w:val="right"/>
              <w:rPr>
                <w:rFonts w:ascii="Verdana" w:eastAsia="Times New Roman" w:hAnsi="Verdana" w:cs="Calibri"/>
                <w:b/>
                <w:bCs/>
                <w:color w:val="000000"/>
                <w:sz w:val="18"/>
                <w:szCs w:val="18"/>
                <w:lang w:eastAsia="pt-BR"/>
              </w:rPr>
            </w:pPr>
            <w:r w:rsidRPr="00920713">
              <w:rPr>
                <w:rFonts w:ascii="Verdana" w:eastAsia="Times New Roman" w:hAnsi="Verdana" w:cs="Calibri"/>
                <w:b/>
                <w:bCs/>
                <w:color w:val="000000"/>
                <w:sz w:val="18"/>
                <w:szCs w:val="18"/>
                <w:lang w:eastAsia="pt-BR"/>
              </w:rPr>
              <w:t xml:space="preserve">        342.783 </w:t>
            </w:r>
          </w:p>
        </w:tc>
        <w:tc>
          <w:tcPr>
            <w:tcW w:w="163" w:type="dxa"/>
            <w:tcBorders>
              <w:top w:val="nil"/>
              <w:left w:val="nil"/>
              <w:bottom w:val="nil"/>
              <w:right w:val="nil"/>
            </w:tcBorders>
            <w:shd w:val="clear" w:color="auto" w:fill="auto"/>
            <w:noWrap/>
            <w:vAlign w:val="center"/>
            <w:hideMark/>
          </w:tcPr>
          <w:p w14:paraId="484A8E0D" w14:textId="77777777" w:rsidR="00920713" w:rsidRPr="00920713" w:rsidRDefault="00920713" w:rsidP="00920713">
            <w:pPr>
              <w:spacing w:after="0" w:line="240" w:lineRule="auto"/>
              <w:jc w:val="right"/>
              <w:rPr>
                <w:rFonts w:ascii="Verdana" w:eastAsia="Times New Roman" w:hAnsi="Verdana" w:cs="Calibri"/>
                <w:b/>
                <w:bCs/>
                <w:color w:val="000000"/>
                <w:sz w:val="18"/>
                <w:szCs w:val="18"/>
                <w:lang w:eastAsia="pt-BR"/>
              </w:rPr>
            </w:pPr>
          </w:p>
        </w:tc>
        <w:tc>
          <w:tcPr>
            <w:tcW w:w="1369" w:type="dxa"/>
            <w:tcBorders>
              <w:top w:val="nil"/>
              <w:left w:val="nil"/>
              <w:bottom w:val="double" w:sz="6" w:space="0" w:color="auto"/>
              <w:right w:val="nil"/>
            </w:tcBorders>
            <w:shd w:val="clear" w:color="auto" w:fill="auto"/>
            <w:noWrap/>
            <w:vAlign w:val="center"/>
            <w:hideMark/>
          </w:tcPr>
          <w:p w14:paraId="6F387571" w14:textId="7239D822" w:rsidR="00920713" w:rsidRPr="00920713" w:rsidRDefault="00920713" w:rsidP="00920713">
            <w:pPr>
              <w:spacing w:after="0" w:line="240" w:lineRule="auto"/>
              <w:jc w:val="right"/>
              <w:rPr>
                <w:rFonts w:ascii="Verdana" w:eastAsia="Times New Roman" w:hAnsi="Verdana" w:cs="Calibri"/>
                <w:b/>
                <w:bCs/>
                <w:color w:val="000000"/>
                <w:sz w:val="18"/>
                <w:szCs w:val="18"/>
                <w:lang w:eastAsia="pt-BR"/>
              </w:rPr>
            </w:pPr>
            <w:r w:rsidRPr="00920713">
              <w:rPr>
                <w:rFonts w:ascii="Verdana" w:eastAsia="Times New Roman" w:hAnsi="Verdana" w:cs="Calibri"/>
                <w:b/>
                <w:bCs/>
                <w:color w:val="000000"/>
                <w:sz w:val="18"/>
                <w:szCs w:val="18"/>
                <w:lang w:eastAsia="pt-BR"/>
              </w:rPr>
              <w:t xml:space="preserve">     342.783 </w:t>
            </w:r>
          </w:p>
        </w:tc>
      </w:tr>
    </w:tbl>
    <w:p w14:paraId="50E22917" w14:textId="77777777" w:rsidR="00C40278" w:rsidRDefault="00C40278" w:rsidP="00720E7B">
      <w:pPr>
        <w:rPr>
          <w:rFonts w:ascii="Verdana" w:hAnsi="Verdana" w:cstheme="minorHAnsi"/>
          <w:noProof/>
          <w:lang w:eastAsia="pt-BR"/>
        </w:rPr>
      </w:pPr>
    </w:p>
    <w:p w14:paraId="0F4F4AC0" w14:textId="77777777" w:rsidR="00C40278" w:rsidRDefault="00C40278">
      <w:pPr>
        <w:rPr>
          <w:rFonts w:ascii="Verdana" w:hAnsi="Verdana" w:cstheme="minorHAnsi"/>
          <w:noProof/>
          <w:lang w:eastAsia="pt-BR"/>
        </w:rPr>
      </w:pPr>
      <w:r>
        <w:rPr>
          <w:rFonts w:ascii="Verdana" w:hAnsi="Verdana" w:cstheme="minorHAnsi"/>
          <w:noProof/>
          <w:lang w:eastAsia="pt-BR"/>
        </w:rPr>
        <w:br w:type="page"/>
      </w:r>
    </w:p>
    <w:p w14:paraId="6FF350BC" w14:textId="77777777" w:rsidR="002B1787" w:rsidRPr="00F7132F" w:rsidRDefault="00581D1F" w:rsidP="00CF5F07">
      <w:pPr>
        <w:tabs>
          <w:tab w:val="left" w:pos="567"/>
          <w:tab w:val="left" w:pos="1134"/>
          <w:tab w:val="left" w:pos="1701"/>
          <w:tab w:val="left" w:pos="2268"/>
          <w:tab w:val="left" w:pos="2835"/>
        </w:tabs>
        <w:jc w:val="both"/>
        <w:outlineLvl w:val="0"/>
        <w:rPr>
          <w:rFonts w:ascii="Verdana" w:hAnsi="Verdana" w:cstheme="minorHAnsi"/>
          <w:b/>
        </w:rPr>
      </w:pPr>
      <w:r>
        <w:rPr>
          <w:rFonts w:ascii="Verdana" w:hAnsi="Verdana" w:cstheme="minorHAnsi"/>
          <w:b/>
        </w:rPr>
        <w:lastRenderedPageBreak/>
        <w:t>24</w:t>
      </w:r>
      <w:r w:rsidR="00F4139F" w:rsidRPr="00F7132F">
        <w:rPr>
          <w:rFonts w:ascii="Verdana" w:hAnsi="Verdana" w:cstheme="minorHAnsi"/>
          <w:b/>
        </w:rPr>
        <w:t xml:space="preserve"> </w:t>
      </w:r>
      <w:r w:rsidR="002B1787" w:rsidRPr="00F7132F">
        <w:rPr>
          <w:rFonts w:ascii="Verdana" w:hAnsi="Verdana" w:cstheme="minorHAnsi"/>
          <w:b/>
        </w:rPr>
        <w:t>– CUSTOS OPERACIONAIS</w:t>
      </w:r>
    </w:p>
    <w:tbl>
      <w:tblPr>
        <w:tblW w:w="11236" w:type="dxa"/>
        <w:tblInd w:w="-851" w:type="dxa"/>
        <w:tblCellMar>
          <w:left w:w="70" w:type="dxa"/>
          <w:right w:w="70" w:type="dxa"/>
        </w:tblCellMar>
        <w:tblLook w:val="04A0" w:firstRow="1" w:lastRow="0" w:firstColumn="1" w:lastColumn="0" w:noHBand="0" w:noVBand="1"/>
      </w:tblPr>
      <w:tblGrid>
        <w:gridCol w:w="4450"/>
        <w:gridCol w:w="229"/>
        <w:gridCol w:w="1417"/>
        <w:gridCol w:w="151"/>
        <w:gridCol w:w="1271"/>
        <w:gridCol w:w="163"/>
        <w:gridCol w:w="1590"/>
        <w:gridCol w:w="151"/>
        <w:gridCol w:w="1409"/>
        <w:gridCol w:w="405"/>
      </w:tblGrid>
      <w:tr w:rsidR="00C50EF2" w:rsidRPr="00C50EF2" w14:paraId="481E95C4" w14:textId="77777777" w:rsidTr="00B63957">
        <w:trPr>
          <w:trHeight w:val="20"/>
        </w:trPr>
        <w:tc>
          <w:tcPr>
            <w:tcW w:w="4450" w:type="dxa"/>
            <w:tcBorders>
              <w:top w:val="nil"/>
              <w:left w:val="nil"/>
              <w:bottom w:val="nil"/>
              <w:right w:val="nil"/>
            </w:tcBorders>
            <w:shd w:val="clear" w:color="auto" w:fill="auto"/>
            <w:noWrap/>
            <w:vAlign w:val="center"/>
            <w:hideMark/>
          </w:tcPr>
          <w:p w14:paraId="76279C7E" w14:textId="77777777" w:rsidR="00C50EF2" w:rsidRPr="00C50EF2" w:rsidRDefault="00C50EF2" w:rsidP="00C50EF2">
            <w:pPr>
              <w:spacing w:after="0" w:line="240" w:lineRule="auto"/>
              <w:rPr>
                <w:rFonts w:ascii="Calibri" w:eastAsia="Times New Roman" w:hAnsi="Calibri" w:cs="Calibri"/>
                <w:color w:val="000000"/>
                <w:lang w:eastAsia="pt-BR"/>
              </w:rPr>
            </w:pPr>
          </w:p>
        </w:tc>
        <w:tc>
          <w:tcPr>
            <w:tcW w:w="229" w:type="dxa"/>
            <w:tcBorders>
              <w:top w:val="nil"/>
              <w:left w:val="nil"/>
              <w:bottom w:val="nil"/>
              <w:right w:val="nil"/>
            </w:tcBorders>
            <w:shd w:val="clear" w:color="auto" w:fill="auto"/>
            <w:noWrap/>
            <w:vAlign w:val="bottom"/>
            <w:hideMark/>
          </w:tcPr>
          <w:p w14:paraId="68AB8039" w14:textId="77777777" w:rsidR="00C50EF2" w:rsidRPr="00C50EF2" w:rsidRDefault="00C50EF2" w:rsidP="00C50EF2">
            <w:pPr>
              <w:spacing w:after="0" w:line="240" w:lineRule="auto"/>
              <w:rPr>
                <w:rFonts w:ascii="Calibri" w:eastAsia="Times New Roman" w:hAnsi="Calibri" w:cs="Calibri"/>
                <w:color w:val="000000"/>
                <w:lang w:eastAsia="pt-BR"/>
              </w:rPr>
            </w:pPr>
          </w:p>
        </w:tc>
        <w:tc>
          <w:tcPr>
            <w:tcW w:w="2839" w:type="dxa"/>
            <w:gridSpan w:val="3"/>
            <w:tcBorders>
              <w:top w:val="nil"/>
              <w:left w:val="nil"/>
              <w:bottom w:val="nil"/>
              <w:right w:val="nil"/>
            </w:tcBorders>
            <w:shd w:val="clear" w:color="auto" w:fill="auto"/>
            <w:noWrap/>
            <w:vAlign w:val="center"/>
            <w:hideMark/>
          </w:tcPr>
          <w:p w14:paraId="16630944" w14:textId="77777777" w:rsidR="00C50EF2" w:rsidRPr="00C50EF2" w:rsidRDefault="00C50EF2" w:rsidP="00C50EF2">
            <w:pPr>
              <w:spacing w:after="0" w:line="240" w:lineRule="auto"/>
              <w:jc w:val="center"/>
              <w:rPr>
                <w:rFonts w:ascii="Verdana" w:eastAsia="Times New Roman" w:hAnsi="Verdana" w:cs="Calibri"/>
                <w:b/>
                <w:bCs/>
                <w:color w:val="000000"/>
                <w:sz w:val="18"/>
                <w:szCs w:val="18"/>
                <w:lang w:eastAsia="pt-BR"/>
              </w:rPr>
            </w:pPr>
            <w:r w:rsidRPr="00C50EF2">
              <w:rPr>
                <w:rFonts w:ascii="Verdana" w:eastAsia="Times New Roman" w:hAnsi="Verdana" w:cs="Calibri"/>
                <w:b/>
                <w:bCs/>
                <w:color w:val="000000"/>
                <w:sz w:val="18"/>
                <w:szCs w:val="18"/>
                <w:lang w:eastAsia="pt-BR"/>
              </w:rPr>
              <w:t>Controladora</w:t>
            </w:r>
          </w:p>
        </w:tc>
        <w:tc>
          <w:tcPr>
            <w:tcW w:w="163" w:type="dxa"/>
            <w:tcBorders>
              <w:top w:val="nil"/>
              <w:left w:val="nil"/>
              <w:bottom w:val="nil"/>
              <w:right w:val="nil"/>
            </w:tcBorders>
            <w:shd w:val="clear" w:color="auto" w:fill="auto"/>
            <w:noWrap/>
            <w:vAlign w:val="bottom"/>
            <w:hideMark/>
          </w:tcPr>
          <w:p w14:paraId="70672129" w14:textId="77777777" w:rsidR="00C50EF2" w:rsidRPr="00C50EF2" w:rsidRDefault="00C50EF2" w:rsidP="00C50EF2">
            <w:pPr>
              <w:spacing w:after="0" w:line="240" w:lineRule="auto"/>
              <w:jc w:val="center"/>
              <w:rPr>
                <w:rFonts w:ascii="Verdana" w:eastAsia="Times New Roman" w:hAnsi="Verdana" w:cs="Calibri"/>
                <w:b/>
                <w:bCs/>
                <w:color w:val="000000"/>
                <w:sz w:val="18"/>
                <w:szCs w:val="18"/>
                <w:lang w:eastAsia="pt-BR"/>
              </w:rPr>
            </w:pPr>
          </w:p>
        </w:tc>
        <w:tc>
          <w:tcPr>
            <w:tcW w:w="3555" w:type="dxa"/>
            <w:gridSpan w:val="4"/>
            <w:tcBorders>
              <w:top w:val="nil"/>
              <w:left w:val="nil"/>
              <w:bottom w:val="nil"/>
              <w:right w:val="nil"/>
            </w:tcBorders>
            <w:shd w:val="clear" w:color="auto" w:fill="auto"/>
            <w:noWrap/>
            <w:vAlign w:val="center"/>
            <w:hideMark/>
          </w:tcPr>
          <w:p w14:paraId="3F700939" w14:textId="77777777" w:rsidR="00C50EF2" w:rsidRPr="00C50EF2" w:rsidRDefault="00C50EF2" w:rsidP="00C50EF2">
            <w:pPr>
              <w:spacing w:after="0" w:line="240" w:lineRule="auto"/>
              <w:jc w:val="center"/>
              <w:rPr>
                <w:rFonts w:ascii="Verdana" w:eastAsia="Times New Roman" w:hAnsi="Verdana" w:cs="Calibri"/>
                <w:b/>
                <w:bCs/>
                <w:color w:val="000000"/>
                <w:sz w:val="18"/>
                <w:szCs w:val="18"/>
                <w:lang w:eastAsia="pt-BR"/>
              </w:rPr>
            </w:pPr>
            <w:r w:rsidRPr="00C50EF2">
              <w:rPr>
                <w:rFonts w:ascii="Verdana" w:eastAsia="Times New Roman" w:hAnsi="Verdana" w:cs="Calibri"/>
                <w:b/>
                <w:bCs/>
                <w:color w:val="000000"/>
                <w:sz w:val="18"/>
                <w:szCs w:val="18"/>
                <w:lang w:eastAsia="pt-BR"/>
              </w:rPr>
              <w:t>Consolidado</w:t>
            </w:r>
          </w:p>
        </w:tc>
      </w:tr>
      <w:tr w:rsidR="00C50EF2" w:rsidRPr="00C50EF2" w14:paraId="5E52EFC9" w14:textId="77777777" w:rsidTr="00B63957">
        <w:trPr>
          <w:gridAfter w:val="1"/>
          <w:wAfter w:w="405" w:type="dxa"/>
          <w:trHeight w:val="20"/>
        </w:trPr>
        <w:tc>
          <w:tcPr>
            <w:tcW w:w="4450" w:type="dxa"/>
            <w:tcBorders>
              <w:top w:val="nil"/>
              <w:left w:val="nil"/>
              <w:bottom w:val="nil"/>
              <w:right w:val="nil"/>
            </w:tcBorders>
            <w:shd w:val="clear" w:color="auto" w:fill="auto"/>
            <w:noWrap/>
            <w:vAlign w:val="bottom"/>
            <w:hideMark/>
          </w:tcPr>
          <w:p w14:paraId="586453AC" w14:textId="77777777" w:rsidR="00C50EF2" w:rsidRPr="00C50EF2" w:rsidRDefault="00C50EF2" w:rsidP="00C50EF2">
            <w:pPr>
              <w:spacing w:after="0" w:line="240" w:lineRule="auto"/>
              <w:jc w:val="center"/>
              <w:rPr>
                <w:rFonts w:ascii="Verdana" w:eastAsia="Times New Roman" w:hAnsi="Verdana" w:cs="Calibri"/>
                <w:b/>
                <w:bCs/>
                <w:color w:val="000000"/>
                <w:sz w:val="18"/>
                <w:szCs w:val="18"/>
                <w:lang w:eastAsia="pt-BR"/>
              </w:rPr>
            </w:pPr>
          </w:p>
        </w:tc>
        <w:tc>
          <w:tcPr>
            <w:tcW w:w="229" w:type="dxa"/>
            <w:tcBorders>
              <w:top w:val="nil"/>
              <w:left w:val="nil"/>
              <w:bottom w:val="nil"/>
              <w:right w:val="nil"/>
            </w:tcBorders>
            <w:shd w:val="clear" w:color="auto" w:fill="auto"/>
            <w:noWrap/>
            <w:vAlign w:val="bottom"/>
            <w:hideMark/>
          </w:tcPr>
          <w:p w14:paraId="1BEAD4AA" w14:textId="77777777" w:rsidR="00C50EF2" w:rsidRPr="00C50EF2" w:rsidRDefault="00C50EF2" w:rsidP="00C50EF2">
            <w:pPr>
              <w:spacing w:after="0" w:line="240" w:lineRule="auto"/>
              <w:rPr>
                <w:rFonts w:ascii="Times New Roman" w:eastAsia="Times New Roman" w:hAnsi="Times New Roman" w:cs="Times New Roman"/>
                <w:sz w:val="20"/>
                <w:szCs w:val="20"/>
                <w:lang w:eastAsia="pt-BR"/>
              </w:rPr>
            </w:pPr>
          </w:p>
        </w:tc>
        <w:tc>
          <w:tcPr>
            <w:tcW w:w="1417" w:type="dxa"/>
            <w:tcBorders>
              <w:top w:val="single" w:sz="4" w:space="0" w:color="auto"/>
              <w:left w:val="nil"/>
              <w:bottom w:val="single" w:sz="4" w:space="0" w:color="auto"/>
              <w:right w:val="nil"/>
            </w:tcBorders>
            <w:shd w:val="clear" w:color="000000" w:fill="FFFFFF"/>
            <w:vAlign w:val="center"/>
            <w:hideMark/>
          </w:tcPr>
          <w:p w14:paraId="1AED35CF" w14:textId="77777777" w:rsidR="00C50EF2" w:rsidRPr="00C50EF2" w:rsidRDefault="00C50EF2" w:rsidP="00C50EF2">
            <w:pPr>
              <w:spacing w:after="0" w:line="240" w:lineRule="auto"/>
              <w:jc w:val="center"/>
              <w:rPr>
                <w:rFonts w:ascii="Verdana" w:eastAsia="Times New Roman" w:hAnsi="Verdana" w:cs="Calibri"/>
                <w:b/>
                <w:bCs/>
                <w:color w:val="000000"/>
                <w:sz w:val="16"/>
                <w:szCs w:val="16"/>
                <w:lang w:eastAsia="pt-BR"/>
              </w:rPr>
            </w:pPr>
            <w:r w:rsidRPr="00C50EF2">
              <w:rPr>
                <w:rFonts w:ascii="Verdana" w:eastAsia="Times New Roman" w:hAnsi="Verdana" w:cs="Calibri"/>
                <w:b/>
                <w:bCs/>
                <w:color w:val="000000"/>
                <w:sz w:val="16"/>
                <w:szCs w:val="16"/>
                <w:lang w:eastAsia="pt-BR"/>
              </w:rPr>
              <w:t xml:space="preserve"> 30/06/2022 </w:t>
            </w:r>
            <w:r w:rsidRPr="00C50EF2">
              <w:rPr>
                <w:rFonts w:ascii="Verdana" w:eastAsia="Times New Roman" w:hAnsi="Verdana" w:cs="Calibri"/>
                <w:b/>
                <w:bCs/>
                <w:color w:val="000000"/>
                <w:sz w:val="16"/>
                <w:szCs w:val="16"/>
                <w:lang w:eastAsia="pt-BR"/>
              </w:rPr>
              <w:br/>
              <w:t>(6 meses)</w:t>
            </w:r>
          </w:p>
        </w:tc>
        <w:tc>
          <w:tcPr>
            <w:tcW w:w="151" w:type="dxa"/>
            <w:tcBorders>
              <w:top w:val="nil"/>
              <w:left w:val="nil"/>
              <w:bottom w:val="nil"/>
              <w:right w:val="nil"/>
            </w:tcBorders>
            <w:shd w:val="clear" w:color="auto" w:fill="auto"/>
            <w:noWrap/>
            <w:vAlign w:val="bottom"/>
            <w:hideMark/>
          </w:tcPr>
          <w:p w14:paraId="1935F495" w14:textId="77777777" w:rsidR="00C50EF2" w:rsidRPr="00C50EF2" w:rsidRDefault="00C50EF2" w:rsidP="00C50EF2">
            <w:pPr>
              <w:spacing w:after="0" w:line="240" w:lineRule="auto"/>
              <w:jc w:val="center"/>
              <w:rPr>
                <w:rFonts w:ascii="Verdana" w:eastAsia="Times New Roman" w:hAnsi="Verdana" w:cs="Calibri"/>
                <w:b/>
                <w:bCs/>
                <w:color w:val="000000"/>
                <w:sz w:val="16"/>
                <w:szCs w:val="16"/>
                <w:lang w:eastAsia="pt-BR"/>
              </w:rPr>
            </w:pPr>
          </w:p>
        </w:tc>
        <w:tc>
          <w:tcPr>
            <w:tcW w:w="1271" w:type="dxa"/>
            <w:tcBorders>
              <w:top w:val="single" w:sz="4" w:space="0" w:color="auto"/>
              <w:left w:val="nil"/>
              <w:bottom w:val="single" w:sz="4" w:space="0" w:color="auto"/>
              <w:right w:val="nil"/>
            </w:tcBorders>
            <w:shd w:val="clear" w:color="000000" w:fill="FFFFFF"/>
            <w:vAlign w:val="center"/>
            <w:hideMark/>
          </w:tcPr>
          <w:p w14:paraId="45F4BC50" w14:textId="09152C58" w:rsidR="00C50EF2" w:rsidRPr="00C50EF2" w:rsidRDefault="00C50EF2" w:rsidP="00C50EF2">
            <w:pPr>
              <w:spacing w:after="0" w:line="240" w:lineRule="auto"/>
              <w:jc w:val="center"/>
              <w:rPr>
                <w:rFonts w:ascii="Verdana" w:eastAsia="Times New Roman" w:hAnsi="Verdana" w:cs="Calibri"/>
                <w:b/>
                <w:bCs/>
                <w:color w:val="000000"/>
                <w:sz w:val="16"/>
                <w:szCs w:val="16"/>
                <w:lang w:eastAsia="pt-BR"/>
              </w:rPr>
            </w:pPr>
            <w:r w:rsidRPr="00C50EF2">
              <w:rPr>
                <w:rFonts w:ascii="Verdana" w:eastAsia="Times New Roman" w:hAnsi="Verdana" w:cs="Calibri"/>
                <w:b/>
                <w:bCs/>
                <w:color w:val="000000"/>
                <w:sz w:val="16"/>
                <w:szCs w:val="16"/>
                <w:lang w:eastAsia="pt-BR"/>
              </w:rPr>
              <w:t xml:space="preserve">30/06/2022 </w:t>
            </w:r>
            <w:r w:rsidRPr="00C50EF2">
              <w:rPr>
                <w:rFonts w:ascii="Verdana" w:eastAsia="Times New Roman" w:hAnsi="Verdana" w:cs="Calibri"/>
                <w:b/>
                <w:bCs/>
                <w:color w:val="000000"/>
                <w:sz w:val="16"/>
                <w:szCs w:val="16"/>
                <w:lang w:eastAsia="pt-BR"/>
              </w:rPr>
              <w:br/>
              <w:t>(3 meses)</w:t>
            </w:r>
          </w:p>
        </w:tc>
        <w:tc>
          <w:tcPr>
            <w:tcW w:w="163" w:type="dxa"/>
            <w:tcBorders>
              <w:top w:val="nil"/>
              <w:left w:val="nil"/>
              <w:bottom w:val="nil"/>
              <w:right w:val="nil"/>
            </w:tcBorders>
            <w:shd w:val="clear" w:color="auto" w:fill="auto"/>
            <w:noWrap/>
            <w:vAlign w:val="bottom"/>
            <w:hideMark/>
          </w:tcPr>
          <w:p w14:paraId="58E92E24" w14:textId="77777777" w:rsidR="00C50EF2" w:rsidRPr="00C50EF2" w:rsidRDefault="00C50EF2" w:rsidP="00C50EF2">
            <w:pPr>
              <w:spacing w:after="0" w:line="240" w:lineRule="auto"/>
              <w:jc w:val="center"/>
              <w:rPr>
                <w:rFonts w:ascii="Verdana" w:eastAsia="Times New Roman" w:hAnsi="Verdana" w:cs="Calibri"/>
                <w:b/>
                <w:bCs/>
                <w:color w:val="000000"/>
                <w:sz w:val="16"/>
                <w:szCs w:val="16"/>
                <w:lang w:eastAsia="pt-BR"/>
              </w:rPr>
            </w:pPr>
          </w:p>
        </w:tc>
        <w:tc>
          <w:tcPr>
            <w:tcW w:w="1590" w:type="dxa"/>
            <w:tcBorders>
              <w:top w:val="single" w:sz="4" w:space="0" w:color="auto"/>
              <w:left w:val="nil"/>
              <w:bottom w:val="single" w:sz="4" w:space="0" w:color="auto"/>
              <w:right w:val="nil"/>
            </w:tcBorders>
            <w:shd w:val="clear" w:color="000000" w:fill="FFFFFF"/>
            <w:vAlign w:val="center"/>
            <w:hideMark/>
          </w:tcPr>
          <w:p w14:paraId="049BF632" w14:textId="77777777" w:rsidR="00C50EF2" w:rsidRPr="00C50EF2" w:rsidRDefault="00C50EF2" w:rsidP="00C50EF2">
            <w:pPr>
              <w:spacing w:after="0" w:line="240" w:lineRule="auto"/>
              <w:jc w:val="center"/>
              <w:rPr>
                <w:rFonts w:ascii="Verdana" w:eastAsia="Times New Roman" w:hAnsi="Verdana" w:cs="Calibri"/>
                <w:b/>
                <w:bCs/>
                <w:color w:val="000000"/>
                <w:sz w:val="16"/>
                <w:szCs w:val="16"/>
                <w:lang w:eastAsia="pt-BR"/>
              </w:rPr>
            </w:pPr>
            <w:r w:rsidRPr="00C50EF2">
              <w:rPr>
                <w:rFonts w:ascii="Verdana" w:eastAsia="Times New Roman" w:hAnsi="Verdana" w:cs="Calibri"/>
                <w:b/>
                <w:bCs/>
                <w:color w:val="000000"/>
                <w:sz w:val="16"/>
                <w:szCs w:val="16"/>
                <w:lang w:eastAsia="pt-BR"/>
              </w:rPr>
              <w:t xml:space="preserve"> 30/06/2022 </w:t>
            </w:r>
            <w:r w:rsidRPr="00C50EF2">
              <w:rPr>
                <w:rFonts w:ascii="Verdana" w:eastAsia="Times New Roman" w:hAnsi="Verdana" w:cs="Calibri"/>
                <w:b/>
                <w:bCs/>
                <w:color w:val="000000"/>
                <w:sz w:val="16"/>
                <w:szCs w:val="16"/>
                <w:lang w:eastAsia="pt-BR"/>
              </w:rPr>
              <w:br/>
              <w:t>(6 meses)</w:t>
            </w:r>
          </w:p>
        </w:tc>
        <w:tc>
          <w:tcPr>
            <w:tcW w:w="151" w:type="dxa"/>
            <w:tcBorders>
              <w:top w:val="nil"/>
              <w:left w:val="nil"/>
              <w:bottom w:val="nil"/>
              <w:right w:val="nil"/>
            </w:tcBorders>
            <w:shd w:val="clear" w:color="auto" w:fill="auto"/>
            <w:noWrap/>
            <w:vAlign w:val="bottom"/>
            <w:hideMark/>
          </w:tcPr>
          <w:p w14:paraId="6E408AD8" w14:textId="77777777" w:rsidR="00C50EF2" w:rsidRPr="00C50EF2" w:rsidRDefault="00C50EF2" w:rsidP="00C50EF2">
            <w:pPr>
              <w:spacing w:after="0" w:line="240" w:lineRule="auto"/>
              <w:jc w:val="center"/>
              <w:rPr>
                <w:rFonts w:ascii="Verdana" w:eastAsia="Times New Roman" w:hAnsi="Verdana" w:cs="Calibri"/>
                <w:b/>
                <w:bCs/>
                <w:color w:val="000000"/>
                <w:sz w:val="16"/>
                <w:szCs w:val="16"/>
                <w:lang w:eastAsia="pt-BR"/>
              </w:rPr>
            </w:pPr>
          </w:p>
        </w:tc>
        <w:tc>
          <w:tcPr>
            <w:tcW w:w="1409" w:type="dxa"/>
            <w:tcBorders>
              <w:top w:val="single" w:sz="4" w:space="0" w:color="auto"/>
              <w:left w:val="nil"/>
              <w:bottom w:val="single" w:sz="4" w:space="0" w:color="auto"/>
              <w:right w:val="nil"/>
            </w:tcBorders>
            <w:shd w:val="clear" w:color="000000" w:fill="FFFFFF"/>
            <w:vAlign w:val="center"/>
            <w:hideMark/>
          </w:tcPr>
          <w:p w14:paraId="3D1B6087" w14:textId="77777777" w:rsidR="00C50EF2" w:rsidRPr="00C50EF2" w:rsidRDefault="00C50EF2" w:rsidP="00C50EF2">
            <w:pPr>
              <w:spacing w:after="0" w:line="240" w:lineRule="auto"/>
              <w:jc w:val="center"/>
              <w:rPr>
                <w:rFonts w:ascii="Verdana" w:eastAsia="Times New Roman" w:hAnsi="Verdana" w:cs="Calibri"/>
                <w:b/>
                <w:bCs/>
                <w:color w:val="000000"/>
                <w:sz w:val="16"/>
                <w:szCs w:val="16"/>
                <w:lang w:eastAsia="pt-BR"/>
              </w:rPr>
            </w:pPr>
            <w:r w:rsidRPr="00C50EF2">
              <w:rPr>
                <w:rFonts w:ascii="Verdana" w:eastAsia="Times New Roman" w:hAnsi="Verdana" w:cs="Calibri"/>
                <w:b/>
                <w:bCs/>
                <w:color w:val="000000"/>
                <w:sz w:val="16"/>
                <w:szCs w:val="16"/>
                <w:lang w:eastAsia="pt-BR"/>
              </w:rPr>
              <w:t xml:space="preserve"> 30/06/2022 </w:t>
            </w:r>
            <w:r w:rsidRPr="00C50EF2">
              <w:rPr>
                <w:rFonts w:ascii="Verdana" w:eastAsia="Times New Roman" w:hAnsi="Verdana" w:cs="Calibri"/>
                <w:b/>
                <w:bCs/>
                <w:color w:val="000000"/>
                <w:sz w:val="16"/>
                <w:szCs w:val="16"/>
                <w:lang w:eastAsia="pt-BR"/>
              </w:rPr>
              <w:br/>
              <w:t>(3 meses)</w:t>
            </w:r>
          </w:p>
        </w:tc>
      </w:tr>
      <w:tr w:rsidR="00C50EF2" w:rsidRPr="00C50EF2" w14:paraId="62EA4BDA" w14:textId="77777777" w:rsidTr="00B63957">
        <w:trPr>
          <w:gridAfter w:val="1"/>
          <w:wAfter w:w="405" w:type="dxa"/>
          <w:trHeight w:val="20"/>
        </w:trPr>
        <w:tc>
          <w:tcPr>
            <w:tcW w:w="4450" w:type="dxa"/>
            <w:tcBorders>
              <w:top w:val="nil"/>
              <w:left w:val="nil"/>
              <w:bottom w:val="nil"/>
              <w:right w:val="nil"/>
            </w:tcBorders>
            <w:shd w:val="clear" w:color="auto" w:fill="auto"/>
            <w:noWrap/>
            <w:vAlign w:val="bottom"/>
            <w:hideMark/>
          </w:tcPr>
          <w:p w14:paraId="2EC5DC92" w14:textId="77777777" w:rsidR="00C50EF2" w:rsidRPr="00C50EF2" w:rsidRDefault="00C50EF2" w:rsidP="00C50EF2">
            <w:pPr>
              <w:spacing w:after="0" w:line="240" w:lineRule="auto"/>
              <w:jc w:val="center"/>
              <w:rPr>
                <w:rFonts w:ascii="Verdana" w:eastAsia="Times New Roman" w:hAnsi="Verdana" w:cs="Calibri"/>
                <w:b/>
                <w:bCs/>
                <w:color w:val="000000"/>
                <w:sz w:val="16"/>
                <w:szCs w:val="16"/>
                <w:lang w:eastAsia="pt-BR"/>
              </w:rPr>
            </w:pPr>
          </w:p>
        </w:tc>
        <w:tc>
          <w:tcPr>
            <w:tcW w:w="229" w:type="dxa"/>
            <w:tcBorders>
              <w:top w:val="nil"/>
              <w:left w:val="nil"/>
              <w:bottom w:val="nil"/>
              <w:right w:val="nil"/>
            </w:tcBorders>
            <w:shd w:val="clear" w:color="auto" w:fill="auto"/>
            <w:noWrap/>
            <w:vAlign w:val="center"/>
            <w:hideMark/>
          </w:tcPr>
          <w:p w14:paraId="77AB8BC0" w14:textId="77777777" w:rsidR="00C50EF2" w:rsidRPr="00C50EF2" w:rsidRDefault="00C50EF2" w:rsidP="00C50EF2">
            <w:pPr>
              <w:spacing w:after="0" w:line="240" w:lineRule="auto"/>
              <w:rPr>
                <w:rFonts w:ascii="Times New Roman" w:eastAsia="Times New Roman" w:hAnsi="Times New Roman" w:cs="Times New Roman"/>
                <w:sz w:val="20"/>
                <w:szCs w:val="20"/>
                <w:lang w:eastAsia="pt-BR"/>
              </w:rPr>
            </w:pPr>
          </w:p>
        </w:tc>
        <w:tc>
          <w:tcPr>
            <w:tcW w:w="1417" w:type="dxa"/>
            <w:tcBorders>
              <w:top w:val="nil"/>
              <w:left w:val="nil"/>
              <w:bottom w:val="nil"/>
              <w:right w:val="nil"/>
            </w:tcBorders>
            <w:shd w:val="clear" w:color="auto" w:fill="auto"/>
            <w:noWrap/>
            <w:vAlign w:val="center"/>
            <w:hideMark/>
          </w:tcPr>
          <w:p w14:paraId="0B1D463B" w14:textId="77777777" w:rsidR="00C50EF2" w:rsidRPr="00C50EF2" w:rsidRDefault="00C50EF2" w:rsidP="00C50EF2">
            <w:pPr>
              <w:spacing w:after="0" w:line="240" w:lineRule="auto"/>
              <w:rPr>
                <w:rFonts w:ascii="Times New Roman" w:eastAsia="Times New Roman" w:hAnsi="Times New Roman" w:cs="Times New Roman"/>
                <w:sz w:val="20"/>
                <w:szCs w:val="20"/>
                <w:lang w:eastAsia="pt-BR"/>
              </w:rPr>
            </w:pPr>
          </w:p>
        </w:tc>
        <w:tc>
          <w:tcPr>
            <w:tcW w:w="151" w:type="dxa"/>
            <w:tcBorders>
              <w:top w:val="nil"/>
              <w:left w:val="nil"/>
              <w:bottom w:val="nil"/>
              <w:right w:val="nil"/>
            </w:tcBorders>
            <w:shd w:val="clear" w:color="auto" w:fill="auto"/>
            <w:noWrap/>
            <w:vAlign w:val="center"/>
            <w:hideMark/>
          </w:tcPr>
          <w:p w14:paraId="7D1BF41C" w14:textId="77777777" w:rsidR="00C50EF2" w:rsidRPr="00C50EF2" w:rsidRDefault="00C50EF2" w:rsidP="00C50EF2">
            <w:pPr>
              <w:spacing w:after="0" w:line="240" w:lineRule="auto"/>
              <w:rPr>
                <w:rFonts w:ascii="Times New Roman" w:eastAsia="Times New Roman" w:hAnsi="Times New Roman" w:cs="Times New Roman"/>
                <w:sz w:val="20"/>
                <w:szCs w:val="20"/>
                <w:lang w:eastAsia="pt-BR"/>
              </w:rPr>
            </w:pPr>
          </w:p>
        </w:tc>
        <w:tc>
          <w:tcPr>
            <w:tcW w:w="1271" w:type="dxa"/>
            <w:tcBorders>
              <w:top w:val="nil"/>
              <w:left w:val="nil"/>
              <w:bottom w:val="nil"/>
              <w:right w:val="nil"/>
            </w:tcBorders>
            <w:shd w:val="clear" w:color="auto" w:fill="auto"/>
            <w:noWrap/>
            <w:vAlign w:val="center"/>
            <w:hideMark/>
          </w:tcPr>
          <w:p w14:paraId="3470DC98" w14:textId="77777777" w:rsidR="00C50EF2" w:rsidRPr="00C50EF2" w:rsidRDefault="00C50EF2" w:rsidP="00C50EF2">
            <w:pPr>
              <w:spacing w:after="0" w:line="240" w:lineRule="auto"/>
              <w:rPr>
                <w:rFonts w:ascii="Times New Roman" w:eastAsia="Times New Roman" w:hAnsi="Times New Roman" w:cs="Times New Roman"/>
                <w:sz w:val="20"/>
                <w:szCs w:val="20"/>
                <w:lang w:eastAsia="pt-BR"/>
              </w:rPr>
            </w:pPr>
          </w:p>
        </w:tc>
        <w:tc>
          <w:tcPr>
            <w:tcW w:w="163" w:type="dxa"/>
            <w:tcBorders>
              <w:top w:val="nil"/>
              <w:left w:val="nil"/>
              <w:bottom w:val="nil"/>
              <w:right w:val="nil"/>
            </w:tcBorders>
            <w:shd w:val="clear" w:color="auto" w:fill="auto"/>
            <w:noWrap/>
            <w:vAlign w:val="bottom"/>
            <w:hideMark/>
          </w:tcPr>
          <w:p w14:paraId="68CB87F6" w14:textId="77777777" w:rsidR="00C50EF2" w:rsidRPr="00C50EF2" w:rsidRDefault="00C50EF2" w:rsidP="00C50EF2">
            <w:pPr>
              <w:spacing w:after="0" w:line="240" w:lineRule="auto"/>
              <w:rPr>
                <w:rFonts w:ascii="Times New Roman" w:eastAsia="Times New Roman" w:hAnsi="Times New Roman" w:cs="Times New Roman"/>
                <w:sz w:val="20"/>
                <w:szCs w:val="20"/>
                <w:lang w:eastAsia="pt-BR"/>
              </w:rPr>
            </w:pPr>
          </w:p>
        </w:tc>
        <w:tc>
          <w:tcPr>
            <w:tcW w:w="1590" w:type="dxa"/>
            <w:tcBorders>
              <w:top w:val="nil"/>
              <w:left w:val="nil"/>
              <w:bottom w:val="nil"/>
              <w:right w:val="nil"/>
            </w:tcBorders>
            <w:shd w:val="clear" w:color="auto" w:fill="auto"/>
            <w:noWrap/>
            <w:vAlign w:val="center"/>
            <w:hideMark/>
          </w:tcPr>
          <w:p w14:paraId="632BD2EA" w14:textId="77777777" w:rsidR="00C50EF2" w:rsidRPr="00C50EF2" w:rsidRDefault="00C50EF2" w:rsidP="00C50EF2">
            <w:pPr>
              <w:spacing w:after="0" w:line="240" w:lineRule="auto"/>
              <w:rPr>
                <w:rFonts w:ascii="Times New Roman" w:eastAsia="Times New Roman" w:hAnsi="Times New Roman" w:cs="Times New Roman"/>
                <w:sz w:val="20"/>
                <w:szCs w:val="20"/>
                <w:lang w:eastAsia="pt-BR"/>
              </w:rPr>
            </w:pPr>
          </w:p>
        </w:tc>
        <w:tc>
          <w:tcPr>
            <w:tcW w:w="151" w:type="dxa"/>
            <w:tcBorders>
              <w:top w:val="nil"/>
              <w:left w:val="nil"/>
              <w:bottom w:val="nil"/>
              <w:right w:val="nil"/>
            </w:tcBorders>
            <w:shd w:val="clear" w:color="auto" w:fill="auto"/>
            <w:noWrap/>
            <w:vAlign w:val="center"/>
            <w:hideMark/>
          </w:tcPr>
          <w:p w14:paraId="23474017" w14:textId="77777777" w:rsidR="00C50EF2" w:rsidRPr="00C50EF2" w:rsidRDefault="00C50EF2" w:rsidP="00C50EF2">
            <w:pPr>
              <w:spacing w:after="0" w:line="240" w:lineRule="auto"/>
              <w:rPr>
                <w:rFonts w:ascii="Times New Roman" w:eastAsia="Times New Roman" w:hAnsi="Times New Roman" w:cs="Times New Roman"/>
                <w:sz w:val="20"/>
                <w:szCs w:val="20"/>
                <w:lang w:eastAsia="pt-BR"/>
              </w:rPr>
            </w:pPr>
          </w:p>
        </w:tc>
        <w:tc>
          <w:tcPr>
            <w:tcW w:w="1409" w:type="dxa"/>
            <w:tcBorders>
              <w:top w:val="nil"/>
              <w:left w:val="nil"/>
              <w:bottom w:val="nil"/>
              <w:right w:val="nil"/>
            </w:tcBorders>
            <w:shd w:val="clear" w:color="auto" w:fill="auto"/>
            <w:noWrap/>
            <w:vAlign w:val="center"/>
            <w:hideMark/>
          </w:tcPr>
          <w:p w14:paraId="7F72671A" w14:textId="77777777" w:rsidR="00C50EF2" w:rsidRPr="00C50EF2" w:rsidRDefault="00C50EF2" w:rsidP="00C50EF2">
            <w:pPr>
              <w:spacing w:after="0" w:line="240" w:lineRule="auto"/>
              <w:rPr>
                <w:rFonts w:ascii="Times New Roman" w:eastAsia="Times New Roman" w:hAnsi="Times New Roman" w:cs="Times New Roman"/>
                <w:sz w:val="20"/>
                <w:szCs w:val="20"/>
                <w:lang w:eastAsia="pt-BR"/>
              </w:rPr>
            </w:pPr>
          </w:p>
        </w:tc>
      </w:tr>
      <w:tr w:rsidR="00C50EF2" w:rsidRPr="00C50EF2" w14:paraId="43825460" w14:textId="77777777" w:rsidTr="00B63957">
        <w:trPr>
          <w:gridAfter w:val="1"/>
          <w:wAfter w:w="405" w:type="dxa"/>
          <w:trHeight w:val="20"/>
        </w:trPr>
        <w:tc>
          <w:tcPr>
            <w:tcW w:w="4450" w:type="dxa"/>
            <w:tcBorders>
              <w:top w:val="nil"/>
              <w:left w:val="nil"/>
              <w:bottom w:val="nil"/>
              <w:right w:val="nil"/>
            </w:tcBorders>
            <w:shd w:val="clear" w:color="auto" w:fill="auto"/>
            <w:noWrap/>
            <w:vAlign w:val="center"/>
            <w:hideMark/>
          </w:tcPr>
          <w:p w14:paraId="516CCA54" w14:textId="77777777" w:rsidR="00C50EF2" w:rsidRPr="00C50EF2" w:rsidRDefault="00C50EF2" w:rsidP="00C50EF2">
            <w:pPr>
              <w:spacing w:after="0" w:line="240" w:lineRule="auto"/>
              <w:rPr>
                <w:rFonts w:ascii="Times New Roman" w:eastAsia="Times New Roman" w:hAnsi="Times New Roman" w:cs="Times New Roman"/>
                <w:sz w:val="20"/>
                <w:szCs w:val="20"/>
                <w:lang w:eastAsia="pt-BR"/>
              </w:rPr>
            </w:pPr>
          </w:p>
        </w:tc>
        <w:tc>
          <w:tcPr>
            <w:tcW w:w="229" w:type="dxa"/>
            <w:tcBorders>
              <w:top w:val="nil"/>
              <w:left w:val="nil"/>
              <w:bottom w:val="nil"/>
              <w:right w:val="nil"/>
            </w:tcBorders>
            <w:shd w:val="clear" w:color="auto" w:fill="auto"/>
            <w:noWrap/>
            <w:vAlign w:val="bottom"/>
            <w:hideMark/>
          </w:tcPr>
          <w:p w14:paraId="559AD414" w14:textId="77777777" w:rsidR="00C50EF2" w:rsidRPr="00C50EF2" w:rsidRDefault="00C50EF2" w:rsidP="00C50EF2">
            <w:pPr>
              <w:spacing w:after="0" w:line="240" w:lineRule="auto"/>
              <w:rPr>
                <w:rFonts w:ascii="Times New Roman" w:eastAsia="Times New Roman" w:hAnsi="Times New Roman" w:cs="Times New Roman"/>
                <w:sz w:val="20"/>
                <w:szCs w:val="20"/>
                <w:lang w:eastAsia="pt-BR"/>
              </w:rPr>
            </w:pPr>
          </w:p>
        </w:tc>
        <w:tc>
          <w:tcPr>
            <w:tcW w:w="1417" w:type="dxa"/>
            <w:tcBorders>
              <w:top w:val="nil"/>
              <w:left w:val="nil"/>
              <w:bottom w:val="nil"/>
              <w:right w:val="nil"/>
            </w:tcBorders>
            <w:shd w:val="clear" w:color="auto" w:fill="auto"/>
            <w:noWrap/>
            <w:vAlign w:val="center"/>
            <w:hideMark/>
          </w:tcPr>
          <w:p w14:paraId="2FC6DBC2" w14:textId="77777777" w:rsidR="00C50EF2" w:rsidRPr="00C50EF2" w:rsidRDefault="00C50EF2" w:rsidP="00C50EF2">
            <w:pPr>
              <w:spacing w:after="0" w:line="240" w:lineRule="auto"/>
              <w:rPr>
                <w:rFonts w:ascii="Times New Roman" w:eastAsia="Times New Roman" w:hAnsi="Times New Roman" w:cs="Times New Roman"/>
                <w:sz w:val="20"/>
                <w:szCs w:val="20"/>
                <w:lang w:eastAsia="pt-BR"/>
              </w:rPr>
            </w:pPr>
          </w:p>
        </w:tc>
        <w:tc>
          <w:tcPr>
            <w:tcW w:w="151" w:type="dxa"/>
            <w:tcBorders>
              <w:top w:val="nil"/>
              <w:left w:val="nil"/>
              <w:bottom w:val="nil"/>
              <w:right w:val="nil"/>
            </w:tcBorders>
            <w:shd w:val="clear" w:color="auto" w:fill="auto"/>
            <w:noWrap/>
            <w:vAlign w:val="bottom"/>
            <w:hideMark/>
          </w:tcPr>
          <w:p w14:paraId="7AE968CE" w14:textId="77777777" w:rsidR="00C50EF2" w:rsidRPr="00C50EF2" w:rsidRDefault="00C50EF2" w:rsidP="00C50EF2">
            <w:pPr>
              <w:spacing w:after="0" w:line="240" w:lineRule="auto"/>
              <w:jc w:val="right"/>
              <w:rPr>
                <w:rFonts w:ascii="Times New Roman" w:eastAsia="Times New Roman" w:hAnsi="Times New Roman" w:cs="Times New Roman"/>
                <w:sz w:val="20"/>
                <w:szCs w:val="20"/>
                <w:lang w:eastAsia="pt-BR"/>
              </w:rPr>
            </w:pPr>
          </w:p>
        </w:tc>
        <w:tc>
          <w:tcPr>
            <w:tcW w:w="1271" w:type="dxa"/>
            <w:tcBorders>
              <w:top w:val="nil"/>
              <w:left w:val="nil"/>
              <w:bottom w:val="nil"/>
              <w:right w:val="nil"/>
            </w:tcBorders>
            <w:shd w:val="clear" w:color="auto" w:fill="auto"/>
            <w:noWrap/>
            <w:vAlign w:val="center"/>
            <w:hideMark/>
          </w:tcPr>
          <w:p w14:paraId="6766A40A" w14:textId="77777777" w:rsidR="00C50EF2" w:rsidRPr="00C50EF2" w:rsidRDefault="00C50EF2" w:rsidP="00C50EF2">
            <w:pPr>
              <w:spacing w:after="0" w:line="240" w:lineRule="auto"/>
              <w:rPr>
                <w:rFonts w:ascii="Times New Roman" w:eastAsia="Times New Roman" w:hAnsi="Times New Roman" w:cs="Times New Roman"/>
                <w:sz w:val="20"/>
                <w:szCs w:val="20"/>
                <w:lang w:eastAsia="pt-BR"/>
              </w:rPr>
            </w:pPr>
          </w:p>
        </w:tc>
        <w:tc>
          <w:tcPr>
            <w:tcW w:w="163" w:type="dxa"/>
            <w:tcBorders>
              <w:top w:val="nil"/>
              <w:left w:val="nil"/>
              <w:bottom w:val="nil"/>
              <w:right w:val="nil"/>
            </w:tcBorders>
            <w:shd w:val="clear" w:color="auto" w:fill="auto"/>
            <w:noWrap/>
            <w:vAlign w:val="bottom"/>
            <w:hideMark/>
          </w:tcPr>
          <w:p w14:paraId="67B0018D" w14:textId="77777777" w:rsidR="00C50EF2" w:rsidRPr="00C50EF2" w:rsidRDefault="00C50EF2" w:rsidP="00C50EF2">
            <w:pPr>
              <w:spacing w:after="0" w:line="240" w:lineRule="auto"/>
              <w:jc w:val="right"/>
              <w:rPr>
                <w:rFonts w:ascii="Times New Roman" w:eastAsia="Times New Roman" w:hAnsi="Times New Roman" w:cs="Times New Roman"/>
                <w:sz w:val="20"/>
                <w:szCs w:val="20"/>
                <w:lang w:eastAsia="pt-BR"/>
              </w:rPr>
            </w:pPr>
          </w:p>
        </w:tc>
        <w:tc>
          <w:tcPr>
            <w:tcW w:w="1590" w:type="dxa"/>
            <w:tcBorders>
              <w:top w:val="nil"/>
              <w:left w:val="nil"/>
              <w:bottom w:val="nil"/>
              <w:right w:val="nil"/>
            </w:tcBorders>
            <w:shd w:val="clear" w:color="auto" w:fill="auto"/>
            <w:noWrap/>
            <w:vAlign w:val="center"/>
            <w:hideMark/>
          </w:tcPr>
          <w:p w14:paraId="663869F8" w14:textId="77777777" w:rsidR="00C50EF2" w:rsidRPr="00C50EF2" w:rsidRDefault="00C50EF2" w:rsidP="00C50EF2">
            <w:pPr>
              <w:spacing w:after="0" w:line="240" w:lineRule="auto"/>
              <w:rPr>
                <w:rFonts w:ascii="Times New Roman" w:eastAsia="Times New Roman" w:hAnsi="Times New Roman" w:cs="Times New Roman"/>
                <w:sz w:val="20"/>
                <w:szCs w:val="20"/>
                <w:lang w:eastAsia="pt-BR"/>
              </w:rPr>
            </w:pPr>
          </w:p>
        </w:tc>
        <w:tc>
          <w:tcPr>
            <w:tcW w:w="151" w:type="dxa"/>
            <w:tcBorders>
              <w:top w:val="nil"/>
              <w:left w:val="nil"/>
              <w:bottom w:val="nil"/>
              <w:right w:val="nil"/>
            </w:tcBorders>
            <w:shd w:val="clear" w:color="auto" w:fill="auto"/>
            <w:noWrap/>
            <w:vAlign w:val="bottom"/>
            <w:hideMark/>
          </w:tcPr>
          <w:p w14:paraId="1D463094" w14:textId="77777777" w:rsidR="00C50EF2" w:rsidRPr="00C50EF2" w:rsidRDefault="00C50EF2" w:rsidP="00C50EF2">
            <w:pPr>
              <w:spacing w:after="0" w:line="240" w:lineRule="auto"/>
              <w:jc w:val="right"/>
              <w:rPr>
                <w:rFonts w:ascii="Times New Roman" w:eastAsia="Times New Roman" w:hAnsi="Times New Roman" w:cs="Times New Roman"/>
                <w:sz w:val="20"/>
                <w:szCs w:val="20"/>
                <w:lang w:eastAsia="pt-BR"/>
              </w:rPr>
            </w:pPr>
          </w:p>
        </w:tc>
        <w:tc>
          <w:tcPr>
            <w:tcW w:w="1409" w:type="dxa"/>
            <w:tcBorders>
              <w:top w:val="nil"/>
              <w:left w:val="nil"/>
              <w:bottom w:val="nil"/>
              <w:right w:val="nil"/>
            </w:tcBorders>
            <w:shd w:val="clear" w:color="auto" w:fill="auto"/>
            <w:noWrap/>
            <w:vAlign w:val="center"/>
            <w:hideMark/>
          </w:tcPr>
          <w:p w14:paraId="28C25D4E" w14:textId="77777777" w:rsidR="00C50EF2" w:rsidRPr="00C50EF2" w:rsidRDefault="00C50EF2" w:rsidP="00C50EF2">
            <w:pPr>
              <w:spacing w:after="0" w:line="240" w:lineRule="auto"/>
              <w:rPr>
                <w:rFonts w:ascii="Times New Roman" w:eastAsia="Times New Roman" w:hAnsi="Times New Roman" w:cs="Times New Roman"/>
                <w:sz w:val="20"/>
                <w:szCs w:val="20"/>
                <w:lang w:eastAsia="pt-BR"/>
              </w:rPr>
            </w:pPr>
          </w:p>
        </w:tc>
      </w:tr>
      <w:tr w:rsidR="00C50EF2" w:rsidRPr="00C50EF2" w14:paraId="02E7669D" w14:textId="77777777" w:rsidTr="00B63957">
        <w:trPr>
          <w:gridAfter w:val="1"/>
          <w:wAfter w:w="405" w:type="dxa"/>
          <w:trHeight w:val="20"/>
        </w:trPr>
        <w:tc>
          <w:tcPr>
            <w:tcW w:w="4450" w:type="dxa"/>
            <w:tcBorders>
              <w:top w:val="nil"/>
              <w:left w:val="nil"/>
              <w:bottom w:val="nil"/>
              <w:right w:val="nil"/>
            </w:tcBorders>
            <w:shd w:val="clear" w:color="auto" w:fill="auto"/>
            <w:noWrap/>
            <w:vAlign w:val="center"/>
            <w:hideMark/>
          </w:tcPr>
          <w:p w14:paraId="79EBB4F2" w14:textId="77777777" w:rsidR="00C50EF2" w:rsidRPr="00C50EF2" w:rsidRDefault="00C50EF2" w:rsidP="00C50EF2">
            <w:pPr>
              <w:spacing w:after="0" w:line="240" w:lineRule="auto"/>
              <w:rPr>
                <w:rFonts w:ascii="Verdana" w:eastAsia="Times New Roman" w:hAnsi="Verdana" w:cs="Calibri"/>
                <w:color w:val="000000"/>
                <w:sz w:val="18"/>
                <w:szCs w:val="18"/>
                <w:lang w:eastAsia="pt-BR"/>
              </w:rPr>
            </w:pPr>
            <w:r w:rsidRPr="00C50EF2">
              <w:rPr>
                <w:rFonts w:ascii="Verdana" w:eastAsia="Times New Roman" w:hAnsi="Verdana" w:cs="Calibri"/>
                <w:color w:val="000000"/>
                <w:sz w:val="18"/>
                <w:szCs w:val="18"/>
                <w:lang w:eastAsia="pt-BR"/>
              </w:rPr>
              <w:t xml:space="preserve">    Encargos sobre uso da rede elétrica</w:t>
            </w:r>
          </w:p>
        </w:tc>
        <w:tc>
          <w:tcPr>
            <w:tcW w:w="229" w:type="dxa"/>
            <w:tcBorders>
              <w:top w:val="nil"/>
              <w:left w:val="nil"/>
              <w:bottom w:val="nil"/>
              <w:right w:val="nil"/>
            </w:tcBorders>
            <w:shd w:val="clear" w:color="auto" w:fill="auto"/>
            <w:noWrap/>
            <w:vAlign w:val="center"/>
            <w:hideMark/>
          </w:tcPr>
          <w:p w14:paraId="6289B274" w14:textId="77777777" w:rsidR="00C50EF2" w:rsidRPr="00C50EF2" w:rsidRDefault="00C50EF2" w:rsidP="00C50EF2">
            <w:pPr>
              <w:spacing w:after="0" w:line="240" w:lineRule="auto"/>
              <w:rPr>
                <w:rFonts w:ascii="Verdana" w:eastAsia="Times New Roman" w:hAnsi="Verdana" w:cs="Calibri"/>
                <w:color w:val="000000"/>
                <w:sz w:val="18"/>
                <w:szCs w:val="18"/>
                <w:lang w:eastAsia="pt-BR"/>
              </w:rPr>
            </w:pPr>
          </w:p>
        </w:tc>
        <w:tc>
          <w:tcPr>
            <w:tcW w:w="1417" w:type="dxa"/>
            <w:tcBorders>
              <w:top w:val="nil"/>
              <w:left w:val="nil"/>
              <w:bottom w:val="nil"/>
              <w:right w:val="nil"/>
            </w:tcBorders>
            <w:shd w:val="clear" w:color="auto" w:fill="auto"/>
            <w:noWrap/>
            <w:vAlign w:val="center"/>
            <w:hideMark/>
          </w:tcPr>
          <w:p w14:paraId="579006CC" w14:textId="58F27F8F" w:rsidR="00C50EF2" w:rsidRPr="00C50EF2" w:rsidRDefault="00C50EF2" w:rsidP="00C50EF2">
            <w:pPr>
              <w:spacing w:after="0" w:line="240" w:lineRule="auto"/>
              <w:jc w:val="right"/>
              <w:rPr>
                <w:rFonts w:ascii="Verdana" w:eastAsia="Times New Roman" w:hAnsi="Verdana" w:cs="Calibri"/>
                <w:color w:val="000000"/>
                <w:sz w:val="18"/>
                <w:szCs w:val="18"/>
                <w:lang w:eastAsia="pt-BR"/>
              </w:rPr>
            </w:pPr>
            <w:r w:rsidRPr="00C50EF2">
              <w:rPr>
                <w:rFonts w:ascii="Verdana" w:eastAsia="Times New Roman" w:hAnsi="Verdana" w:cs="Calibri"/>
                <w:color w:val="000000"/>
                <w:sz w:val="18"/>
                <w:szCs w:val="18"/>
                <w:lang w:eastAsia="pt-BR"/>
              </w:rPr>
              <w:t>-</w:t>
            </w:r>
          </w:p>
        </w:tc>
        <w:tc>
          <w:tcPr>
            <w:tcW w:w="151" w:type="dxa"/>
            <w:tcBorders>
              <w:top w:val="nil"/>
              <w:left w:val="nil"/>
              <w:bottom w:val="nil"/>
              <w:right w:val="nil"/>
            </w:tcBorders>
            <w:shd w:val="clear" w:color="auto" w:fill="auto"/>
            <w:noWrap/>
            <w:vAlign w:val="center"/>
            <w:hideMark/>
          </w:tcPr>
          <w:p w14:paraId="4B61A736" w14:textId="77777777" w:rsidR="00C50EF2" w:rsidRPr="00C50EF2" w:rsidRDefault="00C50EF2" w:rsidP="00C50EF2">
            <w:pPr>
              <w:spacing w:after="0" w:line="240" w:lineRule="auto"/>
              <w:jc w:val="right"/>
              <w:rPr>
                <w:rFonts w:ascii="Verdana" w:eastAsia="Times New Roman" w:hAnsi="Verdana" w:cs="Calibri"/>
                <w:color w:val="000000"/>
                <w:sz w:val="18"/>
                <w:szCs w:val="18"/>
                <w:lang w:eastAsia="pt-BR"/>
              </w:rPr>
            </w:pPr>
          </w:p>
        </w:tc>
        <w:tc>
          <w:tcPr>
            <w:tcW w:w="1271" w:type="dxa"/>
            <w:tcBorders>
              <w:top w:val="nil"/>
              <w:left w:val="nil"/>
              <w:bottom w:val="nil"/>
              <w:right w:val="nil"/>
            </w:tcBorders>
            <w:shd w:val="clear" w:color="auto" w:fill="auto"/>
            <w:noWrap/>
            <w:vAlign w:val="center"/>
            <w:hideMark/>
          </w:tcPr>
          <w:p w14:paraId="7C589A0E" w14:textId="0F8818BA" w:rsidR="00C50EF2" w:rsidRPr="00C50EF2" w:rsidRDefault="00C50EF2" w:rsidP="00C50EF2">
            <w:pPr>
              <w:spacing w:after="0" w:line="240" w:lineRule="auto"/>
              <w:jc w:val="right"/>
              <w:rPr>
                <w:rFonts w:ascii="Verdana" w:eastAsia="Times New Roman" w:hAnsi="Verdana" w:cs="Calibri"/>
                <w:color w:val="000000"/>
                <w:sz w:val="18"/>
                <w:szCs w:val="18"/>
                <w:lang w:eastAsia="pt-BR"/>
              </w:rPr>
            </w:pPr>
            <w:r w:rsidRPr="00C50EF2">
              <w:rPr>
                <w:rFonts w:ascii="Verdana" w:eastAsia="Times New Roman" w:hAnsi="Verdana" w:cs="Calibri"/>
                <w:color w:val="000000"/>
                <w:sz w:val="18"/>
                <w:szCs w:val="18"/>
                <w:lang w:eastAsia="pt-BR"/>
              </w:rPr>
              <w:t>-</w:t>
            </w:r>
          </w:p>
        </w:tc>
        <w:tc>
          <w:tcPr>
            <w:tcW w:w="163" w:type="dxa"/>
            <w:tcBorders>
              <w:top w:val="nil"/>
              <w:left w:val="nil"/>
              <w:bottom w:val="nil"/>
              <w:right w:val="nil"/>
            </w:tcBorders>
            <w:shd w:val="clear" w:color="auto" w:fill="auto"/>
            <w:noWrap/>
            <w:vAlign w:val="bottom"/>
            <w:hideMark/>
          </w:tcPr>
          <w:p w14:paraId="6E1B0A50" w14:textId="77777777" w:rsidR="00C50EF2" w:rsidRPr="00C50EF2" w:rsidRDefault="00C50EF2" w:rsidP="00C50EF2">
            <w:pPr>
              <w:spacing w:after="0" w:line="240" w:lineRule="auto"/>
              <w:jc w:val="right"/>
              <w:rPr>
                <w:rFonts w:ascii="Verdana" w:eastAsia="Times New Roman" w:hAnsi="Verdana" w:cs="Calibri"/>
                <w:color w:val="000000"/>
                <w:sz w:val="18"/>
                <w:szCs w:val="18"/>
                <w:lang w:eastAsia="pt-BR"/>
              </w:rPr>
            </w:pPr>
          </w:p>
        </w:tc>
        <w:tc>
          <w:tcPr>
            <w:tcW w:w="1590" w:type="dxa"/>
            <w:tcBorders>
              <w:top w:val="nil"/>
              <w:left w:val="nil"/>
              <w:bottom w:val="nil"/>
              <w:right w:val="nil"/>
            </w:tcBorders>
            <w:shd w:val="clear" w:color="auto" w:fill="auto"/>
            <w:noWrap/>
            <w:vAlign w:val="center"/>
            <w:hideMark/>
          </w:tcPr>
          <w:p w14:paraId="1E678963" w14:textId="1060C2E5" w:rsidR="00C50EF2" w:rsidRPr="00C50EF2" w:rsidRDefault="00C50EF2" w:rsidP="00C50EF2">
            <w:pPr>
              <w:spacing w:after="0" w:line="240" w:lineRule="auto"/>
              <w:jc w:val="right"/>
              <w:rPr>
                <w:rFonts w:ascii="Verdana" w:eastAsia="Times New Roman" w:hAnsi="Verdana" w:cs="Calibri"/>
                <w:color w:val="000000"/>
                <w:sz w:val="18"/>
                <w:szCs w:val="18"/>
                <w:lang w:eastAsia="pt-BR"/>
              </w:rPr>
            </w:pPr>
            <w:r w:rsidRPr="00C50EF2">
              <w:rPr>
                <w:rFonts w:ascii="Verdana" w:eastAsia="Times New Roman" w:hAnsi="Verdana" w:cs="Calibri"/>
                <w:color w:val="000000"/>
                <w:sz w:val="18"/>
                <w:szCs w:val="18"/>
                <w:lang w:eastAsia="pt-BR"/>
              </w:rPr>
              <w:t>(16.530)</w:t>
            </w:r>
          </w:p>
        </w:tc>
        <w:tc>
          <w:tcPr>
            <w:tcW w:w="151" w:type="dxa"/>
            <w:tcBorders>
              <w:top w:val="nil"/>
              <w:left w:val="nil"/>
              <w:bottom w:val="nil"/>
              <w:right w:val="nil"/>
            </w:tcBorders>
            <w:shd w:val="clear" w:color="auto" w:fill="auto"/>
            <w:noWrap/>
            <w:vAlign w:val="center"/>
            <w:hideMark/>
          </w:tcPr>
          <w:p w14:paraId="050E6B38" w14:textId="77777777" w:rsidR="00C50EF2" w:rsidRPr="00C50EF2" w:rsidRDefault="00C50EF2" w:rsidP="00C50EF2">
            <w:pPr>
              <w:spacing w:after="0" w:line="240" w:lineRule="auto"/>
              <w:jc w:val="right"/>
              <w:rPr>
                <w:rFonts w:ascii="Verdana" w:eastAsia="Times New Roman" w:hAnsi="Verdana" w:cs="Calibri"/>
                <w:color w:val="000000"/>
                <w:sz w:val="18"/>
                <w:szCs w:val="18"/>
                <w:lang w:eastAsia="pt-BR"/>
              </w:rPr>
            </w:pPr>
          </w:p>
        </w:tc>
        <w:tc>
          <w:tcPr>
            <w:tcW w:w="1409" w:type="dxa"/>
            <w:tcBorders>
              <w:top w:val="nil"/>
              <w:left w:val="nil"/>
              <w:bottom w:val="nil"/>
              <w:right w:val="nil"/>
            </w:tcBorders>
            <w:shd w:val="clear" w:color="auto" w:fill="auto"/>
            <w:noWrap/>
            <w:vAlign w:val="center"/>
            <w:hideMark/>
          </w:tcPr>
          <w:p w14:paraId="1533E510" w14:textId="41DD3D75" w:rsidR="00C50EF2" w:rsidRPr="00C50EF2" w:rsidRDefault="00C50EF2" w:rsidP="00C50EF2">
            <w:pPr>
              <w:spacing w:after="0" w:line="240" w:lineRule="auto"/>
              <w:jc w:val="right"/>
              <w:rPr>
                <w:rFonts w:ascii="Verdana" w:eastAsia="Times New Roman" w:hAnsi="Verdana" w:cs="Calibri"/>
                <w:color w:val="000000"/>
                <w:sz w:val="18"/>
                <w:szCs w:val="18"/>
                <w:lang w:eastAsia="pt-BR"/>
              </w:rPr>
            </w:pPr>
            <w:r w:rsidRPr="00C50EF2">
              <w:rPr>
                <w:rFonts w:ascii="Verdana" w:eastAsia="Times New Roman" w:hAnsi="Verdana" w:cs="Calibri"/>
                <w:color w:val="000000"/>
                <w:sz w:val="18"/>
                <w:szCs w:val="18"/>
                <w:lang w:eastAsia="pt-BR"/>
              </w:rPr>
              <w:t>(16.530)</w:t>
            </w:r>
          </w:p>
        </w:tc>
      </w:tr>
      <w:tr w:rsidR="00C50EF2" w:rsidRPr="00C50EF2" w14:paraId="19798D61" w14:textId="77777777" w:rsidTr="00B63957">
        <w:trPr>
          <w:gridAfter w:val="1"/>
          <w:wAfter w:w="405" w:type="dxa"/>
          <w:trHeight w:val="20"/>
        </w:trPr>
        <w:tc>
          <w:tcPr>
            <w:tcW w:w="4450" w:type="dxa"/>
            <w:tcBorders>
              <w:top w:val="nil"/>
              <w:left w:val="nil"/>
              <w:bottom w:val="nil"/>
              <w:right w:val="nil"/>
            </w:tcBorders>
            <w:shd w:val="clear" w:color="auto" w:fill="auto"/>
            <w:noWrap/>
            <w:vAlign w:val="center"/>
            <w:hideMark/>
          </w:tcPr>
          <w:p w14:paraId="025859AC" w14:textId="77777777" w:rsidR="00C50EF2" w:rsidRPr="00C50EF2" w:rsidRDefault="00C50EF2" w:rsidP="00C50EF2">
            <w:pPr>
              <w:spacing w:after="0" w:line="240" w:lineRule="auto"/>
              <w:rPr>
                <w:rFonts w:ascii="Verdana" w:eastAsia="Times New Roman" w:hAnsi="Verdana" w:cs="Calibri"/>
                <w:color w:val="000000"/>
                <w:sz w:val="18"/>
                <w:szCs w:val="18"/>
                <w:lang w:eastAsia="pt-BR"/>
              </w:rPr>
            </w:pPr>
            <w:r w:rsidRPr="00C50EF2">
              <w:rPr>
                <w:rFonts w:ascii="Verdana" w:eastAsia="Times New Roman" w:hAnsi="Verdana" w:cs="Calibri"/>
                <w:color w:val="000000"/>
                <w:sz w:val="18"/>
                <w:szCs w:val="18"/>
                <w:lang w:eastAsia="pt-BR"/>
              </w:rPr>
              <w:t xml:space="preserve">    Pessoal, Material e Serviços</w:t>
            </w:r>
          </w:p>
        </w:tc>
        <w:tc>
          <w:tcPr>
            <w:tcW w:w="229" w:type="dxa"/>
            <w:tcBorders>
              <w:top w:val="nil"/>
              <w:left w:val="nil"/>
              <w:bottom w:val="nil"/>
              <w:right w:val="nil"/>
            </w:tcBorders>
            <w:shd w:val="clear" w:color="auto" w:fill="auto"/>
            <w:noWrap/>
            <w:vAlign w:val="bottom"/>
            <w:hideMark/>
          </w:tcPr>
          <w:p w14:paraId="1274DDA7" w14:textId="77777777" w:rsidR="00C50EF2" w:rsidRPr="00C50EF2" w:rsidRDefault="00C50EF2" w:rsidP="00C50EF2">
            <w:pPr>
              <w:spacing w:after="0" w:line="240" w:lineRule="auto"/>
              <w:rPr>
                <w:rFonts w:ascii="Verdana" w:eastAsia="Times New Roman" w:hAnsi="Verdana" w:cs="Calibri"/>
                <w:color w:val="000000"/>
                <w:sz w:val="18"/>
                <w:szCs w:val="18"/>
                <w:lang w:eastAsia="pt-BR"/>
              </w:rPr>
            </w:pPr>
          </w:p>
        </w:tc>
        <w:tc>
          <w:tcPr>
            <w:tcW w:w="1417" w:type="dxa"/>
            <w:tcBorders>
              <w:top w:val="nil"/>
              <w:left w:val="nil"/>
              <w:bottom w:val="nil"/>
              <w:right w:val="nil"/>
            </w:tcBorders>
            <w:shd w:val="clear" w:color="auto" w:fill="auto"/>
            <w:noWrap/>
            <w:vAlign w:val="center"/>
            <w:hideMark/>
          </w:tcPr>
          <w:p w14:paraId="286802B1" w14:textId="42486963" w:rsidR="00C50EF2" w:rsidRPr="00C50EF2" w:rsidRDefault="00C50EF2" w:rsidP="00C50EF2">
            <w:pPr>
              <w:spacing w:after="0" w:line="240" w:lineRule="auto"/>
              <w:jc w:val="right"/>
              <w:rPr>
                <w:rFonts w:ascii="Verdana" w:eastAsia="Times New Roman" w:hAnsi="Verdana" w:cs="Calibri"/>
                <w:color w:val="000000"/>
                <w:sz w:val="18"/>
                <w:szCs w:val="18"/>
                <w:lang w:eastAsia="pt-BR"/>
              </w:rPr>
            </w:pPr>
            <w:r w:rsidRPr="00C50EF2">
              <w:rPr>
                <w:rFonts w:ascii="Verdana" w:eastAsia="Times New Roman" w:hAnsi="Verdana" w:cs="Calibri"/>
                <w:color w:val="000000"/>
                <w:sz w:val="18"/>
                <w:szCs w:val="18"/>
                <w:lang w:eastAsia="pt-BR"/>
              </w:rPr>
              <w:t>-</w:t>
            </w:r>
          </w:p>
        </w:tc>
        <w:tc>
          <w:tcPr>
            <w:tcW w:w="151" w:type="dxa"/>
            <w:tcBorders>
              <w:top w:val="nil"/>
              <w:left w:val="nil"/>
              <w:bottom w:val="nil"/>
              <w:right w:val="nil"/>
            </w:tcBorders>
            <w:shd w:val="clear" w:color="auto" w:fill="auto"/>
            <w:noWrap/>
            <w:vAlign w:val="bottom"/>
            <w:hideMark/>
          </w:tcPr>
          <w:p w14:paraId="393C06E7" w14:textId="77777777" w:rsidR="00C50EF2" w:rsidRPr="00C50EF2" w:rsidRDefault="00C50EF2" w:rsidP="00C50EF2">
            <w:pPr>
              <w:spacing w:after="0" w:line="240" w:lineRule="auto"/>
              <w:jc w:val="right"/>
              <w:rPr>
                <w:rFonts w:ascii="Verdana" w:eastAsia="Times New Roman" w:hAnsi="Verdana" w:cs="Calibri"/>
                <w:color w:val="000000"/>
                <w:sz w:val="18"/>
                <w:szCs w:val="18"/>
                <w:lang w:eastAsia="pt-BR"/>
              </w:rPr>
            </w:pPr>
          </w:p>
        </w:tc>
        <w:tc>
          <w:tcPr>
            <w:tcW w:w="1271" w:type="dxa"/>
            <w:tcBorders>
              <w:top w:val="nil"/>
              <w:left w:val="nil"/>
              <w:bottom w:val="nil"/>
              <w:right w:val="nil"/>
            </w:tcBorders>
            <w:shd w:val="clear" w:color="auto" w:fill="auto"/>
            <w:noWrap/>
            <w:vAlign w:val="center"/>
            <w:hideMark/>
          </w:tcPr>
          <w:p w14:paraId="4EE1A1EF" w14:textId="62DABE49" w:rsidR="00C50EF2" w:rsidRPr="00C50EF2" w:rsidRDefault="00C50EF2" w:rsidP="00C50EF2">
            <w:pPr>
              <w:spacing w:after="0" w:line="240" w:lineRule="auto"/>
              <w:jc w:val="right"/>
              <w:rPr>
                <w:rFonts w:ascii="Verdana" w:eastAsia="Times New Roman" w:hAnsi="Verdana" w:cs="Calibri"/>
                <w:color w:val="000000"/>
                <w:sz w:val="18"/>
                <w:szCs w:val="18"/>
                <w:lang w:eastAsia="pt-BR"/>
              </w:rPr>
            </w:pPr>
            <w:r w:rsidRPr="00C50EF2">
              <w:rPr>
                <w:rFonts w:ascii="Verdana" w:eastAsia="Times New Roman" w:hAnsi="Verdana" w:cs="Calibri"/>
                <w:color w:val="000000"/>
                <w:sz w:val="18"/>
                <w:szCs w:val="18"/>
                <w:lang w:eastAsia="pt-BR"/>
              </w:rPr>
              <w:t>-</w:t>
            </w:r>
          </w:p>
        </w:tc>
        <w:tc>
          <w:tcPr>
            <w:tcW w:w="163" w:type="dxa"/>
            <w:tcBorders>
              <w:top w:val="nil"/>
              <w:left w:val="nil"/>
              <w:bottom w:val="nil"/>
              <w:right w:val="nil"/>
            </w:tcBorders>
            <w:shd w:val="clear" w:color="auto" w:fill="auto"/>
            <w:noWrap/>
            <w:vAlign w:val="bottom"/>
            <w:hideMark/>
          </w:tcPr>
          <w:p w14:paraId="410E3BBF" w14:textId="77777777" w:rsidR="00C50EF2" w:rsidRPr="00C50EF2" w:rsidRDefault="00C50EF2" w:rsidP="00C50EF2">
            <w:pPr>
              <w:spacing w:after="0" w:line="240" w:lineRule="auto"/>
              <w:jc w:val="right"/>
              <w:rPr>
                <w:rFonts w:ascii="Verdana" w:eastAsia="Times New Roman" w:hAnsi="Verdana" w:cs="Calibri"/>
                <w:color w:val="000000"/>
                <w:sz w:val="18"/>
                <w:szCs w:val="18"/>
                <w:lang w:eastAsia="pt-BR"/>
              </w:rPr>
            </w:pPr>
          </w:p>
        </w:tc>
        <w:tc>
          <w:tcPr>
            <w:tcW w:w="1590" w:type="dxa"/>
            <w:tcBorders>
              <w:top w:val="nil"/>
              <w:left w:val="nil"/>
              <w:bottom w:val="nil"/>
              <w:right w:val="nil"/>
            </w:tcBorders>
            <w:shd w:val="clear" w:color="auto" w:fill="auto"/>
            <w:noWrap/>
            <w:vAlign w:val="center"/>
            <w:hideMark/>
          </w:tcPr>
          <w:p w14:paraId="5A16D3C5" w14:textId="60D47742" w:rsidR="00C50EF2" w:rsidRPr="00C50EF2" w:rsidRDefault="00C50EF2" w:rsidP="00C50EF2">
            <w:pPr>
              <w:spacing w:after="0" w:line="240" w:lineRule="auto"/>
              <w:jc w:val="right"/>
              <w:rPr>
                <w:rFonts w:ascii="Verdana" w:eastAsia="Times New Roman" w:hAnsi="Verdana" w:cs="Calibri"/>
                <w:color w:val="000000"/>
                <w:sz w:val="18"/>
                <w:szCs w:val="18"/>
                <w:lang w:eastAsia="pt-BR"/>
              </w:rPr>
            </w:pPr>
            <w:r w:rsidRPr="00C50EF2">
              <w:rPr>
                <w:rFonts w:ascii="Verdana" w:eastAsia="Times New Roman" w:hAnsi="Verdana" w:cs="Calibri"/>
                <w:color w:val="000000"/>
                <w:sz w:val="18"/>
                <w:szCs w:val="18"/>
                <w:lang w:eastAsia="pt-BR"/>
              </w:rPr>
              <w:t>(114.038)</w:t>
            </w:r>
          </w:p>
        </w:tc>
        <w:tc>
          <w:tcPr>
            <w:tcW w:w="151" w:type="dxa"/>
            <w:tcBorders>
              <w:top w:val="nil"/>
              <w:left w:val="nil"/>
              <w:bottom w:val="nil"/>
              <w:right w:val="nil"/>
            </w:tcBorders>
            <w:shd w:val="clear" w:color="auto" w:fill="auto"/>
            <w:noWrap/>
            <w:vAlign w:val="bottom"/>
            <w:hideMark/>
          </w:tcPr>
          <w:p w14:paraId="38C70E0D" w14:textId="77777777" w:rsidR="00C50EF2" w:rsidRPr="00C50EF2" w:rsidRDefault="00C50EF2" w:rsidP="00C50EF2">
            <w:pPr>
              <w:spacing w:after="0" w:line="240" w:lineRule="auto"/>
              <w:jc w:val="right"/>
              <w:rPr>
                <w:rFonts w:ascii="Verdana" w:eastAsia="Times New Roman" w:hAnsi="Verdana" w:cs="Calibri"/>
                <w:color w:val="000000"/>
                <w:sz w:val="18"/>
                <w:szCs w:val="18"/>
                <w:lang w:eastAsia="pt-BR"/>
              </w:rPr>
            </w:pPr>
          </w:p>
        </w:tc>
        <w:tc>
          <w:tcPr>
            <w:tcW w:w="1409" w:type="dxa"/>
            <w:tcBorders>
              <w:top w:val="nil"/>
              <w:left w:val="nil"/>
              <w:bottom w:val="nil"/>
              <w:right w:val="nil"/>
            </w:tcBorders>
            <w:shd w:val="clear" w:color="auto" w:fill="auto"/>
            <w:noWrap/>
            <w:vAlign w:val="center"/>
            <w:hideMark/>
          </w:tcPr>
          <w:p w14:paraId="4772C843" w14:textId="00829129" w:rsidR="00C50EF2" w:rsidRPr="00C50EF2" w:rsidRDefault="00C50EF2" w:rsidP="00C50EF2">
            <w:pPr>
              <w:spacing w:after="0" w:line="240" w:lineRule="auto"/>
              <w:jc w:val="right"/>
              <w:rPr>
                <w:rFonts w:ascii="Verdana" w:eastAsia="Times New Roman" w:hAnsi="Verdana" w:cs="Calibri"/>
                <w:color w:val="000000"/>
                <w:sz w:val="18"/>
                <w:szCs w:val="18"/>
                <w:lang w:eastAsia="pt-BR"/>
              </w:rPr>
            </w:pPr>
            <w:r w:rsidRPr="00C50EF2">
              <w:rPr>
                <w:rFonts w:ascii="Verdana" w:eastAsia="Times New Roman" w:hAnsi="Verdana" w:cs="Calibri"/>
                <w:color w:val="000000"/>
                <w:sz w:val="18"/>
                <w:szCs w:val="18"/>
                <w:lang w:eastAsia="pt-BR"/>
              </w:rPr>
              <w:t>(114.038)</w:t>
            </w:r>
          </w:p>
        </w:tc>
      </w:tr>
      <w:tr w:rsidR="00C50EF2" w:rsidRPr="00C50EF2" w14:paraId="401303CD" w14:textId="77777777" w:rsidTr="00B63957">
        <w:trPr>
          <w:gridAfter w:val="1"/>
          <w:wAfter w:w="405" w:type="dxa"/>
          <w:trHeight w:val="20"/>
        </w:trPr>
        <w:tc>
          <w:tcPr>
            <w:tcW w:w="4450" w:type="dxa"/>
            <w:tcBorders>
              <w:top w:val="nil"/>
              <w:left w:val="nil"/>
              <w:bottom w:val="nil"/>
              <w:right w:val="nil"/>
            </w:tcBorders>
            <w:shd w:val="clear" w:color="auto" w:fill="auto"/>
            <w:noWrap/>
            <w:vAlign w:val="center"/>
            <w:hideMark/>
          </w:tcPr>
          <w:p w14:paraId="67319050" w14:textId="77777777" w:rsidR="00C50EF2" w:rsidRPr="00C50EF2" w:rsidRDefault="00C50EF2" w:rsidP="00C50EF2">
            <w:pPr>
              <w:spacing w:after="0" w:line="240" w:lineRule="auto"/>
              <w:rPr>
                <w:rFonts w:ascii="Verdana" w:eastAsia="Times New Roman" w:hAnsi="Verdana" w:cs="Calibri"/>
                <w:color w:val="000000"/>
                <w:sz w:val="18"/>
                <w:szCs w:val="18"/>
                <w:lang w:eastAsia="pt-BR"/>
              </w:rPr>
            </w:pPr>
            <w:r w:rsidRPr="00C50EF2">
              <w:rPr>
                <w:rFonts w:ascii="Verdana" w:eastAsia="Times New Roman" w:hAnsi="Verdana" w:cs="Calibri"/>
                <w:color w:val="000000"/>
                <w:sz w:val="18"/>
                <w:szCs w:val="18"/>
                <w:lang w:eastAsia="pt-BR"/>
              </w:rPr>
              <w:t xml:space="preserve">    Depreciação</w:t>
            </w:r>
          </w:p>
        </w:tc>
        <w:tc>
          <w:tcPr>
            <w:tcW w:w="229" w:type="dxa"/>
            <w:tcBorders>
              <w:top w:val="nil"/>
              <w:left w:val="nil"/>
              <w:bottom w:val="nil"/>
              <w:right w:val="nil"/>
            </w:tcBorders>
            <w:shd w:val="clear" w:color="auto" w:fill="auto"/>
            <w:noWrap/>
            <w:vAlign w:val="center"/>
            <w:hideMark/>
          </w:tcPr>
          <w:p w14:paraId="737A313D" w14:textId="77777777" w:rsidR="00C50EF2" w:rsidRPr="00C50EF2" w:rsidRDefault="00C50EF2" w:rsidP="00C50EF2">
            <w:pPr>
              <w:spacing w:after="0" w:line="240" w:lineRule="auto"/>
              <w:rPr>
                <w:rFonts w:ascii="Verdana" w:eastAsia="Times New Roman" w:hAnsi="Verdana" w:cs="Calibri"/>
                <w:color w:val="000000"/>
                <w:sz w:val="18"/>
                <w:szCs w:val="18"/>
                <w:lang w:eastAsia="pt-BR"/>
              </w:rPr>
            </w:pPr>
          </w:p>
        </w:tc>
        <w:tc>
          <w:tcPr>
            <w:tcW w:w="1417" w:type="dxa"/>
            <w:tcBorders>
              <w:top w:val="nil"/>
              <w:left w:val="nil"/>
              <w:bottom w:val="nil"/>
              <w:right w:val="nil"/>
            </w:tcBorders>
            <w:shd w:val="clear" w:color="auto" w:fill="auto"/>
            <w:noWrap/>
            <w:vAlign w:val="center"/>
            <w:hideMark/>
          </w:tcPr>
          <w:p w14:paraId="31BFEBBE" w14:textId="258DBE3B" w:rsidR="00C50EF2" w:rsidRPr="00C50EF2" w:rsidRDefault="00C50EF2" w:rsidP="00C50EF2">
            <w:pPr>
              <w:spacing w:after="0" w:line="240" w:lineRule="auto"/>
              <w:jc w:val="right"/>
              <w:rPr>
                <w:rFonts w:ascii="Verdana" w:eastAsia="Times New Roman" w:hAnsi="Verdana" w:cs="Calibri"/>
                <w:color w:val="000000"/>
                <w:sz w:val="18"/>
                <w:szCs w:val="18"/>
                <w:lang w:eastAsia="pt-BR"/>
              </w:rPr>
            </w:pPr>
            <w:r w:rsidRPr="00C50EF2">
              <w:rPr>
                <w:rFonts w:ascii="Verdana" w:eastAsia="Times New Roman" w:hAnsi="Verdana" w:cs="Calibri"/>
                <w:color w:val="000000"/>
                <w:sz w:val="18"/>
                <w:szCs w:val="18"/>
                <w:lang w:eastAsia="pt-BR"/>
              </w:rPr>
              <w:t>-</w:t>
            </w:r>
          </w:p>
        </w:tc>
        <w:tc>
          <w:tcPr>
            <w:tcW w:w="151" w:type="dxa"/>
            <w:tcBorders>
              <w:top w:val="nil"/>
              <w:left w:val="nil"/>
              <w:bottom w:val="nil"/>
              <w:right w:val="nil"/>
            </w:tcBorders>
            <w:shd w:val="clear" w:color="auto" w:fill="auto"/>
            <w:noWrap/>
            <w:vAlign w:val="center"/>
            <w:hideMark/>
          </w:tcPr>
          <w:p w14:paraId="2AC3B828" w14:textId="77777777" w:rsidR="00C50EF2" w:rsidRPr="00C50EF2" w:rsidRDefault="00C50EF2" w:rsidP="00C50EF2">
            <w:pPr>
              <w:spacing w:after="0" w:line="240" w:lineRule="auto"/>
              <w:jc w:val="right"/>
              <w:rPr>
                <w:rFonts w:ascii="Verdana" w:eastAsia="Times New Roman" w:hAnsi="Verdana" w:cs="Calibri"/>
                <w:color w:val="000000"/>
                <w:sz w:val="18"/>
                <w:szCs w:val="18"/>
                <w:lang w:eastAsia="pt-BR"/>
              </w:rPr>
            </w:pPr>
          </w:p>
        </w:tc>
        <w:tc>
          <w:tcPr>
            <w:tcW w:w="1271" w:type="dxa"/>
            <w:tcBorders>
              <w:top w:val="nil"/>
              <w:left w:val="nil"/>
              <w:bottom w:val="nil"/>
              <w:right w:val="nil"/>
            </w:tcBorders>
            <w:shd w:val="clear" w:color="auto" w:fill="auto"/>
            <w:noWrap/>
            <w:vAlign w:val="center"/>
            <w:hideMark/>
          </w:tcPr>
          <w:p w14:paraId="317CB218" w14:textId="1A911A07" w:rsidR="00C50EF2" w:rsidRPr="00C50EF2" w:rsidRDefault="00C50EF2" w:rsidP="00C50EF2">
            <w:pPr>
              <w:spacing w:after="0" w:line="240" w:lineRule="auto"/>
              <w:jc w:val="right"/>
              <w:rPr>
                <w:rFonts w:ascii="Verdana" w:eastAsia="Times New Roman" w:hAnsi="Verdana" w:cs="Calibri"/>
                <w:color w:val="000000"/>
                <w:sz w:val="18"/>
                <w:szCs w:val="18"/>
                <w:lang w:eastAsia="pt-BR"/>
              </w:rPr>
            </w:pPr>
            <w:r w:rsidRPr="00C50EF2">
              <w:rPr>
                <w:rFonts w:ascii="Verdana" w:eastAsia="Times New Roman" w:hAnsi="Verdana" w:cs="Calibri"/>
                <w:color w:val="000000"/>
                <w:sz w:val="18"/>
                <w:szCs w:val="18"/>
                <w:lang w:eastAsia="pt-BR"/>
              </w:rPr>
              <w:t>-</w:t>
            </w:r>
          </w:p>
        </w:tc>
        <w:tc>
          <w:tcPr>
            <w:tcW w:w="163" w:type="dxa"/>
            <w:tcBorders>
              <w:top w:val="nil"/>
              <w:left w:val="nil"/>
              <w:bottom w:val="nil"/>
              <w:right w:val="nil"/>
            </w:tcBorders>
            <w:shd w:val="clear" w:color="auto" w:fill="auto"/>
            <w:noWrap/>
            <w:vAlign w:val="bottom"/>
            <w:hideMark/>
          </w:tcPr>
          <w:p w14:paraId="17C91B36" w14:textId="77777777" w:rsidR="00C50EF2" w:rsidRPr="00C50EF2" w:rsidRDefault="00C50EF2" w:rsidP="00C50EF2">
            <w:pPr>
              <w:spacing w:after="0" w:line="240" w:lineRule="auto"/>
              <w:jc w:val="right"/>
              <w:rPr>
                <w:rFonts w:ascii="Verdana" w:eastAsia="Times New Roman" w:hAnsi="Verdana" w:cs="Calibri"/>
                <w:color w:val="000000"/>
                <w:sz w:val="18"/>
                <w:szCs w:val="18"/>
                <w:lang w:eastAsia="pt-BR"/>
              </w:rPr>
            </w:pPr>
          </w:p>
        </w:tc>
        <w:tc>
          <w:tcPr>
            <w:tcW w:w="1590" w:type="dxa"/>
            <w:tcBorders>
              <w:top w:val="nil"/>
              <w:left w:val="nil"/>
              <w:bottom w:val="nil"/>
              <w:right w:val="nil"/>
            </w:tcBorders>
            <w:shd w:val="clear" w:color="auto" w:fill="auto"/>
            <w:noWrap/>
            <w:vAlign w:val="center"/>
            <w:hideMark/>
          </w:tcPr>
          <w:p w14:paraId="1925ADF4" w14:textId="5E9DD6D0" w:rsidR="00C50EF2" w:rsidRPr="00C50EF2" w:rsidRDefault="00C50EF2" w:rsidP="00C50EF2">
            <w:pPr>
              <w:spacing w:after="0" w:line="240" w:lineRule="auto"/>
              <w:jc w:val="right"/>
              <w:rPr>
                <w:rFonts w:ascii="Verdana" w:eastAsia="Times New Roman" w:hAnsi="Verdana" w:cs="Calibri"/>
                <w:color w:val="000000"/>
                <w:sz w:val="18"/>
                <w:szCs w:val="18"/>
                <w:lang w:eastAsia="pt-BR"/>
              </w:rPr>
            </w:pPr>
            <w:r w:rsidRPr="00C50EF2">
              <w:rPr>
                <w:rFonts w:ascii="Verdana" w:eastAsia="Times New Roman" w:hAnsi="Verdana" w:cs="Calibri"/>
                <w:color w:val="000000"/>
                <w:sz w:val="18"/>
                <w:szCs w:val="18"/>
                <w:lang w:eastAsia="pt-BR"/>
              </w:rPr>
              <w:t>(46.343)</w:t>
            </w:r>
          </w:p>
        </w:tc>
        <w:tc>
          <w:tcPr>
            <w:tcW w:w="151" w:type="dxa"/>
            <w:tcBorders>
              <w:top w:val="nil"/>
              <w:left w:val="nil"/>
              <w:bottom w:val="nil"/>
              <w:right w:val="nil"/>
            </w:tcBorders>
            <w:shd w:val="clear" w:color="auto" w:fill="auto"/>
            <w:noWrap/>
            <w:vAlign w:val="center"/>
            <w:hideMark/>
          </w:tcPr>
          <w:p w14:paraId="558F1A1E" w14:textId="77777777" w:rsidR="00C50EF2" w:rsidRPr="00C50EF2" w:rsidRDefault="00C50EF2" w:rsidP="00C50EF2">
            <w:pPr>
              <w:spacing w:after="0" w:line="240" w:lineRule="auto"/>
              <w:jc w:val="right"/>
              <w:rPr>
                <w:rFonts w:ascii="Verdana" w:eastAsia="Times New Roman" w:hAnsi="Verdana" w:cs="Calibri"/>
                <w:color w:val="000000"/>
                <w:sz w:val="18"/>
                <w:szCs w:val="18"/>
                <w:lang w:eastAsia="pt-BR"/>
              </w:rPr>
            </w:pPr>
          </w:p>
        </w:tc>
        <w:tc>
          <w:tcPr>
            <w:tcW w:w="1409" w:type="dxa"/>
            <w:tcBorders>
              <w:top w:val="nil"/>
              <w:left w:val="nil"/>
              <w:bottom w:val="nil"/>
              <w:right w:val="nil"/>
            </w:tcBorders>
            <w:shd w:val="clear" w:color="auto" w:fill="auto"/>
            <w:noWrap/>
            <w:vAlign w:val="center"/>
            <w:hideMark/>
          </w:tcPr>
          <w:p w14:paraId="6DE9DEBE" w14:textId="4D24ED59" w:rsidR="00C50EF2" w:rsidRPr="00C50EF2" w:rsidRDefault="00C50EF2" w:rsidP="00C50EF2">
            <w:pPr>
              <w:spacing w:after="0" w:line="240" w:lineRule="auto"/>
              <w:jc w:val="right"/>
              <w:rPr>
                <w:rFonts w:ascii="Verdana" w:eastAsia="Times New Roman" w:hAnsi="Verdana" w:cs="Calibri"/>
                <w:color w:val="000000"/>
                <w:sz w:val="18"/>
                <w:szCs w:val="18"/>
                <w:lang w:eastAsia="pt-BR"/>
              </w:rPr>
            </w:pPr>
            <w:r w:rsidRPr="00C50EF2">
              <w:rPr>
                <w:rFonts w:ascii="Verdana" w:eastAsia="Times New Roman" w:hAnsi="Verdana" w:cs="Calibri"/>
                <w:color w:val="000000"/>
                <w:sz w:val="18"/>
                <w:szCs w:val="18"/>
                <w:lang w:eastAsia="pt-BR"/>
              </w:rPr>
              <w:t>(46.343)</w:t>
            </w:r>
          </w:p>
        </w:tc>
      </w:tr>
      <w:tr w:rsidR="00C50EF2" w:rsidRPr="00C50EF2" w14:paraId="6401B3DA" w14:textId="77777777" w:rsidTr="00B63957">
        <w:trPr>
          <w:gridAfter w:val="1"/>
          <w:wAfter w:w="405" w:type="dxa"/>
          <w:trHeight w:val="20"/>
        </w:trPr>
        <w:tc>
          <w:tcPr>
            <w:tcW w:w="4450" w:type="dxa"/>
            <w:tcBorders>
              <w:top w:val="nil"/>
              <w:left w:val="nil"/>
              <w:bottom w:val="nil"/>
              <w:right w:val="nil"/>
            </w:tcBorders>
            <w:shd w:val="clear" w:color="auto" w:fill="auto"/>
            <w:noWrap/>
            <w:vAlign w:val="center"/>
            <w:hideMark/>
          </w:tcPr>
          <w:p w14:paraId="3485B527" w14:textId="77777777" w:rsidR="00C50EF2" w:rsidRPr="00C50EF2" w:rsidRDefault="00C50EF2" w:rsidP="00C50EF2">
            <w:pPr>
              <w:spacing w:after="0" w:line="240" w:lineRule="auto"/>
              <w:rPr>
                <w:rFonts w:ascii="Verdana" w:eastAsia="Times New Roman" w:hAnsi="Verdana" w:cs="Calibri"/>
                <w:color w:val="000000"/>
                <w:sz w:val="18"/>
                <w:szCs w:val="18"/>
                <w:lang w:eastAsia="pt-BR"/>
              </w:rPr>
            </w:pPr>
            <w:r w:rsidRPr="00C50EF2">
              <w:rPr>
                <w:rFonts w:ascii="Verdana" w:eastAsia="Times New Roman" w:hAnsi="Verdana" w:cs="Calibri"/>
                <w:color w:val="000000"/>
                <w:sz w:val="18"/>
                <w:szCs w:val="18"/>
                <w:lang w:eastAsia="pt-BR"/>
              </w:rPr>
              <w:t xml:space="preserve">    Amortização</w:t>
            </w:r>
          </w:p>
        </w:tc>
        <w:tc>
          <w:tcPr>
            <w:tcW w:w="229" w:type="dxa"/>
            <w:tcBorders>
              <w:top w:val="nil"/>
              <w:left w:val="nil"/>
              <w:bottom w:val="nil"/>
              <w:right w:val="nil"/>
            </w:tcBorders>
            <w:shd w:val="clear" w:color="auto" w:fill="auto"/>
            <w:noWrap/>
            <w:vAlign w:val="bottom"/>
            <w:hideMark/>
          </w:tcPr>
          <w:p w14:paraId="08835F4E" w14:textId="77777777" w:rsidR="00C50EF2" w:rsidRPr="00C50EF2" w:rsidRDefault="00C50EF2" w:rsidP="00C50EF2">
            <w:pPr>
              <w:spacing w:after="0" w:line="240" w:lineRule="auto"/>
              <w:rPr>
                <w:rFonts w:ascii="Verdana" w:eastAsia="Times New Roman" w:hAnsi="Verdana" w:cs="Calibri"/>
                <w:color w:val="000000"/>
                <w:sz w:val="18"/>
                <w:szCs w:val="18"/>
                <w:lang w:eastAsia="pt-BR"/>
              </w:rPr>
            </w:pPr>
          </w:p>
        </w:tc>
        <w:tc>
          <w:tcPr>
            <w:tcW w:w="1417" w:type="dxa"/>
            <w:tcBorders>
              <w:top w:val="nil"/>
              <w:left w:val="nil"/>
              <w:bottom w:val="nil"/>
              <w:right w:val="nil"/>
            </w:tcBorders>
            <w:shd w:val="clear" w:color="auto" w:fill="auto"/>
            <w:noWrap/>
            <w:vAlign w:val="center"/>
            <w:hideMark/>
          </w:tcPr>
          <w:p w14:paraId="32EBE76A" w14:textId="7A83ECF7" w:rsidR="00C50EF2" w:rsidRPr="00C50EF2" w:rsidRDefault="00C50EF2" w:rsidP="00C50EF2">
            <w:pPr>
              <w:spacing w:after="0" w:line="240" w:lineRule="auto"/>
              <w:jc w:val="right"/>
              <w:rPr>
                <w:rFonts w:ascii="Verdana" w:eastAsia="Times New Roman" w:hAnsi="Verdana" w:cs="Calibri"/>
                <w:color w:val="000000"/>
                <w:sz w:val="18"/>
                <w:szCs w:val="18"/>
                <w:lang w:eastAsia="pt-BR"/>
              </w:rPr>
            </w:pPr>
            <w:r w:rsidRPr="00C50EF2">
              <w:rPr>
                <w:rFonts w:ascii="Verdana" w:eastAsia="Times New Roman" w:hAnsi="Verdana" w:cs="Calibri"/>
                <w:color w:val="000000"/>
                <w:sz w:val="18"/>
                <w:szCs w:val="18"/>
                <w:lang w:eastAsia="pt-BR"/>
              </w:rPr>
              <w:t>-</w:t>
            </w:r>
          </w:p>
        </w:tc>
        <w:tc>
          <w:tcPr>
            <w:tcW w:w="151" w:type="dxa"/>
            <w:tcBorders>
              <w:top w:val="nil"/>
              <w:left w:val="nil"/>
              <w:bottom w:val="nil"/>
              <w:right w:val="nil"/>
            </w:tcBorders>
            <w:shd w:val="clear" w:color="auto" w:fill="auto"/>
            <w:noWrap/>
            <w:vAlign w:val="bottom"/>
            <w:hideMark/>
          </w:tcPr>
          <w:p w14:paraId="1F198A34" w14:textId="77777777" w:rsidR="00C50EF2" w:rsidRPr="00C50EF2" w:rsidRDefault="00C50EF2" w:rsidP="00C50EF2">
            <w:pPr>
              <w:spacing w:after="0" w:line="240" w:lineRule="auto"/>
              <w:jc w:val="right"/>
              <w:rPr>
                <w:rFonts w:ascii="Verdana" w:eastAsia="Times New Roman" w:hAnsi="Verdana" w:cs="Calibri"/>
                <w:color w:val="000000"/>
                <w:sz w:val="18"/>
                <w:szCs w:val="18"/>
                <w:lang w:eastAsia="pt-BR"/>
              </w:rPr>
            </w:pPr>
          </w:p>
        </w:tc>
        <w:tc>
          <w:tcPr>
            <w:tcW w:w="1271" w:type="dxa"/>
            <w:tcBorders>
              <w:top w:val="nil"/>
              <w:left w:val="nil"/>
              <w:bottom w:val="nil"/>
              <w:right w:val="nil"/>
            </w:tcBorders>
            <w:shd w:val="clear" w:color="auto" w:fill="auto"/>
            <w:noWrap/>
            <w:vAlign w:val="center"/>
            <w:hideMark/>
          </w:tcPr>
          <w:p w14:paraId="31D7A550" w14:textId="1D8B1DA0" w:rsidR="00C50EF2" w:rsidRPr="00C50EF2" w:rsidRDefault="00C50EF2" w:rsidP="00C50EF2">
            <w:pPr>
              <w:spacing w:after="0" w:line="240" w:lineRule="auto"/>
              <w:jc w:val="right"/>
              <w:rPr>
                <w:rFonts w:ascii="Verdana" w:eastAsia="Times New Roman" w:hAnsi="Verdana" w:cs="Calibri"/>
                <w:color w:val="000000"/>
                <w:sz w:val="18"/>
                <w:szCs w:val="18"/>
                <w:lang w:eastAsia="pt-BR"/>
              </w:rPr>
            </w:pPr>
            <w:r w:rsidRPr="00C50EF2">
              <w:rPr>
                <w:rFonts w:ascii="Verdana" w:eastAsia="Times New Roman" w:hAnsi="Verdana" w:cs="Calibri"/>
                <w:color w:val="000000"/>
                <w:sz w:val="18"/>
                <w:szCs w:val="18"/>
                <w:lang w:eastAsia="pt-BR"/>
              </w:rPr>
              <w:t>-</w:t>
            </w:r>
          </w:p>
        </w:tc>
        <w:tc>
          <w:tcPr>
            <w:tcW w:w="163" w:type="dxa"/>
            <w:tcBorders>
              <w:top w:val="nil"/>
              <w:left w:val="nil"/>
              <w:bottom w:val="nil"/>
              <w:right w:val="nil"/>
            </w:tcBorders>
            <w:shd w:val="clear" w:color="auto" w:fill="auto"/>
            <w:noWrap/>
            <w:vAlign w:val="bottom"/>
            <w:hideMark/>
          </w:tcPr>
          <w:p w14:paraId="38EDBF49" w14:textId="77777777" w:rsidR="00C50EF2" w:rsidRPr="00C50EF2" w:rsidRDefault="00C50EF2" w:rsidP="00C50EF2">
            <w:pPr>
              <w:spacing w:after="0" w:line="240" w:lineRule="auto"/>
              <w:jc w:val="right"/>
              <w:rPr>
                <w:rFonts w:ascii="Verdana" w:eastAsia="Times New Roman" w:hAnsi="Verdana" w:cs="Calibri"/>
                <w:color w:val="000000"/>
                <w:sz w:val="18"/>
                <w:szCs w:val="18"/>
                <w:lang w:eastAsia="pt-BR"/>
              </w:rPr>
            </w:pPr>
          </w:p>
        </w:tc>
        <w:tc>
          <w:tcPr>
            <w:tcW w:w="1590" w:type="dxa"/>
            <w:tcBorders>
              <w:top w:val="nil"/>
              <w:left w:val="nil"/>
              <w:bottom w:val="nil"/>
              <w:right w:val="nil"/>
            </w:tcBorders>
            <w:shd w:val="clear" w:color="auto" w:fill="auto"/>
            <w:noWrap/>
            <w:vAlign w:val="center"/>
            <w:hideMark/>
          </w:tcPr>
          <w:p w14:paraId="13D02977" w14:textId="222B856E" w:rsidR="00C50EF2" w:rsidRPr="00C50EF2" w:rsidRDefault="00C50EF2" w:rsidP="00C50EF2">
            <w:pPr>
              <w:spacing w:after="0" w:line="240" w:lineRule="auto"/>
              <w:jc w:val="right"/>
              <w:rPr>
                <w:rFonts w:ascii="Verdana" w:eastAsia="Times New Roman" w:hAnsi="Verdana" w:cs="Calibri"/>
                <w:color w:val="000000"/>
                <w:sz w:val="18"/>
                <w:szCs w:val="18"/>
                <w:lang w:eastAsia="pt-BR"/>
              </w:rPr>
            </w:pPr>
            <w:r w:rsidRPr="00C50EF2">
              <w:rPr>
                <w:rFonts w:ascii="Verdana" w:eastAsia="Times New Roman" w:hAnsi="Verdana" w:cs="Calibri"/>
                <w:color w:val="000000"/>
                <w:sz w:val="18"/>
                <w:szCs w:val="18"/>
                <w:lang w:eastAsia="pt-BR"/>
              </w:rPr>
              <w:t>(668)</w:t>
            </w:r>
          </w:p>
        </w:tc>
        <w:tc>
          <w:tcPr>
            <w:tcW w:w="151" w:type="dxa"/>
            <w:tcBorders>
              <w:top w:val="nil"/>
              <w:left w:val="nil"/>
              <w:bottom w:val="nil"/>
              <w:right w:val="nil"/>
            </w:tcBorders>
            <w:shd w:val="clear" w:color="auto" w:fill="auto"/>
            <w:noWrap/>
            <w:vAlign w:val="bottom"/>
            <w:hideMark/>
          </w:tcPr>
          <w:p w14:paraId="33D37AD2" w14:textId="77777777" w:rsidR="00C50EF2" w:rsidRPr="00C50EF2" w:rsidRDefault="00C50EF2" w:rsidP="00C50EF2">
            <w:pPr>
              <w:spacing w:after="0" w:line="240" w:lineRule="auto"/>
              <w:jc w:val="right"/>
              <w:rPr>
                <w:rFonts w:ascii="Verdana" w:eastAsia="Times New Roman" w:hAnsi="Verdana" w:cs="Calibri"/>
                <w:color w:val="000000"/>
                <w:sz w:val="18"/>
                <w:szCs w:val="18"/>
                <w:lang w:eastAsia="pt-BR"/>
              </w:rPr>
            </w:pPr>
          </w:p>
        </w:tc>
        <w:tc>
          <w:tcPr>
            <w:tcW w:w="1409" w:type="dxa"/>
            <w:tcBorders>
              <w:top w:val="nil"/>
              <w:left w:val="nil"/>
              <w:bottom w:val="nil"/>
              <w:right w:val="nil"/>
            </w:tcBorders>
            <w:shd w:val="clear" w:color="auto" w:fill="auto"/>
            <w:noWrap/>
            <w:vAlign w:val="center"/>
            <w:hideMark/>
          </w:tcPr>
          <w:p w14:paraId="531B93CB" w14:textId="652DE06B" w:rsidR="00C50EF2" w:rsidRPr="00C50EF2" w:rsidRDefault="00C50EF2" w:rsidP="00C50EF2">
            <w:pPr>
              <w:spacing w:after="0" w:line="240" w:lineRule="auto"/>
              <w:jc w:val="right"/>
              <w:rPr>
                <w:rFonts w:ascii="Verdana" w:eastAsia="Times New Roman" w:hAnsi="Verdana" w:cs="Calibri"/>
                <w:color w:val="000000"/>
                <w:sz w:val="18"/>
                <w:szCs w:val="18"/>
                <w:lang w:eastAsia="pt-BR"/>
              </w:rPr>
            </w:pPr>
            <w:r w:rsidRPr="00C50EF2">
              <w:rPr>
                <w:rFonts w:ascii="Verdana" w:eastAsia="Times New Roman" w:hAnsi="Verdana" w:cs="Calibri"/>
                <w:color w:val="000000"/>
                <w:sz w:val="18"/>
                <w:szCs w:val="18"/>
                <w:lang w:eastAsia="pt-BR"/>
              </w:rPr>
              <w:t>(668)</w:t>
            </w:r>
          </w:p>
        </w:tc>
      </w:tr>
      <w:tr w:rsidR="00C50EF2" w:rsidRPr="00C50EF2" w14:paraId="5ACB0B33" w14:textId="77777777" w:rsidTr="00B63957">
        <w:trPr>
          <w:gridAfter w:val="1"/>
          <w:wAfter w:w="405" w:type="dxa"/>
          <w:trHeight w:val="20"/>
        </w:trPr>
        <w:tc>
          <w:tcPr>
            <w:tcW w:w="4679" w:type="dxa"/>
            <w:gridSpan w:val="2"/>
            <w:tcBorders>
              <w:top w:val="nil"/>
              <w:left w:val="nil"/>
              <w:bottom w:val="nil"/>
              <w:right w:val="nil"/>
            </w:tcBorders>
            <w:shd w:val="clear" w:color="auto" w:fill="auto"/>
            <w:noWrap/>
            <w:vAlign w:val="center"/>
            <w:hideMark/>
          </w:tcPr>
          <w:p w14:paraId="305D9B9F" w14:textId="54C4749D" w:rsidR="00C50EF2" w:rsidRPr="00C50EF2" w:rsidRDefault="00C50EF2" w:rsidP="00C50EF2">
            <w:pPr>
              <w:spacing w:after="0" w:line="240" w:lineRule="auto"/>
              <w:rPr>
                <w:rFonts w:ascii="Verdana" w:eastAsia="Times New Roman" w:hAnsi="Verdana" w:cs="Calibri"/>
                <w:color w:val="000000"/>
                <w:sz w:val="18"/>
                <w:szCs w:val="18"/>
                <w:lang w:eastAsia="pt-BR"/>
              </w:rPr>
            </w:pPr>
            <w:r w:rsidRPr="00C50EF2">
              <w:rPr>
                <w:rFonts w:ascii="Verdana" w:eastAsia="Times New Roman" w:hAnsi="Verdana" w:cs="Calibri"/>
                <w:color w:val="000000"/>
                <w:sz w:val="18"/>
                <w:szCs w:val="18"/>
                <w:lang w:eastAsia="pt-BR"/>
              </w:rPr>
              <w:t xml:space="preserve">    Combustível p</w:t>
            </w:r>
            <w:r w:rsidR="003072B4">
              <w:rPr>
                <w:rFonts w:ascii="Verdana" w:eastAsia="Times New Roman" w:hAnsi="Verdana" w:cs="Calibri"/>
                <w:color w:val="000000"/>
                <w:sz w:val="18"/>
                <w:szCs w:val="18"/>
                <w:lang w:eastAsia="pt-BR"/>
              </w:rPr>
              <w:t>/</w:t>
            </w:r>
            <w:r w:rsidRPr="00C50EF2">
              <w:rPr>
                <w:rFonts w:ascii="Verdana" w:eastAsia="Times New Roman" w:hAnsi="Verdana" w:cs="Calibri"/>
                <w:color w:val="000000"/>
                <w:sz w:val="18"/>
                <w:szCs w:val="18"/>
                <w:lang w:eastAsia="pt-BR"/>
              </w:rPr>
              <w:t xml:space="preserve"> produção de energia elétrica</w:t>
            </w:r>
          </w:p>
        </w:tc>
        <w:tc>
          <w:tcPr>
            <w:tcW w:w="1417" w:type="dxa"/>
            <w:tcBorders>
              <w:top w:val="nil"/>
              <w:left w:val="nil"/>
              <w:bottom w:val="nil"/>
              <w:right w:val="nil"/>
            </w:tcBorders>
            <w:shd w:val="clear" w:color="auto" w:fill="auto"/>
            <w:noWrap/>
            <w:vAlign w:val="center"/>
            <w:hideMark/>
          </w:tcPr>
          <w:p w14:paraId="1227EC0B" w14:textId="77777777" w:rsidR="00C50EF2" w:rsidRPr="00C50EF2" w:rsidRDefault="00C50EF2" w:rsidP="00C50EF2">
            <w:pPr>
              <w:spacing w:after="0" w:line="240" w:lineRule="auto"/>
              <w:jc w:val="right"/>
              <w:rPr>
                <w:rFonts w:ascii="Verdana" w:eastAsia="Times New Roman" w:hAnsi="Verdana" w:cs="Calibri"/>
                <w:color w:val="000000"/>
                <w:sz w:val="18"/>
                <w:szCs w:val="18"/>
                <w:lang w:eastAsia="pt-BR"/>
              </w:rPr>
            </w:pPr>
            <w:r w:rsidRPr="00C50EF2">
              <w:rPr>
                <w:rFonts w:ascii="Verdana" w:eastAsia="Times New Roman" w:hAnsi="Verdana" w:cs="Calibri"/>
                <w:color w:val="000000"/>
                <w:sz w:val="18"/>
                <w:szCs w:val="18"/>
                <w:lang w:eastAsia="pt-BR"/>
              </w:rPr>
              <w:t xml:space="preserve">                      -   </w:t>
            </w:r>
          </w:p>
        </w:tc>
        <w:tc>
          <w:tcPr>
            <w:tcW w:w="151" w:type="dxa"/>
            <w:tcBorders>
              <w:top w:val="nil"/>
              <w:left w:val="nil"/>
              <w:bottom w:val="nil"/>
              <w:right w:val="nil"/>
            </w:tcBorders>
            <w:shd w:val="clear" w:color="auto" w:fill="auto"/>
            <w:noWrap/>
            <w:vAlign w:val="center"/>
            <w:hideMark/>
          </w:tcPr>
          <w:p w14:paraId="20972E33" w14:textId="77777777" w:rsidR="00C50EF2" w:rsidRPr="00C50EF2" w:rsidRDefault="00C50EF2" w:rsidP="00C50EF2">
            <w:pPr>
              <w:spacing w:after="0" w:line="240" w:lineRule="auto"/>
              <w:jc w:val="right"/>
              <w:rPr>
                <w:rFonts w:ascii="Verdana" w:eastAsia="Times New Roman" w:hAnsi="Verdana" w:cs="Calibri"/>
                <w:color w:val="000000"/>
                <w:sz w:val="18"/>
                <w:szCs w:val="18"/>
                <w:lang w:eastAsia="pt-BR"/>
              </w:rPr>
            </w:pPr>
          </w:p>
        </w:tc>
        <w:tc>
          <w:tcPr>
            <w:tcW w:w="1271" w:type="dxa"/>
            <w:tcBorders>
              <w:top w:val="nil"/>
              <w:left w:val="nil"/>
              <w:bottom w:val="nil"/>
              <w:right w:val="nil"/>
            </w:tcBorders>
            <w:shd w:val="clear" w:color="auto" w:fill="auto"/>
            <w:noWrap/>
            <w:vAlign w:val="center"/>
            <w:hideMark/>
          </w:tcPr>
          <w:p w14:paraId="62D429F3" w14:textId="40D0E9AC" w:rsidR="00C50EF2" w:rsidRPr="00C50EF2" w:rsidRDefault="00C50EF2" w:rsidP="00C50EF2">
            <w:pPr>
              <w:spacing w:after="0" w:line="240" w:lineRule="auto"/>
              <w:jc w:val="right"/>
              <w:rPr>
                <w:rFonts w:ascii="Verdana" w:eastAsia="Times New Roman" w:hAnsi="Verdana" w:cs="Calibri"/>
                <w:color w:val="000000"/>
                <w:sz w:val="18"/>
                <w:szCs w:val="18"/>
                <w:lang w:eastAsia="pt-BR"/>
              </w:rPr>
            </w:pPr>
            <w:r w:rsidRPr="00C50EF2">
              <w:rPr>
                <w:rFonts w:ascii="Verdana" w:eastAsia="Times New Roman" w:hAnsi="Verdana" w:cs="Calibri"/>
                <w:color w:val="000000"/>
                <w:sz w:val="18"/>
                <w:szCs w:val="18"/>
                <w:lang w:eastAsia="pt-BR"/>
              </w:rPr>
              <w:t>-</w:t>
            </w:r>
          </w:p>
        </w:tc>
        <w:tc>
          <w:tcPr>
            <w:tcW w:w="163" w:type="dxa"/>
            <w:tcBorders>
              <w:top w:val="nil"/>
              <w:left w:val="nil"/>
              <w:bottom w:val="nil"/>
              <w:right w:val="nil"/>
            </w:tcBorders>
            <w:shd w:val="clear" w:color="auto" w:fill="auto"/>
            <w:noWrap/>
            <w:vAlign w:val="bottom"/>
            <w:hideMark/>
          </w:tcPr>
          <w:p w14:paraId="005A3DCD" w14:textId="77777777" w:rsidR="00C50EF2" w:rsidRPr="00C50EF2" w:rsidRDefault="00C50EF2" w:rsidP="00C50EF2">
            <w:pPr>
              <w:spacing w:after="0" w:line="240" w:lineRule="auto"/>
              <w:jc w:val="right"/>
              <w:rPr>
                <w:rFonts w:ascii="Verdana" w:eastAsia="Times New Roman" w:hAnsi="Verdana" w:cs="Calibri"/>
                <w:color w:val="000000"/>
                <w:sz w:val="18"/>
                <w:szCs w:val="18"/>
                <w:lang w:eastAsia="pt-BR"/>
              </w:rPr>
            </w:pPr>
          </w:p>
        </w:tc>
        <w:tc>
          <w:tcPr>
            <w:tcW w:w="1590" w:type="dxa"/>
            <w:tcBorders>
              <w:top w:val="nil"/>
              <w:left w:val="nil"/>
              <w:bottom w:val="nil"/>
              <w:right w:val="nil"/>
            </w:tcBorders>
            <w:shd w:val="clear" w:color="auto" w:fill="auto"/>
            <w:noWrap/>
            <w:vAlign w:val="center"/>
            <w:hideMark/>
          </w:tcPr>
          <w:p w14:paraId="210191E1" w14:textId="3E1B4F32" w:rsidR="00C50EF2" w:rsidRPr="00C50EF2" w:rsidRDefault="00C50EF2" w:rsidP="00C50EF2">
            <w:pPr>
              <w:spacing w:after="0" w:line="240" w:lineRule="auto"/>
              <w:jc w:val="right"/>
              <w:rPr>
                <w:rFonts w:ascii="Verdana" w:eastAsia="Times New Roman" w:hAnsi="Verdana" w:cs="Calibri"/>
                <w:color w:val="000000"/>
                <w:sz w:val="18"/>
                <w:szCs w:val="18"/>
                <w:lang w:eastAsia="pt-BR"/>
              </w:rPr>
            </w:pPr>
            <w:r w:rsidRPr="00C50EF2">
              <w:rPr>
                <w:rFonts w:ascii="Verdana" w:eastAsia="Times New Roman" w:hAnsi="Verdana" w:cs="Calibri"/>
                <w:color w:val="000000"/>
                <w:sz w:val="18"/>
                <w:szCs w:val="18"/>
                <w:lang w:eastAsia="pt-BR"/>
              </w:rPr>
              <w:t>(26.329)</w:t>
            </w:r>
          </w:p>
        </w:tc>
        <w:tc>
          <w:tcPr>
            <w:tcW w:w="151" w:type="dxa"/>
            <w:tcBorders>
              <w:top w:val="nil"/>
              <w:left w:val="nil"/>
              <w:bottom w:val="nil"/>
              <w:right w:val="nil"/>
            </w:tcBorders>
            <w:shd w:val="clear" w:color="auto" w:fill="auto"/>
            <w:noWrap/>
            <w:vAlign w:val="center"/>
            <w:hideMark/>
          </w:tcPr>
          <w:p w14:paraId="54462541" w14:textId="77777777" w:rsidR="00C50EF2" w:rsidRPr="00C50EF2" w:rsidRDefault="00C50EF2" w:rsidP="00C50EF2">
            <w:pPr>
              <w:spacing w:after="0" w:line="240" w:lineRule="auto"/>
              <w:jc w:val="right"/>
              <w:rPr>
                <w:rFonts w:ascii="Verdana" w:eastAsia="Times New Roman" w:hAnsi="Verdana" w:cs="Calibri"/>
                <w:color w:val="000000"/>
                <w:sz w:val="18"/>
                <w:szCs w:val="18"/>
                <w:lang w:eastAsia="pt-BR"/>
              </w:rPr>
            </w:pPr>
          </w:p>
        </w:tc>
        <w:tc>
          <w:tcPr>
            <w:tcW w:w="1409" w:type="dxa"/>
            <w:tcBorders>
              <w:top w:val="nil"/>
              <w:left w:val="nil"/>
              <w:bottom w:val="nil"/>
              <w:right w:val="nil"/>
            </w:tcBorders>
            <w:shd w:val="clear" w:color="auto" w:fill="auto"/>
            <w:noWrap/>
            <w:vAlign w:val="center"/>
            <w:hideMark/>
          </w:tcPr>
          <w:p w14:paraId="220FFF8A" w14:textId="3880A106" w:rsidR="00C50EF2" w:rsidRPr="00C50EF2" w:rsidRDefault="00C50EF2" w:rsidP="00C50EF2">
            <w:pPr>
              <w:spacing w:after="0" w:line="240" w:lineRule="auto"/>
              <w:jc w:val="right"/>
              <w:rPr>
                <w:rFonts w:ascii="Verdana" w:eastAsia="Times New Roman" w:hAnsi="Verdana" w:cs="Calibri"/>
                <w:color w:val="000000"/>
                <w:sz w:val="18"/>
                <w:szCs w:val="18"/>
                <w:lang w:eastAsia="pt-BR"/>
              </w:rPr>
            </w:pPr>
            <w:r w:rsidRPr="00C50EF2">
              <w:rPr>
                <w:rFonts w:ascii="Verdana" w:eastAsia="Times New Roman" w:hAnsi="Verdana" w:cs="Calibri"/>
                <w:color w:val="000000"/>
                <w:sz w:val="18"/>
                <w:szCs w:val="18"/>
                <w:lang w:eastAsia="pt-BR"/>
              </w:rPr>
              <w:t>(26.329)</w:t>
            </w:r>
          </w:p>
        </w:tc>
      </w:tr>
      <w:tr w:rsidR="00C50EF2" w:rsidRPr="00C50EF2" w14:paraId="53AFCA5A" w14:textId="77777777" w:rsidTr="00B63957">
        <w:trPr>
          <w:gridAfter w:val="1"/>
          <w:wAfter w:w="405" w:type="dxa"/>
          <w:trHeight w:val="20"/>
        </w:trPr>
        <w:tc>
          <w:tcPr>
            <w:tcW w:w="4450" w:type="dxa"/>
            <w:tcBorders>
              <w:top w:val="nil"/>
              <w:left w:val="nil"/>
              <w:bottom w:val="nil"/>
              <w:right w:val="nil"/>
            </w:tcBorders>
            <w:shd w:val="clear" w:color="auto" w:fill="auto"/>
            <w:noWrap/>
            <w:vAlign w:val="center"/>
            <w:hideMark/>
          </w:tcPr>
          <w:p w14:paraId="3A799AF7" w14:textId="77777777" w:rsidR="00C50EF2" w:rsidRPr="00C50EF2" w:rsidRDefault="00C50EF2" w:rsidP="00C50EF2">
            <w:pPr>
              <w:spacing w:after="0" w:line="240" w:lineRule="auto"/>
              <w:rPr>
                <w:rFonts w:ascii="Verdana" w:eastAsia="Times New Roman" w:hAnsi="Verdana" w:cs="Calibri"/>
                <w:color w:val="000000"/>
                <w:sz w:val="18"/>
                <w:szCs w:val="18"/>
                <w:lang w:eastAsia="pt-BR"/>
              </w:rPr>
            </w:pPr>
            <w:r w:rsidRPr="00C50EF2">
              <w:rPr>
                <w:rFonts w:ascii="Verdana" w:eastAsia="Times New Roman" w:hAnsi="Verdana" w:cs="Calibri"/>
                <w:color w:val="000000"/>
                <w:sz w:val="18"/>
                <w:szCs w:val="18"/>
                <w:lang w:eastAsia="pt-BR"/>
              </w:rPr>
              <w:t xml:space="preserve">    Outros Custos</w:t>
            </w:r>
          </w:p>
        </w:tc>
        <w:tc>
          <w:tcPr>
            <w:tcW w:w="229" w:type="dxa"/>
            <w:tcBorders>
              <w:top w:val="nil"/>
              <w:left w:val="nil"/>
              <w:bottom w:val="nil"/>
              <w:right w:val="nil"/>
            </w:tcBorders>
            <w:shd w:val="clear" w:color="auto" w:fill="auto"/>
            <w:noWrap/>
            <w:vAlign w:val="bottom"/>
            <w:hideMark/>
          </w:tcPr>
          <w:p w14:paraId="663ABDBC" w14:textId="77777777" w:rsidR="00C50EF2" w:rsidRPr="00C50EF2" w:rsidRDefault="00C50EF2" w:rsidP="00C50EF2">
            <w:pPr>
              <w:spacing w:after="0" w:line="240" w:lineRule="auto"/>
              <w:rPr>
                <w:rFonts w:ascii="Verdana" w:eastAsia="Times New Roman" w:hAnsi="Verdana" w:cs="Calibri"/>
                <w:color w:val="000000"/>
                <w:sz w:val="18"/>
                <w:szCs w:val="18"/>
                <w:lang w:eastAsia="pt-BR"/>
              </w:rPr>
            </w:pPr>
          </w:p>
        </w:tc>
        <w:tc>
          <w:tcPr>
            <w:tcW w:w="1417" w:type="dxa"/>
            <w:tcBorders>
              <w:top w:val="nil"/>
              <w:left w:val="nil"/>
              <w:bottom w:val="single" w:sz="8" w:space="0" w:color="auto"/>
              <w:right w:val="nil"/>
            </w:tcBorders>
            <w:shd w:val="clear" w:color="auto" w:fill="auto"/>
            <w:noWrap/>
            <w:vAlign w:val="center"/>
            <w:hideMark/>
          </w:tcPr>
          <w:p w14:paraId="768DC47D" w14:textId="2207343B" w:rsidR="00C50EF2" w:rsidRPr="00C50EF2" w:rsidRDefault="00C50EF2" w:rsidP="00C50EF2">
            <w:pPr>
              <w:spacing w:after="0" w:line="240" w:lineRule="auto"/>
              <w:jc w:val="right"/>
              <w:rPr>
                <w:rFonts w:ascii="Verdana" w:eastAsia="Times New Roman" w:hAnsi="Verdana" w:cs="Calibri"/>
                <w:color w:val="000000"/>
                <w:sz w:val="18"/>
                <w:szCs w:val="18"/>
                <w:lang w:eastAsia="pt-BR"/>
              </w:rPr>
            </w:pPr>
            <w:r w:rsidRPr="00C50EF2">
              <w:rPr>
                <w:rFonts w:ascii="Verdana" w:eastAsia="Times New Roman" w:hAnsi="Verdana" w:cs="Calibri"/>
                <w:color w:val="000000"/>
                <w:sz w:val="18"/>
                <w:szCs w:val="18"/>
                <w:lang w:eastAsia="pt-BR"/>
              </w:rPr>
              <w:t>-</w:t>
            </w:r>
          </w:p>
        </w:tc>
        <w:tc>
          <w:tcPr>
            <w:tcW w:w="151" w:type="dxa"/>
            <w:tcBorders>
              <w:top w:val="nil"/>
              <w:left w:val="nil"/>
              <w:bottom w:val="nil"/>
              <w:right w:val="nil"/>
            </w:tcBorders>
            <w:shd w:val="clear" w:color="auto" w:fill="auto"/>
            <w:noWrap/>
            <w:vAlign w:val="bottom"/>
            <w:hideMark/>
          </w:tcPr>
          <w:p w14:paraId="37B7DE88" w14:textId="77777777" w:rsidR="00C50EF2" w:rsidRPr="00C50EF2" w:rsidRDefault="00C50EF2" w:rsidP="00C50EF2">
            <w:pPr>
              <w:spacing w:after="0" w:line="240" w:lineRule="auto"/>
              <w:jc w:val="right"/>
              <w:rPr>
                <w:rFonts w:ascii="Verdana" w:eastAsia="Times New Roman" w:hAnsi="Verdana" w:cs="Calibri"/>
                <w:color w:val="000000"/>
                <w:sz w:val="18"/>
                <w:szCs w:val="18"/>
                <w:lang w:eastAsia="pt-BR"/>
              </w:rPr>
            </w:pPr>
          </w:p>
        </w:tc>
        <w:tc>
          <w:tcPr>
            <w:tcW w:w="1271" w:type="dxa"/>
            <w:tcBorders>
              <w:top w:val="nil"/>
              <w:left w:val="nil"/>
              <w:bottom w:val="single" w:sz="8" w:space="0" w:color="auto"/>
              <w:right w:val="nil"/>
            </w:tcBorders>
            <w:shd w:val="clear" w:color="auto" w:fill="auto"/>
            <w:noWrap/>
            <w:vAlign w:val="center"/>
            <w:hideMark/>
          </w:tcPr>
          <w:p w14:paraId="23E0C945" w14:textId="560E95A2" w:rsidR="00C50EF2" w:rsidRPr="00C50EF2" w:rsidRDefault="00C50EF2" w:rsidP="00C50EF2">
            <w:pPr>
              <w:spacing w:after="0" w:line="240" w:lineRule="auto"/>
              <w:jc w:val="right"/>
              <w:rPr>
                <w:rFonts w:ascii="Verdana" w:eastAsia="Times New Roman" w:hAnsi="Verdana" w:cs="Calibri"/>
                <w:color w:val="000000"/>
                <w:sz w:val="18"/>
                <w:szCs w:val="18"/>
                <w:lang w:eastAsia="pt-BR"/>
              </w:rPr>
            </w:pPr>
            <w:r w:rsidRPr="00C50EF2">
              <w:rPr>
                <w:rFonts w:ascii="Verdana" w:eastAsia="Times New Roman" w:hAnsi="Verdana" w:cs="Calibri"/>
                <w:color w:val="000000"/>
                <w:sz w:val="18"/>
                <w:szCs w:val="18"/>
                <w:lang w:eastAsia="pt-BR"/>
              </w:rPr>
              <w:t>-</w:t>
            </w:r>
          </w:p>
        </w:tc>
        <w:tc>
          <w:tcPr>
            <w:tcW w:w="163" w:type="dxa"/>
            <w:tcBorders>
              <w:top w:val="nil"/>
              <w:left w:val="nil"/>
              <w:bottom w:val="nil"/>
              <w:right w:val="nil"/>
            </w:tcBorders>
            <w:shd w:val="clear" w:color="auto" w:fill="auto"/>
            <w:noWrap/>
            <w:vAlign w:val="bottom"/>
            <w:hideMark/>
          </w:tcPr>
          <w:p w14:paraId="019628F2" w14:textId="77777777" w:rsidR="00C50EF2" w:rsidRPr="00C50EF2" w:rsidRDefault="00C50EF2" w:rsidP="00C50EF2">
            <w:pPr>
              <w:spacing w:after="0" w:line="240" w:lineRule="auto"/>
              <w:jc w:val="right"/>
              <w:rPr>
                <w:rFonts w:ascii="Verdana" w:eastAsia="Times New Roman" w:hAnsi="Verdana" w:cs="Calibri"/>
                <w:color w:val="000000"/>
                <w:sz w:val="18"/>
                <w:szCs w:val="18"/>
                <w:lang w:eastAsia="pt-BR"/>
              </w:rPr>
            </w:pPr>
          </w:p>
        </w:tc>
        <w:tc>
          <w:tcPr>
            <w:tcW w:w="1590" w:type="dxa"/>
            <w:tcBorders>
              <w:top w:val="nil"/>
              <w:left w:val="nil"/>
              <w:bottom w:val="single" w:sz="8" w:space="0" w:color="auto"/>
              <w:right w:val="nil"/>
            </w:tcBorders>
            <w:shd w:val="clear" w:color="auto" w:fill="auto"/>
            <w:noWrap/>
            <w:vAlign w:val="center"/>
            <w:hideMark/>
          </w:tcPr>
          <w:p w14:paraId="78AD8D53" w14:textId="2307CA9D" w:rsidR="00C50EF2" w:rsidRPr="00C50EF2" w:rsidRDefault="00C50EF2" w:rsidP="00C50EF2">
            <w:pPr>
              <w:spacing w:after="0" w:line="240" w:lineRule="auto"/>
              <w:jc w:val="right"/>
              <w:rPr>
                <w:rFonts w:ascii="Verdana" w:eastAsia="Times New Roman" w:hAnsi="Verdana" w:cs="Calibri"/>
                <w:color w:val="000000"/>
                <w:sz w:val="18"/>
                <w:szCs w:val="18"/>
                <w:lang w:eastAsia="pt-BR"/>
              </w:rPr>
            </w:pPr>
            <w:r w:rsidRPr="00C50EF2">
              <w:rPr>
                <w:rFonts w:ascii="Verdana" w:eastAsia="Times New Roman" w:hAnsi="Verdana" w:cs="Calibri"/>
                <w:color w:val="000000"/>
                <w:sz w:val="18"/>
                <w:szCs w:val="18"/>
                <w:lang w:eastAsia="pt-BR"/>
              </w:rPr>
              <w:t>(5.748)</w:t>
            </w:r>
          </w:p>
        </w:tc>
        <w:tc>
          <w:tcPr>
            <w:tcW w:w="151" w:type="dxa"/>
            <w:tcBorders>
              <w:top w:val="nil"/>
              <w:left w:val="nil"/>
              <w:bottom w:val="nil"/>
              <w:right w:val="nil"/>
            </w:tcBorders>
            <w:shd w:val="clear" w:color="auto" w:fill="auto"/>
            <w:noWrap/>
            <w:vAlign w:val="bottom"/>
            <w:hideMark/>
          </w:tcPr>
          <w:p w14:paraId="351398F3" w14:textId="77777777" w:rsidR="00C50EF2" w:rsidRPr="00C50EF2" w:rsidRDefault="00C50EF2" w:rsidP="00C50EF2">
            <w:pPr>
              <w:spacing w:after="0" w:line="240" w:lineRule="auto"/>
              <w:jc w:val="right"/>
              <w:rPr>
                <w:rFonts w:ascii="Verdana" w:eastAsia="Times New Roman" w:hAnsi="Verdana" w:cs="Calibri"/>
                <w:color w:val="000000"/>
                <w:sz w:val="18"/>
                <w:szCs w:val="18"/>
                <w:lang w:eastAsia="pt-BR"/>
              </w:rPr>
            </w:pPr>
          </w:p>
        </w:tc>
        <w:tc>
          <w:tcPr>
            <w:tcW w:w="1409" w:type="dxa"/>
            <w:tcBorders>
              <w:top w:val="nil"/>
              <w:left w:val="nil"/>
              <w:bottom w:val="single" w:sz="8" w:space="0" w:color="auto"/>
              <w:right w:val="nil"/>
            </w:tcBorders>
            <w:shd w:val="clear" w:color="auto" w:fill="auto"/>
            <w:noWrap/>
            <w:vAlign w:val="center"/>
            <w:hideMark/>
          </w:tcPr>
          <w:p w14:paraId="4BDF6197" w14:textId="29253BBC" w:rsidR="00C50EF2" w:rsidRPr="00C50EF2" w:rsidRDefault="00C50EF2" w:rsidP="00C50EF2">
            <w:pPr>
              <w:spacing w:after="0" w:line="240" w:lineRule="auto"/>
              <w:jc w:val="right"/>
              <w:rPr>
                <w:rFonts w:ascii="Verdana" w:eastAsia="Times New Roman" w:hAnsi="Verdana" w:cs="Calibri"/>
                <w:color w:val="000000"/>
                <w:sz w:val="18"/>
                <w:szCs w:val="18"/>
                <w:lang w:eastAsia="pt-BR"/>
              </w:rPr>
            </w:pPr>
            <w:r w:rsidRPr="00C50EF2">
              <w:rPr>
                <w:rFonts w:ascii="Verdana" w:eastAsia="Times New Roman" w:hAnsi="Verdana" w:cs="Calibri"/>
                <w:color w:val="000000"/>
                <w:sz w:val="18"/>
                <w:szCs w:val="18"/>
                <w:lang w:eastAsia="pt-BR"/>
              </w:rPr>
              <w:t>(5.748)</w:t>
            </w:r>
          </w:p>
        </w:tc>
      </w:tr>
      <w:tr w:rsidR="00C50EF2" w:rsidRPr="00C50EF2" w14:paraId="6BB52B72" w14:textId="77777777" w:rsidTr="00B63957">
        <w:trPr>
          <w:gridAfter w:val="1"/>
          <w:wAfter w:w="405" w:type="dxa"/>
          <w:trHeight w:val="20"/>
        </w:trPr>
        <w:tc>
          <w:tcPr>
            <w:tcW w:w="4450" w:type="dxa"/>
            <w:tcBorders>
              <w:top w:val="nil"/>
              <w:left w:val="nil"/>
              <w:bottom w:val="nil"/>
              <w:right w:val="nil"/>
            </w:tcBorders>
            <w:shd w:val="clear" w:color="auto" w:fill="auto"/>
            <w:noWrap/>
            <w:vAlign w:val="center"/>
            <w:hideMark/>
          </w:tcPr>
          <w:p w14:paraId="19F2B923" w14:textId="77777777" w:rsidR="00C50EF2" w:rsidRPr="00C50EF2" w:rsidRDefault="00C50EF2" w:rsidP="00C50EF2">
            <w:pPr>
              <w:spacing w:after="0" w:line="240" w:lineRule="auto"/>
              <w:jc w:val="right"/>
              <w:rPr>
                <w:rFonts w:ascii="Verdana" w:eastAsia="Times New Roman" w:hAnsi="Verdana" w:cs="Calibri"/>
                <w:color w:val="000000"/>
                <w:sz w:val="18"/>
                <w:szCs w:val="18"/>
                <w:lang w:eastAsia="pt-BR"/>
              </w:rPr>
            </w:pPr>
          </w:p>
        </w:tc>
        <w:tc>
          <w:tcPr>
            <w:tcW w:w="229" w:type="dxa"/>
            <w:tcBorders>
              <w:top w:val="nil"/>
              <w:left w:val="nil"/>
              <w:bottom w:val="nil"/>
              <w:right w:val="nil"/>
            </w:tcBorders>
            <w:shd w:val="clear" w:color="auto" w:fill="auto"/>
            <w:noWrap/>
            <w:vAlign w:val="center"/>
            <w:hideMark/>
          </w:tcPr>
          <w:p w14:paraId="0FB53069" w14:textId="77777777" w:rsidR="00C50EF2" w:rsidRPr="00C50EF2" w:rsidRDefault="00C50EF2" w:rsidP="00C50EF2">
            <w:pPr>
              <w:spacing w:after="0" w:line="240" w:lineRule="auto"/>
              <w:rPr>
                <w:rFonts w:ascii="Times New Roman" w:eastAsia="Times New Roman" w:hAnsi="Times New Roman" w:cs="Times New Roman"/>
                <w:sz w:val="20"/>
                <w:szCs w:val="20"/>
                <w:lang w:eastAsia="pt-BR"/>
              </w:rPr>
            </w:pPr>
          </w:p>
        </w:tc>
        <w:tc>
          <w:tcPr>
            <w:tcW w:w="1417" w:type="dxa"/>
            <w:tcBorders>
              <w:top w:val="nil"/>
              <w:left w:val="nil"/>
              <w:bottom w:val="double" w:sz="6" w:space="0" w:color="auto"/>
              <w:right w:val="nil"/>
            </w:tcBorders>
            <w:shd w:val="clear" w:color="auto" w:fill="auto"/>
            <w:noWrap/>
            <w:vAlign w:val="center"/>
            <w:hideMark/>
          </w:tcPr>
          <w:p w14:paraId="350EE491" w14:textId="54C78835" w:rsidR="00C50EF2" w:rsidRPr="00C50EF2" w:rsidRDefault="00C50EF2" w:rsidP="00C50EF2">
            <w:pPr>
              <w:spacing w:after="0" w:line="240" w:lineRule="auto"/>
              <w:jc w:val="right"/>
              <w:rPr>
                <w:rFonts w:ascii="Verdana" w:eastAsia="Times New Roman" w:hAnsi="Verdana" w:cs="Calibri"/>
                <w:b/>
                <w:bCs/>
                <w:color w:val="000000"/>
                <w:sz w:val="18"/>
                <w:szCs w:val="18"/>
                <w:lang w:eastAsia="pt-BR"/>
              </w:rPr>
            </w:pPr>
            <w:r w:rsidRPr="00C50EF2">
              <w:rPr>
                <w:rFonts w:ascii="Verdana" w:eastAsia="Times New Roman" w:hAnsi="Verdana" w:cs="Calibri"/>
                <w:b/>
                <w:bCs/>
                <w:color w:val="000000"/>
                <w:sz w:val="18"/>
                <w:szCs w:val="18"/>
                <w:lang w:eastAsia="pt-BR"/>
              </w:rPr>
              <w:t>-</w:t>
            </w:r>
          </w:p>
        </w:tc>
        <w:tc>
          <w:tcPr>
            <w:tcW w:w="151" w:type="dxa"/>
            <w:tcBorders>
              <w:top w:val="nil"/>
              <w:left w:val="nil"/>
              <w:bottom w:val="nil"/>
              <w:right w:val="nil"/>
            </w:tcBorders>
            <w:shd w:val="clear" w:color="auto" w:fill="auto"/>
            <w:noWrap/>
            <w:vAlign w:val="center"/>
            <w:hideMark/>
          </w:tcPr>
          <w:p w14:paraId="17635FE7" w14:textId="77777777" w:rsidR="00C50EF2" w:rsidRPr="00C50EF2" w:rsidRDefault="00C50EF2" w:rsidP="00C50EF2">
            <w:pPr>
              <w:spacing w:after="0" w:line="240" w:lineRule="auto"/>
              <w:jc w:val="right"/>
              <w:rPr>
                <w:rFonts w:ascii="Verdana" w:eastAsia="Times New Roman" w:hAnsi="Verdana" w:cs="Calibri"/>
                <w:b/>
                <w:bCs/>
                <w:color w:val="000000"/>
                <w:sz w:val="18"/>
                <w:szCs w:val="18"/>
                <w:lang w:eastAsia="pt-BR"/>
              </w:rPr>
            </w:pPr>
          </w:p>
        </w:tc>
        <w:tc>
          <w:tcPr>
            <w:tcW w:w="1271" w:type="dxa"/>
            <w:tcBorders>
              <w:top w:val="nil"/>
              <w:left w:val="nil"/>
              <w:bottom w:val="double" w:sz="6" w:space="0" w:color="auto"/>
              <w:right w:val="nil"/>
            </w:tcBorders>
            <w:shd w:val="clear" w:color="auto" w:fill="auto"/>
            <w:noWrap/>
            <w:vAlign w:val="center"/>
            <w:hideMark/>
          </w:tcPr>
          <w:p w14:paraId="5A62D07F" w14:textId="54C96076" w:rsidR="00C50EF2" w:rsidRPr="00C50EF2" w:rsidRDefault="00C50EF2" w:rsidP="00C50EF2">
            <w:pPr>
              <w:spacing w:after="0" w:line="240" w:lineRule="auto"/>
              <w:jc w:val="right"/>
              <w:rPr>
                <w:rFonts w:ascii="Verdana" w:eastAsia="Times New Roman" w:hAnsi="Verdana" w:cs="Calibri"/>
                <w:b/>
                <w:bCs/>
                <w:color w:val="000000"/>
                <w:sz w:val="18"/>
                <w:szCs w:val="18"/>
                <w:lang w:eastAsia="pt-BR"/>
              </w:rPr>
            </w:pPr>
            <w:r w:rsidRPr="00C50EF2">
              <w:rPr>
                <w:rFonts w:ascii="Verdana" w:eastAsia="Times New Roman" w:hAnsi="Verdana" w:cs="Calibri"/>
                <w:b/>
                <w:bCs/>
                <w:color w:val="000000"/>
                <w:sz w:val="18"/>
                <w:szCs w:val="18"/>
                <w:lang w:eastAsia="pt-BR"/>
              </w:rPr>
              <w:t>-</w:t>
            </w:r>
          </w:p>
        </w:tc>
        <w:tc>
          <w:tcPr>
            <w:tcW w:w="163" w:type="dxa"/>
            <w:tcBorders>
              <w:top w:val="nil"/>
              <w:left w:val="nil"/>
              <w:bottom w:val="nil"/>
              <w:right w:val="nil"/>
            </w:tcBorders>
            <w:shd w:val="clear" w:color="auto" w:fill="auto"/>
            <w:noWrap/>
            <w:vAlign w:val="bottom"/>
            <w:hideMark/>
          </w:tcPr>
          <w:p w14:paraId="1BE57F17" w14:textId="77777777" w:rsidR="00C50EF2" w:rsidRPr="00C50EF2" w:rsidRDefault="00C50EF2" w:rsidP="00C50EF2">
            <w:pPr>
              <w:spacing w:after="0" w:line="240" w:lineRule="auto"/>
              <w:jc w:val="right"/>
              <w:rPr>
                <w:rFonts w:ascii="Verdana" w:eastAsia="Times New Roman" w:hAnsi="Verdana" w:cs="Calibri"/>
                <w:b/>
                <w:bCs/>
                <w:color w:val="000000"/>
                <w:sz w:val="18"/>
                <w:szCs w:val="18"/>
                <w:lang w:eastAsia="pt-BR"/>
              </w:rPr>
            </w:pPr>
          </w:p>
        </w:tc>
        <w:tc>
          <w:tcPr>
            <w:tcW w:w="1590" w:type="dxa"/>
            <w:tcBorders>
              <w:top w:val="nil"/>
              <w:left w:val="nil"/>
              <w:bottom w:val="double" w:sz="6" w:space="0" w:color="auto"/>
              <w:right w:val="nil"/>
            </w:tcBorders>
            <w:shd w:val="clear" w:color="auto" w:fill="auto"/>
            <w:noWrap/>
            <w:vAlign w:val="center"/>
            <w:hideMark/>
          </w:tcPr>
          <w:p w14:paraId="4E495EDC" w14:textId="1DB1C06A" w:rsidR="00C50EF2" w:rsidRPr="00C50EF2" w:rsidRDefault="00C50EF2" w:rsidP="00C50EF2">
            <w:pPr>
              <w:spacing w:after="0" w:line="240" w:lineRule="auto"/>
              <w:jc w:val="right"/>
              <w:rPr>
                <w:rFonts w:ascii="Verdana" w:eastAsia="Times New Roman" w:hAnsi="Verdana" w:cs="Calibri"/>
                <w:b/>
                <w:bCs/>
                <w:color w:val="000000"/>
                <w:sz w:val="18"/>
                <w:szCs w:val="18"/>
                <w:lang w:eastAsia="pt-BR"/>
              </w:rPr>
            </w:pPr>
            <w:r w:rsidRPr="00C50EF2">
              <w:rPr>
                <w:rFonts w:ascii="Verdana" w:eastAsia="Times New Roman" w:hAnsi="Verdana" w:cs="Calibri"/>
                <w:b/>
                <w:bCs/>
                <w:color w:val="000000"/>
                <w:sz w:val="18"/>
                <w:szCs w:val="18"/>
                <w:lang w:eastAsia="pt-BR"/>
              </w:rPr>
              <w:t>(209.656)</w:t>
            </w:r>
          </w:p>
        </w:tc>
        <w:tc>
          <w:tcPr>
            <w:tcW w:w="151" w:type="dxa"/>
            <w:tcBorders>
              <w:top w:val="nil"/>
              <w:left w:val="nil"/>
              <w:bottom w:val="nil"/>
              <w:right w:val="nil"/>
            </w:tcBorders>
            <w:shd w:val="clear" w:color="auto" w:fill="auto"/>
            <w:noWrap/>
            <w:vAlign w:val="center"/>
            <w:hideMark/>
          </w:tcPr>
          <w:p w14:paraId="6FC8FF07" w14:textId="77777777" w:rsidR="00C50EF2" w:rsidRPr="00C50EF2" w:rsidRDefault="00C50EF2" w:rsidP="00C50EF2">
            <w:pPr>
              <w:spacing w:after="0" w:line="240" w:lineRule="auto"/>
              <w:jc w:val="right"/>
              <w:rPr>
                <w:rFonts w:ascii="Verdana" w:eastAsia="Times New Roman" w:hAnsi="Verdana" w:cs="Calibri"/>
                <w:b/>
                <w:bCs/>
                <w:color w:val="000000"/>
                <w:sz w:val="18"/>
                <w:szCs w:val="18"/>
                <w:lang w:eastAsia="pt-BR"/>
              </w:rPr>
            </w:pPr>
          </w:p>
        </w:tc>
        <w:tc>
          <w:tcPr>
            <w:tcW w:w="1409" w:type="dxa"/>
            <w:tcBorders>
              <w:top w:val="nil"/>
              <w:left w:val="nil"/>
              <w:bottom w:val="double" w:sz="6" w:space="0" w:color="auto"/>
              <w:right w:val="nil"/>
            </w:tcBorders>
            <w:shd w:val="clear" w:color="auto" w:fill="auto"/>
            <w:noWrap/>
            <w:vAlign w:val="center"/>
            <w:hideMark/>
          </w:tcPr>
          <w:p w14:paraId="0CEC98F8" w14:textId="2F75F5E9" w:rsidR="00C50EF2" w:rsidRPr="00C50EF2" w:rsidRDefault="00C50EF2" w:rsidP="00C50EF2">
            <w:pPr>
              <w:spacing w:after="0" w:line="240" w:lineRule="auto"/>
              <w:jc w:val="right"/>
              <w:rPr>
                <w:rFonts w:ascii="Verdana" w:eastAsia="Times New Roman" w:hAnsi="Verdana" w:cs="Calibri"/>
                <w:b/>
                <w:bCs/>
                <w:color w:val="000000"/>
                <w:sz w:val="18"/>
                <w:szCs w:val="18"/>
                <w:lang w:eastAsia="pt-BR"/>
              </w:rPr>
            </w:pPr>
            <w:r w:rsidRPr="00C50EF2">
              <w:rPr>
                <w:rFonts w:ascii="Verdana" w:eastAsia="Times New Roman" w:hAnsi="Verdana" w:cs="Calibri"/>
                <w:b/>
                <w:bCs/>
                <w:color w:val="000000"/>
                <w:sz w:val="18"/>
                <w:szCs w:val="18"/>
                <w:lang w:eastAsia="pt-BR"/>
              </w:rPr>
              <w:t>(209.656)</w:t>
            </w:r>
          </w:p>
        </w:tc>
      </w:tr>
    </w:tbl>
    <w:p w14:paraId="075C0C11" w14:textId="77777777" w:rsidR="00C144BB" w:rsidRPr="00C144BB" w:rsidRDefault="00C144BB" w:rsidP="00C144BB">
      <w:pPr>
        <w:spacing w:after="0"/>
        <w:jc w:val="both"/>
        <w:rPr>
          <w:rFonts w:ascii="Verdana" w:hAnsi="Verdana" w:cstheme="minorHAnsi"/>
        </w:rPr>
      </w:pPr>
    </w:p>
    <w:p w14:paraId="7147A324" w14:textId="77777777" w:rsidR="00720E7B" w:rsidRPr="00F7132F" w:rsidRDefault="00581D1F" w:rsidP="00720E7B">
      <w:pPr>
        <w:tabs>
          <w:tab w:val="left" w:pos="567"/>
          <w:tab w:val="left" w:pos="1134"/>
          <w:tab w:val="left" w:pos="1701"/>
          <w:tab w:val="left" w:pos="2268"/>
          <w:tab w:val="left" w:pos="2835"/>
        </w:tabs>
        <w:jc w:val="both"/>
        <w:outlineLvl w:val="0"/>
        <w:rPr>
          <w:rFonts w:ascii="Verdana" w:hAnsi="Verdana" w:cstheme="minorHAnsi"/>
          <w:b/>
        </w:rPr>
      </w:pPr>
      <w:r>
        <w:rPr>
          <w:rFonts w:ascii="Verdana" w:hAnsi="Verdana" w:cstheme="minorHAnsi"/>
          <w:b/>
        </w:rPr>
        <w:t>25</w:t>
      </w:r>
      <w:r w:rsidR="00F4139F" w:rsidRPr="00F7132F">
        <w:rPr>
          <w:rFonts w:ascii="Verdana" w:hAnsi="Verdana" w:cstheme="minorHAnsi"/>
          <w:b/>
        </w:rPr>
        <w:t xml:space="preserve"> </w:t>
      </w:r>
      <w:r w:rsidR="00720E7B" w:rsidRPr="00F7132F">
        <w:rPr>
          <w:rFonts w:ascii="Verdana" w:hAnsi="Verdana" w:cstheme="minorHAnsi"/>
          <w:b/>
        </w:rPr>
        <w:t>– DESPESAS OPERACIONAIS</w:t>
      </w:r>
    </w:p>
    <w:tbl>
      <w:tblPr>
        <w:tblW w:w="10374" w:type="dxa"/>
        <w:tblInd w:w="-426" w:type="dxa"/>
        <w:tblCellMar>
          <w:left w:w="70" w:type="dxa"/>
          <w:right w:w="70" w:type="dxa"/>
        </w:tblCellMar>
        <w:tblLook w:val="04A0" w:firstRow="1" w:lastRow="0" w:firstColumn="1" w:lastColumn="0" w:noHBand="0" w:noVBand="1"/>
      </w:tblPr>
      <w:tblGrid>
        <w:gridCol w:w="3880"/>
        <w:gridCol w:w="200"/>
        <w:gridCol w:w="1495"/>
        <w:gridCol w:w="146"/>
        <w:gridCol w:w="1366"/>
        <w:gridCol w:w="240"/>
        <w:gridCol w:w="1440"/>
        <w:gridCol w:w="146"/>
        <w:gridCol w:w="1461"/>
      </w:tblGrid>
      <w:tr w:rsidR="00B27E82" w:rsidRPr="00B27E82" w14:paraId="0531E80F" w14:textId="77777777" w:rsidTr="003072B4">
        <w:trPr>
          <w:trHeight w:val="20"/>
        </w:trPr>
        <w:tc>
          <w:tcPr>
            <w:tcW w:w="3880" w:type="dxa"/>
            <w:tcBorders>
              <w:top w:val="nil"/>
              <w:left w:val="nil"/>
              <w:bottom w:val="nil"/>
              <w:right w:val="nil"/>
            </w:tcBorders>
            <w:shd w:val="clear" w:color="auto" w:fill="auto"/>
            <w:noWrap/>
            <w:vAlign w:val="center"/>
            <w:hideMark/>
          </w:tcPr>
          <w:p w14:paraId="6EE07433" w14:textId="77777777" w:rsidR="00B27E82" w:rsidRPr="00B27E82" w:rsidRDefault="00B27E82" w:rsidP="00B27E82">
            <w:pPr>
              <w:spacing w:after="0" w:line="240" w:lineRule="auto"/>
              <w:rPr>
                <w:rFonts w:ascii="Calibri" w:eastAsia="Times New Roman" w:hAnsi="Calibri" w:cs="Calibri"/>
                <w:color w:val="000000"/>
                <w:lang w:eastAsia="pt-BR"/>
              </w:rPr>
            </w:pPr>
          </w:p>
        </w:tc>
        <w:tc>
          <w:tcPr>
            <w:tcW w:w="200" w:type="dxa"/>
            <w:tcBorders>
              <w:top w:val="nil"/>
              <w:left w:val="nil"/>
              <w:bottom w:val="nil"/>
              <w:right w:val="nil"/>
            </w:tcBorders>
            <w:shd w:val="clear" w:color="auto" w:fill="auto"/>
            <w:noWrap/>
            <w:vAlign w:val="bottom"/>
            <w:hideMark/>
          </w:tcPr>
          <w:p w14:paraId="33D6BDB8" w14:textId="77777777" w:rsidR="00B27E82" w:rsidRPr="00B27E82" w:rsidRDefault="00B27E82" w:rsidP="00B27E82">
            <w:pPr>
              <w:spacing w:after="0" w:line="240" w:lineRule="auto"/>
              <w:rPr>
                <w:rFonts w:ascii="Calibri" w:eastAsia="Times New Roman" w:hAnsi="Calibri" w:cs="Calibri"/>
                <w:color w:val="000000"/>
                <w:lang w:eastAsia="pt-BR"/>
              </w:rPr>
            </w:pPr>
          </w:p>
        </w:tc>
        <w:tc>
          <w:tcPr>
            <w:tcW w:w="3007" w:type="dxa"/>
            <w:gridSpan w:val="3"/>
            <w:tcBorders>
              <w:top w:val="nil"/>
              <w:left w:val="nil"/>
              <w:bottom w:val="nil"/>
              <w:right w:val="nil"/>
            </w:tcBorders>
            <w:shd w:val="clear" w:color="auto" w:fill="auto"/>
            <w:noWrap/>
            <w:vAlign w:val="center"/>
            <w:hideMark/>
          </w:tcPr>
          <w:p w14:paraId="50390100" w14:textId="77777777" w:rsidR="00B27E82" w:rsidRPr="00B27E82" w:rsidRDefault="00B27E82" w:rsidP="00B27E82">
            <w:pPr>
              <w:spacing w:after="0" w:line="240" w:lineRule="auto"/>
              <w:jc w:val="center"/>
              <w:rPr>
                <w:rFonts w:ascii="Verdana" w:eastAsia="Times New Roman" w:hAnsi="Verdana" w:cs="Calibri"/>
                <w:b/>
                <w:bCs/>
                <w:color w:val="000000"/>
                <w:sz w:val="18"/>
                <w:szCs w:val="18"/>
                <w:lang w:eastAsia="pt-BR"/>
              </w:rPr>
            </w:pPr>
            <w:r w:rsidRPr="00B27E82">
              <w:rPr>
                <w:rFonts w:ascii="Verdana" w:eastAsia="Times New Roman" w:hAnsi="Verdana" w:cs="Calibri"/>
                <w:b/>
                <w:bCs/>
                <w:color w:val="000000"/>
                <w:sz w:val="18"/>
                <w:szCs w:val="18"/>
                <w:lang w:eastAsia="pt-BR"/>
              </w:rPr>
              <w:t>Controladora</w:t>
            </w:r>
          </w:p>
        </w:tc>
        <w:tc>
          <w:tcPr>
            <w:tcW w:w="240" w:type="dxa"/>
            <w:tcBorders>
              <w:top w:val="nil"/>
              <w:left w:val="nil"/>
              <w:bottom w:val="nil"/>
              <w:right w:val="nil"/>
            </w:tcBorders>
            <w:shd w:val="clear" w:color="auto" w:fill="auto"/>
            <w:noWrap/>
            <w:vAlign w:val="bottom"/>
            <w:hideMark/>
          </w:tcPr>
          <w:p w14:paraId="35E84FF1" w14:textId="77777777" w:rsidR="00B27E82" w:rsidRPr="00B27E82" w:rsidRDefault="00B27E82" w:rsidP="00B27E82">
            <w:pPr>
              <w:spacing w:after="0" w:line="240" w:lineRule="auto"/>
              <w:jc w:val="center"/>
              <w:rPr>
                <w:rFonts w:ascii="Verdana" w:eastAsia="Times New Roman" w:hAnsi="Verdana" w:cs="Calibri"/>
                <w:b/>
                <w:bCs/>
                <w:color w:val="000000"/>
                <w:sz w:val="18"/>
                <w:szCs w:val="18"/>
                <w:lang w:eastAsia="pt-BR"/>
              </w:rPr>
            </w:pPr>
          </w:p>
        </w:tc>
        <w:tc>
          <w:tcPr>
            <w:tcW w:w="3047" w:type="dxa"/>
            <w:gridSpan w:val="3"/>
            <w:tcBorders>
              <w:top w:val="nil"/>
              <w:left w:val="nil"/>
              <w:bottom w:val="nil"/>
              <w:right w:val="nil"/>
            </w:tcBorders>
            <w:shd w:val="clear" w:color="auto" w:fill="auto"/>
            <w:noWrap/>
            <w:vAlign w:val="center"/>
            <w:hideMark/>
          </w:tcPr>
          <w:p w14:paraId="2C4F9C74" w14:textId="77777777" w:rsidR="00B27E82" w:rsidRPr="00B27E82" w:rsidRDefault="00B27E82" w:rsidP="00B27E82">
            <w:pPr>
              <w:spacing w:after="0" w:line="240" w:lineRule="auto"/>
              <w:jc w:val="center"/>
              <w:rPr>
                <w:rFonts w:ascii="Verdana" w:eastAsia="Times New Roman" w:hAnsi="Verdana" w:cs="Calibri"/>
                <w:b/>
                <w:bCs/>
                <w:color w:val="000000"/>
                <w:sz w:val="18"/>
                <w:szCs w:val="18"/>
                <w:lang w:eastAsia="pt-BR"/>
              </w:rPr>
            </w:pPr>
            <w:r w:rsidRPr="00B27E82">
              <w:rPr>
                <w:rFonts w:ascii="Verdana" w:eastAsia="Times New Roman" w:hAnsi="Verdana" w:cs="Calibri"/>
                <w:b/>
                <w:bCs/>
                <w:color w:val="000000"/>
                <w:sz w:val="18"/>
                <w:szCs w:val="18"/>
                <w:lang w:eastAsia="pt-BR"/>
              </w:rPr>
              <w:t>Consolidado</w:t>
            </w:r>
          </w:p>
        </w:tc>
      </w:tr>
      <w:tr w:rsidR="00B27E82" w:rsidRPr="00B27E82" w14:paraId="739BDE97" w14:textId="77777777" w:rsidTr="003072B4">
        <w:trPr>
          <w:trHeight w:val="20"/>
        </w:trPr>
        <w:tc>
          <w:tcPr>
            <w:tcW w:w="3880" w:type="dxa"/>
            <w:tcBorders>
              <w:top w:val="nil"/>
              <w:left w:val="nil"/>
              <w:bottom w:val="nil"/>
              <w:right w:val="nil"/>
            </w:tcBorders>
            <w:shd w:val="clear" w:color="auto" w:fill="auto"/>
            <w:noWrap/>
            <w:vAlign w:val="bottom"/>
            <w:hideMark/>
          </w:tcPr>
          <w:p w14:paraId="66A039B9" w14:textId="77777777" w:rsidR="00B27E82" w:rsidRPr="00B27E82" w:rsidRDefault="00B27E82" w:rsidP="00B27E82">
            <w:pPr>
              <w:spacing w:after="0" w:line="240" w:lineRule="auto"/>
              <w:jc w:val="center"/>
              <w:rPr>
                <w:rFonts w:ascii="Verdana" w:eastAsia="Times New Roman" w:hAnsi="Verdana" w:cs="Calibri"/>
                <w:b/>
                <w:bCs/>
                <w:color w:val="000000"/>
                <w:sz w:val="18"/>
                <w:szCs w:val="18"/>
                <w:lang w:eastAsia="pt-BR"/>
              </w:rPr>
            </w:pPr>
          </w:p>
        </w:tc>
        <w:tc>
          <w:tcPr>
            <w:tcW w:w="200" w:type="dxa"/>
            <w:tcBorders>
              <w:top w:val="nil"/>
              <w:left w:val="nil"/>
              <w:bottom w:val="nil"/>
              <w:right w:val="nil"/>
            </w:tcBorders>
            <w:shd w:val="clear" w:color="auto" w:fill="auto"/>
            <w:noWrap/>
            <w:vAlign w:val="bottom"/>
            <w:hideMark/>
          </w:tcPr>
          <w:p w14:paraId="2BD369D7" w14:textId="77777777" w:rsidR="00B27E82" w:rsidRPr="00B27E82" w:rsidRDefault="00B27E82" w:rsidP="00B27E82">
            <w:pPr>
              <w:spacing w:after="0" w:line="240" w:lineRule="auto"/>
              <w:rPr>
                <w:rFonts w:ascii="Times New Roman" w:eastAsia="Times New Roman" w:hAnsi="Times New Roman" w:cs="Times New Roman"/>
                <w:sz w:val="20"/>
                <w:szCs w:val="20"/>
                <w:lang w:eastAsia="pt-BR"/>
              </w:rPr>
            </w:pPr>
          </w:p>
        </w:tc>
        <w:tc>
          <w:tcPr>
            <w:tcW w:w="1495" w:type="dxa"/>
            <w:tcBorders>
              <w:top w:val="single" w:sz="4" w:space="0" w:color="auto"/>
              <w:left w:val="nil"/>
              <w:bottom w:val="single" w:sz="4" w:space="0" w:color="auto"/>
              <w:right w:val="nil"/>
            </w:tcBorders>
            <w:shd w:val="clear" w:color="000000" w:fill="FFFFFF"/>
            <w:vAlign w:val="center"/>
            <w:hideMark/>
          </w:tcPr>
          <w:p w14:paraId="68902BB4" w14:textId="77777777" w:rsidR="00B27E82" w:rsidRPr="00B27E82" w:rsidRDefault="00B27E82" w:rsidP="00B27E82">
            <w:pPr>
              <w:spacing w:after="0" w:line="240" w:lineRule="auto"/>
              <w:jc w:val="center"/>
              <w:rPr>
                <w:rFonts w:ascii="Verdana" w:eastAsia="Times New Roman" w:hAnsi="Verdana" w:cs="Calibri"/>
                <w:b/>
                <w:bCs/>
                <w:color w:val="000000"/>
                <w:sz w:val="16"/>
                <w:szCs w:val="16"/>
                <w:lang w:eastAsia="pt-BR"/>
              </w:rPr>
            </w:pPr>
            <w:r w:rsidRPr="00B27E82">
              <w:rPr>
                <w:rFonts w:ascii="Verdana" w:eastAsia="Times New Roman" w:hAnsi="Verdana" w:cs="Calibri"/>
                <w:b/>
                <w:bCs/>
                <w:color w:val="000000"/>
                <w:sz w:val="16"/>
                <w:szCs w:val="16"/>
                <w:lang w:eastAsia="pt-BR"/>
              </w:rPr>
              <w:t xml:space="preserve"> 30/06/2022 </w:t>
            </w:r>
            <w:r w:rsidRPr="00B27E82">
              <w:rPr>
                <w:rFonts w:ascii="Verdana" w:eastAsia="Times New Roman" w:hAnsi="Verdana" w:cs="Calibri"/>
                <w:b/>
                <w:bCs/>
                <w:color w:val="000000"/>
                <w:sz w:val="16"/>
                <w:szCs w:val="16"/>
                <w:lang w:eastAsia="pt-BR"/>
              </w:rPr>
              <w:br/>
              <w:t>(6 meses)</w:t>
            </w:r>
          </w:p>
        </w:tc>
        <w:tc>
          <w:tcPr>
            <w:tcW w:w="146" w:type="dxa"/>
            <w:tcBorders>
              <w:top w:val="nil"/>
              <w:left w:val="nil"/>
              <w:bottom w:val="nil"/>
              <w:right w:val="nil"/>
            </w:tcBorders>
            <w:shd w:val="clear" w:color="auto" w:fill="auto"/>
            <w:noWrap/>
            <w:vAlign w:val="bottom"/>
            <w:hideMark/>
          </w:tcPr>
          <w:p w14:paraId="7DE986FB" w14:textId="77777777" w:rsidR="00B27E82" w:rsidRPr="00B27E82" w:rsidRDefault="00B27E82" w:rsidP="00B27E82">
            <w:pPr>
              <w:spacing w:after="0" w:line="240" w:lineRule="auto"/>
              <w:jc w:val="center"/>
              <w:rPr>
                <w:rFonts w:ascii="Verdana" w:eastAsia="Times New Roman" w:hAnsi="Verdana" w:cs="Calibri"/>
                <w:b/>
                <w:bCs/>
                <w:color w:val="000000"/>
                <w:sz w:val="16"/>
                <w:szCs w:val="16"/>
                <w:lang w:eastAsia="pt-BR"/>
              </w:rPr>
            </w:pPr>
          </w:p>
        </w:tc>
        <w:tc>
          <w:tcPr>
            <w:tcW w:w="1366" w:type="dxa"/>
            <w:tcBorders>
              <w:top w:val="single" w:sz="4" w:space="0" w:color="auto"/>
              <w:left w:val="nil"/>
              <w:bottom w:val="single" w:sz="4" w:space="0" w:color="auto"/>
              <w:right w:val="nil"/>
            </w:tcBorders>
            <w:shd w:val="clear" w:color="000000" w:fill="FFFFFF"/>
            <w:vAlign w:val="center"/>
            <w:hideMark/>
          </w:tcPr>
          <w:p w14:paraId="02EC4F49" w14:textId="77777777" w:rsidR="00B27E82" w:rsidRPr="00B27E82" w:rsidRDefault="00B27E82" w:rsidP="00B27E82">
            <w:pPr>
              <w:spacing w:after="0" w:line="240" w:lineRule="auto"/>
              <w:jc w:val="center"/>
              <w:rPr>
                <w:rFonts w:ascii="Verdana" w:eastAsia="Times New Roman" w:hAnsi="Verdana" w:cs="Calibri"/>
                <w:b/>
                <w:bCs/>
                <w:color w:val="000000"/>
                <w:sz w:val="16"/>
                <w:szCs w:val="16"/>
                <w:lang w:eastAsia="pt-BR"/>
              </w:rPr>
            </w:pPr>
            <w:r w:rsidRPr="00B27E82">
              <w:rPr>
                <w:rFonts w:ascii="Verdana" w:eastAsia="Times New Roman" w:hAnsi="Verdana" w:cs="Calibri"/>
                <w:b/>
                <w:bCs/>
                <w:color w:val="000000"/>
                <w:sz w:val="16"/>
                <w:szCs w:val="16"/>
                <w:lang w:eastAsia="pt-BR"/>
              </w:rPr>
              <w:t xml:space="preserve"> 30/06/2022 </w:t>
            </w:r>
            <w:r w:rsidRPr="00B27E82">
              <w:rPr>
                <w:rFonts w:ascii="Verdana" w:eastAsia="Times New Roman" w:hAnsi="Verdana" w:cs="Calibri"/>
                <w:b/>
                <w:bCs/>
                <w:color w:val="000000"/>
                <w:sz w:val="16"/>
                <w:szCs w:val="16"/>
                <w:lang w:eastAsia="pt-BR"/>
              </w:rPr>
              <w:br/>
              <w:t>(3 meses)</w:t>
            </w:r>
          </w:p>
        </w:tc>
        <w:tc>
          <w:tcPr>
            <w:tcW w:w="240" w:type="dxa"/>
            <w:tcBorders>
              <w:top w:val="nil"/>
              <w:left w:val="nil"/>
              <w:bottom w:val="nil"/>
              <w:right w:val="nil"/>
            </w:tcBorders>
            <w:shd w:val="clear" w:color="auto" w:fill="auto"/>
            <w:noWrap/>
            <w:vAlign w:val="bottom"/>
            <w:hideMark/>
          </w:tcPr>
          <w:p w14:paraId="3EAA5FFD" w14:textId="77777777" w:rsidR="00B27E82" w:rsidRPr="00B27E82" w:rsidRDefault="00B27E82" w:rsidP="00B27E82">
            <w:pPr>
              <w:spacing w:after="0" w:line="240" w:lineRule="auto"/>
              <w:jc w:val="center"/>
              <w:rPr>
                <w:rFonts w:ascii="Verdana" w:eastAsia="Times New Roman" w:hAnsi="Verdana" w:cs="Calibri"/>
                <w:b/>
                <w:bCs/>
                <w:color w:val="000000"/>
                <w:sz w:val="16"/>
                <w:szCs w:val="16"/>
                <w:lang w:eastAsia="pt-BR"/>
              </w:rPr>
            </w:pPr>
          </w:p>
        </w:tc>
        <w:tc>
          <w:tcPr>
            <w:tcW w:w="1440" w:type="dxa"/>
            <w:tcBorders>
              <w:top w:val="single" w:sz="4" w:space="0" w:color="auto"/>
              <w:left w:val="nil"/>
              <w:bottom w:val="single" w:sz="4" w:space="0" w:color="auto"/>
              <w:right w:val="nil"/>
            </w:tcBorders>
            <w:shd w:val="clear" w:color="000000" w:fill="FFFFFF"/>
            <w:vAlign w:val="center"/>
            <w:hideMark/>
          </w:tcPr>
          <w:p w14:paraId="293136CB" w14:textId="77777777" w:rsidR="00B27E82" w:rsidRPr="00B27E82" w:rsidRDefault="00B27E82" w:rsidP="00B27E82">
            <w:pPr>
              <w:spacing w:after="0" w:line="240" w:lineRule="auto"/>
              <w:jc w:val="center"/>
              <w:rPr>
                <w:rFonts w:ascii="Verdana" w:eastAsia="Times New Roman" w:hAnsi="Verdana" w:cs="Calibri"/>
                <w:b/>
                <w:bCs/>
                <w:color w:val="000000"/>
                <w:sz w:val="16"/>
                <w:szCs w:val="16"/>
                <w:lang w:eastAsia="pt-BR"/>
              </w:rPr>
            </w:pPr>
            <w:r w:rsidRPr="00B27E82">
              <w:rPr>
                <w:rFonts w:ascii="Verdana" w:eastAsia="Times New Roman" w:hAnsi="Verdana" w:cs="Calibri"/>
                <w:b/>
                <w:bCs/>
                <w:color w:val="000000"/>
                <w:sz w:val="16"/>
                <w:szCs w:val="16"/>
                <w:lang w:eastAsia="pt-BR"/>
              </w:rPr>
              <w:t xml:space="preserve"> 30/06/2022 </w:t>
            </w:r>
            <w:r w:rsidRPr="00B27E82">
              <w:rPr>
                <w:rFonts w:ascii="Verdana" w:eastAsia="Times New Roman" w:hAnsi="Verdana" w:cs="Calibri"/>
                <w:b/>
                <w:bCs/>
                <w:color w:val="000000"/>
                <w:sz w:val="16"/>
                <w:szCs w:val="16"/>
                <w:lang w:eastAsia="pt-BR"/>
              </w:rPr>
              <w:br/>
              <w:t>(6 meses)</w:t>
            </w:r>
          </w:p>
        </w:tc>
        <w:tc>
          <w:tcPr>
            <w:tcW w:w="146" w:type="dxa"/>
            <w:tcBorders>
              <w:top w:val="nil"/>
              <w:left w:val="nil"/>
              <w:bottom w:val="nil"/>
              <w:right w:val="nil"/>
            </w:tcBorders>
            <w:shd w:val="clear" w:color="auto" w:fill="auto"/>
            <w:noWrap/>
            <w:vAlign w:val="bottom"/>
            <w:hideMark/>
          </w:tcPr>
          <w:p w14:paraId="600FD7F8" w14:textId="77777777" w:rsidR="00B27E82" w:rsidRPr="00B27E82" w:rsidRDefault="00B27E82" w:rsidP="00B27E82">
            <w:pPr>
              <w:spacing w:after="0" w:line="240" w:lineRule="auto"/>
              <w:jc w:val="center"/>
              <w:rPr>
                <w:rFonts w:ascii="Verdana" w:eastAsia="Times New Roman" w:hAnsi="Verdana" w:cs="Calibri"/>
                <w:b/>
                <w:bCs/>
                <w:color w:val="000000"/>
                <w:sz w:val="16"/>
                <w:szCs w:val="16"/>
                <w:lang w:eastAsia="pt-BR"/>
              </w:rPr>
            </w:pPr>
          </w:p>
        </w:tc>
        <w:tc>
          <w:tcPr>
            <w:tcW w:w="1461" w:type="dxa"/>
            <w:tcBorders>
              <w:top w:val="single" w:sz="4" w:space="0" w:color="auto"/>
              <w:left w:val="nil"/>
              <w:bottom w:val="single" w:sz="4" w:space="0" w:color="auto"/>
              <w:right w:val="nil"/>
            </w:tcBorders>
            <w:shd w:val="clear" w:color="000000" w:fill="FFFFFF"/>
            <w:vAlign w:val="center"/>
            <w:hideMark/>
          </w:tcPr>
          <w:p w14:paraId="5ADD3735" w14:textId="77777777" w:rsidR="00B27E82" w:rsidRPr="00B27E82" w:rsidRDefault="00B27E82" w:rsidP="00B27E82">
            <w:pPr>
              <w:spacing w:after="0" w:line="240" w:lineRule="auto"/>
              <w:jc w:val="center"/>
              <w:rPr>
                <w:rFonts w:ascii="Verdana" w:eastAsia="Times New Roman" w:hAnsi="Verdana" w:cs="Calibri"/>
                <w:b/>
                <w:bCs/>
                <w:color w:val="000000"/>
                <w:sz w:val="16"/>
                <w:szCs w:val="16"/>
                <w:lang w:eastAsia="pt-BR"/>
              </w:rPr>
            </w:pPr>
            <w:r w:rsidRPr="00B27E82">
              <w:rPr>
                <w:rFonts w:ascii="Verdana" w:eastAsia="Times New Roman" w:hAnsi="Verdana" w:cs="Calibri"/>
                <w:b/>
                <w:bCs/>
                <w:color w:val="000000"/>
                <w:sz w:val="16"/>
                <w:szCs w:val="16"/>
                <w:lang w:eastAsia="pt-BR"/>
              </w:rPr>
              <w:t xml:space="preserve"> 30/06/2022 </w:t>
            </w:r>
            <w:r w:rsidRPr="00B27E82">
              <w:rPr>
                <w:rFonts w:ascii="Verdana" w:eastAsia="Times New Roman" w:hAnsi="Verdana" w:cs="Calibri"/>
                <w:b/>
                <w:bCs/>
                <w:color w:val="000000"/>
                <w:sz w:val="16"/>
                <w:szCs w:val="16"/>
                <w:lang w:eastAsia="pt-BR"/>
              </w:rPr>
              <w:br/>
              <w:t>(3 meses)</w:t>
            </w:r>
          </w:p>
        </w:tc>
      </w:tr>
      <w:tr w:rsidR="00B27E82" w:rsidRPr="00B27E82" w14:paraId="15C6C96F" w14:textId="77777777" w:rsidTr="003072B4">
        <w:trPr>
          <w:trHeight w:val="20"/>
        </w:trPr>
        <w:tc>
          <w:tcPr>
            <w:tcW w:w="3880" w:type="dxa"/>
            <w:tcBorders>
              <w:top w:val="nil"/>
              <w:left w:val="nil"/>
              <w:bottom w:val="nil"/>
              <w:right w:val="nil"/>
            </w:tcBorders>
            <w:shd w:val="clear" w:color="auto" w:fill="auto"/>
            <w:noWrap/>
            <w:vAlign w:val="center"/>
            <w:hideMark/>
          </w:tcPr>
          <w:p w14:paraId="3DB74E1A" w14:textId="77777777" w:rsidR="00B27E82" w:rsidRPr="00B27E82" w:rsidRDefault="00B27E82" w:rsidP="00B27E82">
            <w:pPr>
              <w:spacing w:after="0" w:line="240" w:lineRule="auto"/>
              <w:jc w:val="center"/>
              <w:rPr>
                <w:rFonts w:ascii="Verdana" w:eastAsia="Times New Roman" w:hAnsi="Verdana" w:cs="Calibri"/>
                <w:b/>
                <w:bCs/>
                <w:color w:val="000000"/>
                <w:sz w:val="16"/>
                <w:szCs w:val="16"/>
                <w:lang w:eastAsia="pt-BR"/>
              </w:rPr>
            </w:pPr>
          </w:p>
        </w:tc>
        <w:tc>
          <w:tcPr>
            <w:tcW w:w="200" w:type="dxa"/>
            <w:tcBorders>
              <w:top w:val="nil"/>
              <w:left w:val="nil"/>
              <w:bottom w:val="nil"/>
              <w:right w:val="nil"/>
            </w:tcBorders>
            <w:shd w:val="clear" w:color="auto" w:fill="auto"/>
            <w:noWrap/>
            <w:vAlign w:val="center"/>
            <w:hideMark/>
          </w:tcPr>
          <w:p w14:paraId="3C3C100A" w14:textId="77777777" w:rsidR="00B27E82" w:rsidRPr="00B27E82" w:rsidRDefault="00B27E82" w:rsidP="00B27E82">
            <w:pPr>
              <w:spacing w:after="0" w:line="240" w:lineRule="auto"/>
              <w:rPr>
                <w:rFonts w:ascii="Times New Roman" w:eastAsia="Times New Roman" w:hAnsi="Times New Roman" w:cs="Times New Roman"/>
                <w:sz w:val="20"/>
                <w:szCs w:val="20"/>
                <w:lang w:eastAsia="pt-BR"/>
              </w:rPr>
            </w:pPr>
          </w:p>
        </w:tc>
        <w:tc>
          <w:tcPr>
            <w:tcW w:w="1495" w:type="dxa"/>
            <w:tcBorders>
              <w:top w:val="nil"/>
              <w:left w:val="nil"/>
              <w:bottom w:val="nil"/>
              <w:right w:val="nil"/>
            </w:tcBorders>
            <w:shd w:val="clear" w:color="auto" w:fill="auto"/>
            <w:noWrap/>
            <w:vAlign w:val="center"/>
            <w:hideMark/>
          </w:tcPr>
          <w:p w14:paraId="67402C3E" w14:textId="77777777" w:rsidR="00B27E82" w:rsidRPr="00B27E82" w:rsidRDefault="00B27E82" w:rsidP="00B27E82">
            <w:pPr>
              <w:spacing w:after="0" w:line="240" w:lineRule="auto"/>
              <w:rPr>
                <w:rFonts w:ascii="Times New Roman" w:eastAsia="Times New Roman" w:hAnsi="Times New Roman" w:cs="Times New Roman"/>
                <w:sz w:val="20"/>
                <w:szCs w:val="20"/>
                <w:lang w:eastAsia="pt-BR"/>
              </w:rPr>
            </w:pPr>
          </w:p>
        </w:tc>
        <w:tc>
          <w:tcPr>
            <w:tcW w:w="146" w:type="dxa"/>
            <w:tcBorders>
              <w:top w:val="nil"/>
              <w:left w:val="nil"/>
              <w:bottom w:val="nil"/>
              <w:right w:val="nil"/>
            </w:tcBorders>
            <w:shd w:val="clear" w:color="auto" w:fill="auto"/>
            <w:noWrap/>
            <w:vAlign w:val="center"/>
            <w:hideMark/>
          </w:tcPr>
          <w:p w14:paraId="23EE33D9" w14:textId="77777777" w:rsidR="00B27E82" w:rsidRPr="00B27E82" w:rsidRDefault="00B27E82" w:rsidP="00B27E82">
            <w:pPr>
              <w:spacing w:after="0" w:line="240" w:lineRule="auto"/>
              <w:rPr>
                <w:rFonts w:ascii="Times New Roman" w:eastAsia="Times New Roman" w:hAnsi="Times New Roman" w:cs="Times New Roman"/>
                <w:sz w:val="20"/>
                <w:szCs w:val="20"/>
                <w:lang w:eastAsia="pt-BR"/>
              </w:rPr>
            </w:pPr>
          </w:p>
        </w:tc>
        <w:tc>
          <w:tcPr>
            <w:tcW w:w="1366" w:type="dxa"/>
            <w:tcBorders>
              <w:top w:val="nil"/>
              <w:left w:val="nil"/>
              <w:bottom w:val="nil"/>
              <w:right w:val="nil"/>
            </w:tcBorders>
            <w:shd w:val="clear" w:color="auto" w:fill="auto"/>
            <w:noWrap/>
            <w:vAlign w:val="center"/>
            <w:hideMark/>
          </w:tcPr>
          <w:p w14:paraId="0447BFD6" w14:textId="77777777" w:rsidR="00B27E82" w:rsidRPr="00B27E82" w:rsidRDefault="00B27E82" w:rsidP="00B27E82">
            <w:pPr>
              <w:spacing w:after="0" w:line="240" w:lineRule="auto"/>
              <w:rPr>
                <w:rFonts w:ascii="Times New Roman" w:eastAsia="Times New Roman" w:hAnsi="Times New Roman" w:cs="Times New Roman"/>
                <w:sz w:val="20"/>
                <w:szCs w:val="20"/>
                <w:lang w:eastAsia="pt-BR"/>
              </w:rPr>
            </w:pPr>
          </w:p>
        </w:tc>
        <w:tc>
          <w:tcPr>
            <w:tcW w:w="240" w:type="dxa"/>
            <w:tcBorders>
              <w:top w:val="nil"/>
              <w:left w:val="nil"/>
              <w:bottom w:val="nil"/>
              <w:right w:val="nil"/>
            </w:tcBorders>
            <w:shd w:val="clear" w:color="auto" w:fill="auto"/>
            <w:noWrap/>
            <w:vAlign w:val="bottom"/>
            <w:hideMark/>
          </w:tcPr>
          <w:p w14:paraId="4F972A77" w14:textId="77777777" w:rsidR="00B27E82" w:rsidRPr="00B27E82" w:rsidRDefault="00B27E82" w:rsidP="00B27E82">
            <w:pPr>
              <w:spacing w:after="0" w:line="240" w:lineRule="auto"/>
              <w:rPr>
                <w:rFonts w:ascii="Times New Roman" w:eastAsia="Times New Roman" w:hAnsi="Times New Roman" w:cs="Times New Roman"/>
                <w:sz w:val="20"/>
                <w:szCs w:val="20"/>
                <w:lang w:eastAsia="pt-BR"/>
              </w:rPr>
            </w:pPr>
          </w:p>
        </w:tc>
        <w:tc>
          <w:tcPr>
            <w:tcW w:w="1440" w:type="dxa"/>
            <w:tcBorders>
              <w:top w:val="nil"/>
              <w:left w:val="nil"/>
              <w:bottom w:val="nil"/>
              <w:right w:val="nil"/>
            </w:tcBorders>
            <w:shd w:val="clear" w:color="auto" w:fill="auto"/>
            <w:noWrap/>
            <w:vAlign w:val="center"/>
            <w:hideMark/>
          </w:tcPr>
          <w:p w14:paraId="7544FA22" w14:textId="77777777" w:rsidR="00B27E82" w:rsidRPr="00B27E82" w:rsidRDefault="00B27E82" w:rsidP="00B27E82">
            <w:pPr>
              <w:spacing w:after="0" w:line="240" w:lineRule="auto"/>
              <w:rPr>
                <w:rFonts w:ascii="Times New Roman" w:eastAsia="Times New Roman" w:hAnsi="Times New Roman" w:cs="Times New Roman"/>
                <w:sz w:val="20"/>
                <w:szCs w:val="20"/>
                <w:lang w:eastAsia="pt-BR"/>
              </w:rPr>
            </w:pPr>
          </w:p>
        </w:tc>
        <w:tc>
          <w:tcPr>
            <w:tcW w:w="146" w:type="dxa"/>
            <w:tcBorders>
              <w:top w:val="nil"/>
              <w:left w:val="nil"/>
              <w:bottom w:val="nil"/>
              <w:right w:val="nil"/>
            </w:tcBorders>
            <w:shd w:val="clear" w:color="auto" w:fill="auto"/>
            <w:noWrap/>
            <w:vAlign w:val="center"/>
            <w:hideMark/>
          </w:tcPr>
          <w:p w14:paraId="723CE18F" w14:textId="77777777" w:rsidR="00B27E82" w:rsidRPr="00B27E82" w:rsidRDefault="00B27E82" w:rsidP="00B27E82">
            <w:pPr>
              <w:spacing w:after="0" w:line="240" w:lineRule="auto"/>
              <w:rPr>
                <w:rFonts w:ascii="Times New Roman" w:eastAsia="Times New Roman" w:hAnsi="Times New Roman" w:cs="Times New Roman"/>
                <w:sz w:val="20"/>
                <w:szCs w:val="20"/>
                <w:lang w:eastAsia="pt-BR"/>
              </w:rPr>
            </w:pPr>
          </w:p>
        </w:tc>
        <w:tc>
          <w:tcPr>
            <w:tcW w:w="1461" w:type="dxa"/>
            <w:tcBorders>
              <w:top w:val="nil"/>
              <w:left w:val="nil"/>
              <w:bottom w:val="nil"/>
              <w:right w:val="nil"/>
            </w:tcBorders>
            <w:shd w:val="clear" w:color="auto" w:fill="auto"/>
            <w:noWrap/>
            <w:vAlign w:val="center"/>
            <w:hideMark/>
          </w:tcPr>
          <w:p w14:paraId="24A62ADB" w14:textId="77777777" w:rsidR="00B27E82" w:rsidRPr="00B27E82" w:rsidRDefault="00B27E82" w:rsidP="00B27E82">
            <w:pPr>
              <w:spacing w:after="0" w:line="240" w:lineRule="auto"/>
              <w:rPr>
                <w:rFonts w:ascii="Times New Roman" w:eastAsia="Times New Roman" w:hAnsi="Times New Roman" w:cs="Times New Roman"/>
                <w:sz w:val="20"/>
                <w:szCs w:val="20"/>
                <w:lang w:eastAsia="pt-BR"/>
              </w:rPr>
            </w:pPr>
          </w:p>
        </w:tc>
      </w:tr>
      <w:tr w:rsidR="00B27E82" w:rsidRPr="00B27E82" w14:paraId="4BE2B300" w14:textId="77777777" w:rsidTr="003072B4">
        <w:trPr>
          <w:trHeight w:val="20"/>
        </w:trPr>
        <w:tc>
          <w:tcPr>
            <w:tcW w:w="3880" w:type="dxa"/>
            <w:tcBorders>
              <w:top w:val="nil"/>
              <w:left w:val="nil"/>
              <w:bottom w:val="nil"/>
              <w:right w:val="nil"/>
            </w:tcBorders>
            <w:shd w:val="clear" w:color="auto" w:fill="auto"/>
            <w:noWrap/>
            <w:vAlign w:val="center"/>
            <w:hideMark/>
          </w:tcPr>
          <w:p w14:paraId="062A71CF"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r w:rsidRPr="00B27E82">
              <w:rPr>
                <w:rFonts w:ascii="Verdana" w:eastAsia="Times New Roman" w:hAnsi="Verdana" w:cs="Calibri"/>
                <w:color w:val="000000"/>
                <w:sz w:val="18"/>
                <w:szCs w:val="18"/>
                <w:lang w:eastAsia="pt-BR"/>
              </w:rPr>
              <w:t xml:space="preserve">    Pessoal, Material e Serviços</w:t>
            </w:r>
          </w:p>
        </w:tc>
        <w:tc>
          <w:tcPr>
            <w:tcW w:w="200" w:type="dxa"/>
            <w:tcBorders>
              <w:top w:val="nil"/>
              <w:left w:val="nil"/>
              <w:bottom w:val="nil"/>
              <w:right w:val="nil"/>
            </w:tcBorders>
            <w:shd w:val="clear" w:color="auto" w:fill="auto"/>
            <w:noWrap/>
            <w:vAlign w:val="bottom"/>
            <w:hideMark/>
          </w:tcPr>
          <w:p w14:paraId="255CB472"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p>
        </w:tc>
        <w:tc>
          <w:tcPr>
            <w:tcW w:w="1495" w:type="dxa"/>
            <w:tcBorders>
              <w:top w:val="nil"/>
              <w:left w:val="nil"/>
              <w:bottom w:val="nil"/>
              <w:right w:val="nil"/>
            </w:tcBorders>
            <w:shd w:val="clear" w:color="auto" w:fill="auto"/>
            <w:noWrap/>
            <w:vAlign w:val="center"/>
            <w:hideMark/>
          </w:tcPr>
          <w:p w14:paraId="70832D43"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r w:rsidRPr="00B27E82">
              <w:rPr>
                <w:rFonts w:ascii="Verdana" w:eastAsia="Times New Roman" w:hAnsi="Verdana" w:cs="Calibri"/>
                <w:color w:val="000000"/>
                <w:sz w:val="18"/>
                <w:szCs w:val="18"/>
                <w:lang w:eastAsia="pt-BR"/>
              </w:rPr>
              <w:t xml:space="preserve">          (4.423)</w:t>
            </w:r>
          </w:p>
        </w:tc>
        <w:tc>
          <w:tcPr>
            <w:tcW w:w="146" w:type="dxa"/>
            <w:tcBorders>
              <w:top w:val="nil"/>
              <w:left w:val="nil"/>
              <w:bottom w:val="nil"/>
              <w:right w:val="nil"/>
            </w:tcBorders>
            <w:shd w:val="clear" w:color="auto" w:fill="auto"/>
            <w:noWrap/>
            <w:vAlign w:val="bottom"/>
            <w:hideMark/>
          </w:tcPr>
          <w:p w14:paraId="736C57DA"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p>
        </w:tc>
        <w:tc>
          <w:tcPr>
            <w:tcW w:w="1366" w:type="dxa"/>
            <w:tcBorders>
              <w:top w:val="nil"/>
              <w:left w:val="nil"/>
              <w:bottom w:val="nil"/>
              <w:right w:val="nil"/>
            </w:tcBorders>
            <w:shd w:val="clear" w:color="auto" w:fill="auto"/>
            <w:noWrap/>
            <w:vAlign w:val="center"/>
            <w:hideMark/>
          </w:tcPr>
          <w:p w14:paraId="1E73316C"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r w:rsidRPr="00B27E82">
              <w:rPr>
                <w:rFonts w:ascii="Verdana" w:eastAsia="Times New Roman" w:hAnsi="Verdana" w:cs="Calibri"/>
                <w:color w:val="000000"/>
                <w:sz w:val="18"/>
                <w:szCs w:val="18"/>
                <w:lang w:eastAsia="pt-BR"/>
              </w:rPr>
              <w:t xml:space="preserve">        (2.820)</w:t>
            </w:r>
          </w:p>
        </w:tc>
        <w:tc>
          <w:tcPr>
            <w:tcW w:w="240" w:type="dxa"/>
            <w:tcBorders>
              <w:top w:val="nil"/>
              <w:left w:val="nil"/>
              <w:bottom w:val="nil"/>
              <w:right w:val="nil"/>
            </w:tcBorders>
            <w:shd w:val="clear" w:color="auto" w:fill="auto"/>
            <w:noWrap/>
            <w:vAlign w:val="bottom"/>
            <w:hideMark/>
          </w:tcPr>
          <w:p w14:paraId="443BAD03"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p>
        </w:tc>
        <w:tc>
          <w:tcPr>
            <w:tcW w:w="1440" w:type="dxa"/>
            <w:tcBorders>
              <w:top w:val="nil"/>
              <w:left w:val="nil"/>
              <w:bottom w:val="nil"/>
              <w:right w:val="nil"/>
            </w:tcBorders>
            <w:shd w:val="clear" w:color="auto" w:fill="auto"/>
            <w:noWrap/>
            <w:vAlign w:val="center"/>
            <w:hideMark/>
          </w:tcPr>
          <w:p w14:paraId="40692F72"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r w:rsidRPr="00B27E82">
              <w:rPr>
                <w:rFonts w:ascii="Verdana" w:eastAsia="Times New Roman" w:hAnsi="Verdana" w:cs="Calibri"/>
                <w:color w:val="000000"/>
                <w:sz w:val="18"/>
                <w:szCs w:val="18"/>
                <w:lang w:eastAsia="pt-BR"/>
              </w:rPr>
              <w:t xml:space="preserve">       (54.740)</w:t>
            </w:r>
          </w:p>
        </w:tc>
        <w:tc>
          <w:tcPr>
            <w:tcW w:w="146" w:type="dxa"/>
            <w:tcBorders>
              <w:top w:val="nil"/>
              <w:left w:val="nil"/>
              <w:bottom w:val="nil"/>
              <w:right w:val="nil"/>
            </w:tcBorders>
            <w:shd w:val="clear" w:color="auto" w:fill="auto"/>
            <w:noWrap/>
            <w:vAlign w:val="bottom"/>
            <w:hideMark/>
          </w:tcPr>
          <w:p w14:paraId="1E4DFCB6"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p>
        </w:tc>
        <w:tc>
          <w:tcPr>
            <w:tcW w:w="1461" w:type="dxa"/>
            <w:tcBorders>
              <w:top w:val="nil"/>
              <w:left w:val="nil"/>
              <w:bottom w:val="nil"/>
              <w:right w:val="nil"/>
            </w:tcBorders>
            <w:shd w:val="clear" w:color="auto" w:fill="auto"/>
            <w:noWrap/>
            <w:vAlign w:val="center"/>
            <w:hideMark/>
          </w:tcPr>
          <w:p w14:paraId="30E492DB"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r w:rsidRPr="00B27E82">
              <w:rPr>
                <w:rFonts w:ascii="Verdana" w:eastAsia="Times New Roman" w:hAnsi="Verdana" w:cs="Calibri"/>
                <w:color w:val="000000"/>
                <w:sz w:val="18"/>
                <w:szCs w:val="18"/>
                <w:lang w:eastAsia="pt-BR"/>
              </w:rPr>
              <w:t xml:space="preserve">       (53.137)</w:t>
            </w:r>
          </w:p>
        </w:tc>
      </w:tr>
      <w:tr w:rsidR="00B27E82" w:rsidRPr="00B27E82" w14:paraId="66F46379" w14:textId="77777777" w:rsidTr="003072B4">
        <w:trPr>
          <w:trHeight w:val="20"/>
        </w:trPr>
        <w:tc>
          <w:tcPr>
            <w:tcW w:w="3880" w:type="dxa"/>
            <w:tcBorders>
              <w:top w:val="nil"/>
              <w:left w:val="nil"/>
              <w:bottom w:val="nil"/>
              <w:right w:val="nil"/>
            </w:tcBorders>
            <w:shd w:val="clear" w:color="auto" w:fill="auto"/>
            <w:noWrap/>
            <w:vAlign w:val="center"/>
            <w:hideMark/>
          </w:tcPr>
          <w:p w14:paraId="52F9DFDD"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r w:rsidRPr="00B27E82">
              <w:rPr>
                <w:rFonts w:ascii="Verdana" w:eastAsia="Times New Roman" w:hAnsi="Verdana" w:cs="Calibri"/>
                <w:color w:val="000000"/>
                <w:sz w:val="18"/>
                <w:szCs w:val="18"/>
                <w:lang w:eastAsia="pt-BR"/>
              </w:rPr>
              <w:t xml:space="preserve">    Depreciação</w:t>
            </w:r>
          </w:p>
        </w:tc>
        <w:tc>
          <w:tcPr>
            <w:tcW w:w="200" w:type="dxa"/>
            <w:tcBorders>
              <w:top w:val="nil"/>
              <w:left w:val="nil"/>
              <w:bottom w:val="nil"/>
              <w:right w:val="nil"/>
            </w:tcBorders>
            <w:shd w:val="clear" w:color="auto" w:fill="auto"/>
            <w:noWrap/>
            <w:vAlign w:val="center"/>
            <w:hideMark/>
          </w:tcPr>
          <w:p w14:paraId="570E0B75"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p>
        </w:tc>
        <w:tc>
          <w:tcPr>
            <w:tcW w:w="1495" w:type="dxa"/>
            <w:tcBorders>
              <w:top w:val="nil"/>
              <w:left w:val="nil"/>
              <w:bottom w:val="nil"/>
              <w:right w:val="nil"/>
            </w:tcBorders>
            <w:shd w:val="clear" w:color="auto" w:fill="auto"/>
            <w:noWrap/>
            <w:vAlign w:val="center"/>
            <w:hideMark/>
          </w:tcPr>
          <w:p w14:paraId="50DA701A"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r w:rsidRPr="00B27E82">
              <w:rPr>
                <w:rFonts w:ascii="Verdana" w:eastAsia="Times New Roman" w:hAnsi="Verdana" w:cs="Calibri"/>
                <w:color w:val="000000"/>
                <w:sz w:val="18"/>
                <w:szCs w:val="18"/>
                <w:lang w:eastAsia="pt-BR"/>
              </w:rPr>
              <w:t xml:space="preserve">                 -   </w:t>
            </w:r>
          </w:p>
        </w:tc>
        <w:tc>
          <w:tcPr>
            <w:tcW w:w="146" w:type="dxa"/>
            <w:tcBorders>
              <w:top w:val="nil"/>
              <w:left w:val="nil"/>
              <w:bottom w:val="nil"/>
              <w:right w:val="nil"/>
            </w:tcBorders>
            <w:shd w:val="clear" w:color="auto" w:fill="auto"/>
            <w:noWrap/>
            <w:vAlign w:val="center"/>
            <w:hideMark/>
          </w:tcPr>
          <w:p w14:paraId="670B8529"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p>
        </w:tc>
        <w:tc>
          <w:tcPr>
            <w:tcW w:w="1366" w:type="dxa"/>
            <w:tcBorders>
              <w:top w:val="nil"/>
              <w:left w:val="nil"/>
              <w:bottom w:val="nil"/>
              <w:right w:val="nil"/>
            </w:tcBorders>
            <w:shd w:val="clear" w:color="auto" w:fill="auto"/>
            <w:noWrap/>
            <w:vAlign w:val="center"/>
            <w:hideMark/>
          </w:tcPr>
          <w:p w14:paraId="40006F6E"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r w:rsidRPr="00B27E82">
              <w:rPr>
                <w:rFonts w:ascii="Verdana" w:eastAsia="Times New Roman" w:hAnsi="Verdana" w:cs="Calibri"/>
                <w:color w:val="000000"/>
                <w:sz w:val="18"/>
                <w:szCs w:val="18"/>
                <w:lang w:eastAsia="pt-BR"/>
              </w:rPr>
              <w:t xml:space="preserve">               -   </w:t>
            </w:r>
          </w:p>
        </w:tc>
        <w:tc>
          <w:tcPr>
            <w:tcW w:w="240" w:type="dxa"/>
            <w:tcBorders>
              <w:top w:val="nil"/>
              <w:left w:val="nil"/>
              <w:bottom w:val="nil"/>
              <w:right w:val="nil"/>
            </w:tcBorders>
            <w:shd w:val="clear" w:color="auto" w:fill="auto"/>
            <w:noWrap/>
            <w:vAlign w:val="bottom"/>
            <w:hideMark/>
          </w:tcPr>
          <w:p w14:paraId="6BBF9A43"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p>
        </w:tc>
        <w:tc>
          <w:tcPr>
            <w:tcW w:w="1440" w:type="dxa"/>
            <w:tcBorders>
              <w:top w:val="nil"/>
              <w:left w:val="nil"/>
              <w:bottom w:val="nil"/>
              <w:right w:val="nil"/>
            </w:tcBorders>
            <w:shd w:val="clear" w:color="auto" w:fill="auto"/>
            <w:noWrap/>
            <w:vAlign w:val="center"/>
            <w:hideMark/>
          </w:tcPr>
          <w:p w14:paraId="308DEB3C"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r w:rsidRPr="00B27E82">
              <w:rPr>
                <w:rFonts w:ascii="Verdana" w:eastAsia="Times New Roman" w:hAnsi="Verdana" w:cs="Calibri"/>
                <w:color w:val="000000"/>
                <w:sz w:val="18"/>
                <w:szCs w:val="18"/>
                <w:lang w:eastAsia="pt-BR"/>
              </w:rPr>
              <w:t xml:space="preserve">            (394)</w:t>
            </w:r>
          </w:p>
        </w:tc>
        <w:tc>
          <w:tcPr>
            <w:tcW w:w="146" w:type="dxa"/>
            <w:tcBorders>
              <w:top w:val="nil"/>
              <w:left w:val="nil"/>
              <w:bottom w:val="nil"/>
              <w:right w:val="nil"/>
            </w:tcBorders>
            <w:shd w:val="clear" w:color="auto" w:fill="auto"/>
            <w:noWrap/>
            <w:vAlign w:val="center"/>
            <w:hideMark/>
          </w:tcPr>
          <w:p w14:paraId="4F86300B"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p>
        </w:tc>
        <w:tc>
          <w:tcPr>
            <w:tcW w:w="1461" w:type="dxa"/>
            <w:tcBorders>
              <w:top w:val="nil"/>
              <w:left w:val="nil"/>
              <w:bottom w:val="nil"/>
              <w:right w:val="nil"/>
            </w:tcBorders>
            <w:shd w:val="clear" w:color="auto" w:fill="auto"/>
            <w:noWrap/>
            <w:vAlign w:val="center"/>
            <w:hideMark/>
          </w:tcPr>
          <w:p w14:paraId="69EDE844"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r w:rsidRPr="00B27E82">
              <w:rPr>
                <w:rFonts w:ascii="Verdana" w:eastAsia="Times New Roman" w:hAnsi="Verdana" w:cs="Calibri"/>
                <w:color w:val="000000"/>
                <w:sz w:val="18"/>
                <w:szCs w:val="18"/>
                <w:lang w:eastAsia="pt-BR"/>
              </w:rPr>
              <w:t xml:space="preserve">            (394)</w:t>
            </w:r>
          </w:p>
        </w:tc>
      </w:tr>
      <w:tr w:rsidR="00B27E82" w:rsidRPr="00B27E82" w14:paraId="7C128A1B" w14:textId="77777777" w:rsidTr="003072B4">
        <w:trPr>
          <w:trHeight w:val="20"/>
        </w:trPr>
        <w:tc>
          <w:tcPr>
            <w:tcW w:w="3880" w:type="dxa"/>
            <w:tcBorders>
              <w:top w:val="nil"/>
              <w:left w:val="nil"/>
              <w:bottom w:val="nil"/>
              <w:right w:val="nil"/>
            </w:tcBorders>
            <w:shd w:val="clear" w:color="auto" w:fill="auto"/>
            <w:noWrap/>
            <w:vAlign w:val="center"/>
            <w:hideMark/>
          </w:tcPr>
          <w:p w14:paraId="489912F1"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r w:rsidRPr="00B27E82">
              <w:rPr>
                <w:rFonts w:ascii="Verdana" w:eastAsia="Times New Roman" w:hAnsi="Verdana" w:cs="Calibri"/>
                <w:color w:val="000000"/>
                <w:sz w:val="18"/>
                <w:szCs w:val="18"/>
                <w:lang w:eastAsia="pt-BR"/>
              </w:rPr>
              <w:t xml:space="preserve">    Depreciação direito de uso IFRS 16</w:t>
            </w:r>
          </w:p>
        </w:tc>
        <w:tc>
          <w:tcPr>
            <w:tcW w:w="200" w:type="dxa"/>
            <w:tcBorders>
              <w:top w:val="nil"/>
              <w:left w:val="nil"/>
              <w:bottom w:val="nil"/>
              <w:right w:val="nil"/>
            </w:tcBorders>
            <w:shd w:val="clear" w:color="auto" w:fill="auto"/>
            <w:noWrap/>
            <w:vAlign w:val="bottom"/>
            <w:hideMark/>
          </w:tcPr>
          <w:p w14:paraId="3378764D"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p>
        </w:tc>
        <w:tc>
          <w:tcPr>
            <w:tcW w:w="1495" w:type="dxa"/>
            <w:tcBorders>
              <w:top w:val="nil"/>
              <w:left w:val="nil"/>
              <w:bottom w:val="nil"/>
              <w:right w:val="nil"/>
            </w:tcBorders>
            <w:shd w:val="clear" w:color="auto" w:fill="auto"/>
            <w:noWrap/>
            <w:vAlign w:val="center"/>
            <w:hideMark/>
          </w:tcPr>
          <w:p w14:paraId="2F5F3E24"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r w:rsidRPr="00B27E82">
              <w:rPr>
                <w:rFonts w:ascii="Verdana" w:eastAsia="Times New Roman" w:hAnsi="Verdana" w:cs="Calibri"/>
                <w:color w:val="000000"/>
                <w:sz w:val="18"/>
                <w:szCs w:val="18"/>
                <w:lang w:eastAsia="pt-BR"/>
              </w:rPr>
              <w:t xml:space="preserve">                 -   </w:t>
            </w:r>
          </w:p>
        </w:tc>
        <w:tc>
          <w:tcPr>
            <w:tcW w:w="146" w:type="dxa"/>
            <w:tcBorders>
              <w:top w:val="nil"/>
              <w:left w:val="nil"/>
              <w:bottom w:val="nil"/>
              <w:right w:val="nil"/>
            </w:tcBorders>
            <w:shd w:val="clear" w:color="auto" w:fill="auto"/>
            <w:noWrap/>
            <w:vAlign w:val="bottom"/>
            <w:hideMark/>
          </w:tcPr>
          <w:p w14:paraId="73DFC092"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p>
        </w:tc>
        <w:tc>
          <w:tcPr>
            <w:tcW w:w="1366" w:type="dxa"/>
            <w:tcBorders>
              <w:top w:val="nil"/>
              <w:left w:val="nil"/>
              <w:bottom w:val="nil"/>
              <w:right w:val="nil"/>
            </w:tcBorders>
            <w:shd w:val="clear" w:color="auto" w:fill="auto"/>
            <w:noWrap/>
            <w:vAlign w:val="center"/>
            <w:hideMark/>
          </w:tcPr>
          <w:p w14:paraId="69EB848B"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r w:rsidRPr="00B27E82">
              <w:rPr>
                <w:rFonts w:ascii="Verdana" w:eastAsia="Times New Roman" w:hAnsi="Verdana" w:cs="Calibri"/>
                <w:color w:val="000000"/>
                <w:sz w:val="18"/>
                <w:szCs w:val="18"/>
                <w:lang w:eastAsia="pt-BR"/>
              </w:rPr>
              <w:t xml:space="preserve">               -   </w:t>
            </w:r>
          </w:p>
        </w:tc>
        <w:tc>
          <w:tcPr>
            <w:tcW w:w="240" w:type="dxa"/>
            <w:tcBorders>
              <w:top w:val="nil"/>
              <w:left w:val="nil"/>
              <w:bottom w:val="nil"/>
              <w:right w:val="nil"/>
            </w:tcBorders>
            <w:shd w:val="clear" w:color="auto" w:fill="auto"/>
            <w:noWrap/>
            <w:vAlign w:val="bottom"/>
            <w:hideMark/>
          </w:tcPr>
          <w:p w14:paraId="0B48AABB"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p>
        </w:tc>
        <w:tc>
          <w:tcPr>
            <w:tcW w:w="1440" w:type="dxa"/>
            <w:tcBorders>
              <w:top w:val="nil"/>
              <w:left w:val="nil"/>
              <w:bottom w:val="nil"/>
              <w:right w:val="nil"/>
            </w:tcBorders>
            <w:shd w:val="clear" w:color="auto" w:fill="auto"/>
            <w:noWrap/>
            <w:vAlign w:val="center"/>
            <w:hideMark/>
          </w:tcPr>
          <w:p w14:paraId="7DCA806D"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r w:rsidRPr="00B27E82">
              <w:rPr>
                <w:rFonts w:ascii="Verdana" w:eastAsia="Times New Roman" w:hAnsi="Verdana" w:cs="Calibri"/>
                <w:color w:val="000000"/>
                <w:sz w:val="18"/>
                <w:szCs w:val="18"/>
                <w:lang w:eastAsia="pt-BR"/>
              </w:rPr>
              <w:t xml:space="preserve">            (486)</w:t>
            </w:r>
          </w:p>
        </w:tc>
        <w:tc>
          <w:tcPr>
            <w:tcW w:w="146" w:type="dxa"/>
            <w:tcBorders>
              <w:top w:val="nil"/>
              <w:left w:val="nil"/>
              <w:bottom w:val="nil"/>
              <w:right w:val="nil"/>
            </w:tcBorders>
            <w:shd w:val="clear" w:color="auto" w:fill="auto"/>
            <w:noWrap/>
            <w:vAlign w:val="bottom"/>
            <w:hideMark/>
          </w:tcPr>
          <w:p w14:paraId="5CADD426"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p>
        </w:tc>
        <w:tc>
          <w:tcPr>
            <w:tcW w:w="1461" w:type="dxa"/>
            <w:tcBorders>
              <w:top w:val="nil"/>
              <w:left w:val="nil"/>
              <w:bottom w:val="nil"/>
              <w:right w:val="nil"/>
            </w:tcBorders>
            <w:shd w:val="clear" w:color="auto" w:fill="auto"/>
            <w:noWrap/>
            <w:vAlign w:val="center"/>
            <w:hideMark/>
          </w:tcPr>
          <w:p w14:paraId="13B0AE11"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r w:rsidRPr="00B27E82">
              <w:rPr>
                <w:rFonts w:ascii="Verdana" w:eastAsia="Times New Roman" w:hAnsi="Verdana" w:cs="Calibri"/>
                <w:color w:val="000000"/>
                <w:sz w:val="18"/>
                <w:szCs w:val="18"/>
                <w:lang w:eastAsia="pt-BR"/>
              </w:rPr>
              <w:t xml:space="preserve">            (486)</w:t>
            </w:r>
          </w:p>
        </w:tc>
      </w:tr>
      <w:tr w:rsidR="00B27E82" w:rsidRPr="00B27E82" w14:paraId="4406149E" w14:textId="77777777" w:rsidTr="003072B4">
        <w:trPr>
          <w:trHeight w:val="20"/>
        </w:trPr>
        <w:tc>
          <w:tcPr>
            <w:tcW w:w="3880" w:type="dxa"/>
            <w:tcBorders>
              <w:top w:val="nil"/>
              <w:left w:val="nil"/>
              <w:bottom w:val="nil"/>
              <w:right w:val="nil"/>
            </w:tcBorders>
            <w:shd w:val="clear" w:color="auto" w:fill="auto"/>
            <w:noWrap/>
            <w:vAlign w:val="center"/>
            <w:hideMark/>
          </w:tcPr>
          <w:p w14:paraId="6E491608"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r w:rsidRPr="00B27E82">
              <w:rPr>
                <w:rFonts w:ascii="Verdana" w:eastAsia="Times New Roman" w:hAnsi="Verdana" w:cs="Calibri"/>
                <w:color w:val="000000"/>
                <w:sz w:val="18"/>
                <w:szCs w:val="18"/>
                <w:lang w:eastAsia="pt-BR"/>
              </w:rPr>
              <w:t xml:space="preserve">    Amortização</w:t>
            </w:r>
          </w:p>
        </w:tc>
        <w:tc>
          <w:tcPr>
            <w:tcW w:w="200" w:type="dxa"/>
            <w:tcBorders>
              <w:top w:val="nil"/>
              <w:left w:val="nil"/>
              <w:bottom w:val="nil"/>
              <w:right w:val="nil"/>
            </w:tcBorders>
            <w:shd w:val="clear" w:color="auto" w:fill="auto"/>
            <w:noWrap/>
            <w:vAlign w:val="center"/>
            <w:hideMark/>
          </w:tcPr>
          <w:p w14:paraId="04DF243A"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p>
        </w:tc>
        <w:tc>
          <w:tcPr>
            <w:tcW w:w="1495" w:type="dxa"/>
            <w:tcBorders>
              <w:top w:val="nil"/>
              <w:left w:val="nil"/>
              <w:bottom w:val="nil"/>
              <w:right w:val="nil"/>
            </w:tcBorders>
            <w:shd w:val="clear" w:color="auto" w:fill="auto"/>
            <w:noWrap/>
            <w:vAlign w:val="center"/>
            <w:hideMark/>
          </w:tcPr>
          <w:p w14:paraId="7F7D6729"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r w:rsidRPr="00B27E82">
              <w:rPr>
                <w:rFonts w:ascii="Verdana" w:eastAsia="Times New Roman" w:hAnsi="Verdana" w:cs="Calibri"/>
                <w:color w:val="000000"/>
                <w:sz w:val="18"/>
                <w:szCs w:val="18"/>
                <w:lang w:eastAsia="pt-BR"/>
              </w:rPr>
              <w:t xml:space="preserve">                 -   </w:t>
            </w:r>
          </w:p>
        </w:tc>
        <w:tc>
          <w:tcPr>
            <w:tcW w:w="146" w:type="dxa"/>
            <w:tcBorders>
              <w:top w:val="nil"/>
              <w:left w:val="nil"/>
              <w:bottom w:val="nil"/>
              <w:right w:val="nil"/>
            </w:tcBorders>
            <w:shd w:val="clear" w:color="auto" w:fill="auto"/>
            <w:noWrap/>
            <w:vAlign w:val="center"/>
            <w:hideMark/>
          </w:tcPr>
          <w:p w14:paraId="08EB828A"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p>
        </w:tc>
        <w:tc>
          <w:tcPr>
            <w:tcW w:w="1366" w:type="dxa"/>
            <w:tcBorders>
              <w:top w:val="nil"/>
              <w:left w:val="nil"/>
              <w:bottom w:val="nil"/>
              <w:right w:val="nil"/>
            </w:tcBorders>
            <w:shd w:val="clear" w:color="auto" w:fill="auto"/>
            <w:noWrap/>
            <w:vAlign w:val="center"/>
            <w:hideMark/>
          </w:tcPr>
          <w:p w14:paraId="4DFB9850"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r w:rsidRPr="00B27E82">
              <w:rPr>
                <w:rFonts w:ascii="Verdana" w:eastAsia="Times New Roman" w:hAnsi="Verdana" w:cs="Calibri"/>
                <w:color w:val="000000"/>
                <w:sz w:val="18"/>
                <w:szCs w:val="18"/>
                <w:lang w:eastAsia="pt-BR"/>
              </w:rPr>
              <w:t xml:space="preserve">               -   </w:t>
            </w:r>
          </w:p>
        </w:tc>
        <w:tc>
          <w:tcPr>
            <w:tcW w:w="240" w:type="dxa"/>
            <w:tcBorders>
              <w:top w:val="nil"/>
              <w:left w:val="nil"/>
              <w:bottom w:val="nil"/>
              <w:right w:val="nil"/>
            </w:tcBorders>
            <w:shd w:val="clear" w:color="auto" w:fill="auto"/>
            <w:noWrap/>
            <w:vAlign w:val="bottom"/>
            <w:hideMark/>
          </w:tcPr>
          <w:p w14:paraId="480F0709"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p>
        </w:tc>
        <w:tc>
          <w:tcPr>
            <w:tcW w:w="1440" w:type="dxa"/>
            <w:tcBorders>
              <w:top w:val="nil"/>
              <w:left w:val="nil"/>
              <w:bottom w:val="nil"/>
              <w:right w:val="nil"/>
            </w:tcBorders>
            <w:shd w:val="clear" w:color="auto" w:fill="auto"/>
            <w:noWrap/>
            <w:vAlign w:val="center"/>
            <w:hideMark/>
          </w:tcPr>
          <w:p w14:paraId="038DB32C"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r w:rsidRPr="00B27E82">
              <w:rPr>
                <w:rFonts w:ascii="Verdana" w:eastAsia="Times New Roman" w:hAnsi="Verdana" w:cs="Calibri"/>
                <w:color w:val="000000"/>
                <w:sz w:val="18"/>
                <w:szCs w:val="18"/>
                <w:lang w:eastAsia="pt-BR"/>
              </w:rPr>
              <w:t xml:space="preserve">              (54)</w:t>
            </w:r>
          </w:p>
        </w:tc>
        <w:tc>
          <w:tcPr>
            <w:tcW w:w="146" w:type="dxa"/>
            <w:tcBorders>
              <w:top w:val="nil"/>
              <w:left w:val="nil"/>
              <w:bottom w:val="nil"/>
              <w:right w:val="nil"/>
            </w:tcBorders>
            <w:shd w:val="clear" w:color="auto" w:fill="auto"/>
            <w:noWrap/>
            <w:vAlign w:val="center"/>
            <w:hideMark/>
          </w:tcPr>
          <w:p w14:paraId="6E1F5CB9"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p>
        </w:tc>
        <w:tc>
          <w:tcPr>
            <w:tcW w:w="1461" w:type="dxa"/>
            <w:tcBorders>
              <w:top w:val="nil"/>
              <w:left w:val="nil"/>
              <w:bottom w:val="nil"/>
              <w:right w:val="nil"/>
            </w:tcBorders>
            <w:shd w:val="clear" w:color="auto" w:fill="auto"/>
            <w:noWrap/>
            <w:vAlign w:val="center"/>
            <w:hideMark/>
          </w:tcPr>
          <w:p w14:paraId="443518D2"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r w:rsidRPr="00B27E82">
              <w:rPr>
                <w:rFonts w:ascii="Verdana" w:eastAsia="Times New Roman" w:hAnsi="Verdana" w:cs="Calibri"/>
                <w:color w:val="000000"/>
                <w:sz w:val="18"/>
                <w:szCs w:val="18"/>
                <w:lang w:eastAsia="pt-BR"/>
              </w:rPr>
              <w:t xml:space="preserve">              (54)</w:t>
            </w:r>
          </w:p>
        </w:tc>
      </w:tr>
      <w:tr w:rsidR="00B27E82" w:rsidRPr="00B27E82" w14:paraId="0967723C" w14:textId="77777777" w:rsidTr="003072B4">
        <w:trPr>
          <w:trHeight w:val="20"/>
        </w:trPr>
        <w:tc>
          <w:tcPr>
            <w:tcW w:w="3880" w:type="dxa"/>
            <w:tcBorders>
              <w:top w:val="nil"/>
              <w:left w:val="nil"/>
              <w:bottom w:val="nil"/>
              <w:right w:val="nil"/>
            </w:tcBorders>
            <w:shd w:val="clear" w:color="auto" w:fill="auto"/>
            <w:noWrap/>
            <w:vAlign w:val="center"/>
            <w:hideMark/>
          </w:tcPr>
          <w:p w14:paraId="3851D38E"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r w:rsidRPr="00B27E82">
              <w:rPr>
                <w:rFonts w:ascii="Verdana" w:eastAsia="Times New Roman" w:hAnsi="Verdana" w:cs="Calibri"/>
                <w:color w:val="000000"/>
                <w:sz w:val="18"/>
                <w:szCs w:val="18"/>
                <w:lang w:eastAsia="pt-BR"/>
              </w:rPr>
              <w:t xml:space="preserve">    Provisões/Reversões operacionais</w:t>
            </w:r>
          </w:p>
        </w:tc>
        <w:tc>
          <w:tcPr>
            <w:tcW w:w="200" w:type="dxa"/>
            <w:tcBorders>
              <w:top w:val="nil"/>
              <w:left w:val="nil"/>
              <w:bottom w:val="nil"/>
              <w:right w:val="nil"/>
            </w:tcBorders>
            <w:shd w:val="clear" w:color="auto" w:fill="auto"/>
            <w:noWrap/>
            <w:vAlign w:val="bottom"/>
            <w:hideMark/>
          </w:tcPr>
          <w:p w14:paraId="362DC67A"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p>
        </w:tc>
        <w:tc>
          <w:tcPr>
            <w:tcW w:w="1495" w:type="dxa"/>
            <w:tcBorders>
              <w:top w:val="nil"/>
              <w:left w:val="nil"/>
              <w:bottom w:val="nil"/>
              <w:right w:val="nil"/>
            </w:tcBorders>
            <w:shd w:val="clear" w:color="auto" w:fill="auto"/>
            <w:noWrap/>
            <w:vAlign w:val="center"/>
            <w:hideMark/>
          </w:tcPr>
          <w:p w14:paraId="152412A3"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r w:rsidRPr="00B27E82">
              <w:rPr>
                <w:rFonts w:ascii="Verdana" w:eastAsia="Times New Roman" w:hAnsi="Verdana" w:cs="Calibri"/>
                <w:color w:val="000000"/>
                <w:sz w:val="18"/>
                <w:szCs w:val="18"/>
                <w:lang w:eastAsia="pt-BR"/>
              </w:rPr>
              <w:t xml:space="preserve">                 -   </w:t>
            </w:r>
          </w:p>
        </w:tc>
        <w:tc>
          <w:tcPr>
            <w:tcW w:w="146" w:type="dxa"/>
            <w:tcBorders>
              <w:top w:val="nil"/>
              <w:left w:val="nil"/>
              <w:bottom w:val="nil"/>
              <w:right w:val="nil"/>
            </w:tcBorders>
            <w:shd w:val="clear" w:color="auto" w:fill="auto"/>
            <w:noWrap/>
            <w:vAlign w:val="bottom"/>
            <w:hideMark/>
          </w:tcPr>
          <w:p w14:paraId="23EBA24D"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p>
        </w:tc>
        <w:tc>
          <w:tcPr>
            <w:tcW w:w="1366" w:type="dxa"/>
            <w:tcBorders>
              <w:top w:val="nil"/>
              <w:left w:val="nil"/>
              <w:bottom w:val="nil"/>
              <w:right w:val="nil"/>
            </w:tcBorders>
            <w:shd w:val="clear" w:color="auto" w:fill="auto"/>
            <w:noWrap/>
            <w:vAlign w:val="center"/>
            <w:hideMark/>
          </w:tcPr>
          <w:p w14:paraId="21BE2876"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r w:rsidRPr="00B27E82">
              <w:rPr>
                <w:rFonts w:ascii="Verdana" w:eastAsia="Times New Roman" w:hAnsi="Verdana" w:cs="Calibri"/>
                <w:color w:val="000000"/>
                <w:sz w:val="18"/>
                <w:szCs w:val="18"/>
                <w:lang w:eastAsia="pt-BR"/>
              </w:rPr>
              <w:t xml:space="preserve">               -   </w:t>
            </w:r>
          </w:p>
        </w:tc>
        <w:tc>
          <w:tcPr>
            <w:tcW w:w="240" w:type="dxa"/>
            <w:tcBorders>
              <w:top w:val="nil"/>
              <w:left w:val="nil"/>
              <w:bottom w:val="nil"/>
              <w:right w:val="nil"/>
            </w:tcBorders>
            <w:shd w:val="clear" w:color="auto" w:fill="auto"/>
            <w:noWrap/>
            <w:vAlign w:val="bottom"/>
            <w:hideMark/>
          </w:tcPr>
          <w:p w14:paraId="1722EB18"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p>
        </w:tc>
        <w:tc>
          <w:tcPr>
            <w:tcW w:w="1440" w:type="dxa"/>
            <w:tcBorders>
              <w:top w:val="nil"/>
              <w:left w:val="nil"/>
              <w:bottom w:val="nil"/>
              <w:right w:val="nil"/>
            </w:tcBorders>
            <w:shd w:val="clear" w:color="auto" w:fill="auto"/>
            <w:noWrap/>
            <w:vAlign w:val="center"/>
            <w:hideMark/>
          </w:tcPr>
          <w:p w14:paraId="31A1C259"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r w:rsidRPr="00B27E82">
              <w:rPr>
                <w:rFonts w:ascii="Verdana" w:eastAsia="Times New Roman" w:hAnsi="Verdana" w:cs="Calibri"/>
                <w:color w:val="000000"/>
                <w:sz w:val="18"/>
                <w:szCs w:val="18"/>
                <w:lang w:eastAsia="pt-BR"/>
              </w:rPr>
              <w:t xml:space="preserve">       (28.707)</w:t>
            </w:r>
          </w:p>
        </w:tc>
        <w:tc>
          <w:tcPr>
            <w:tcW w:w="146" w:type="dxa"/>
            <w:tcBorders>
              <w:top w:val="nil"/>
              <w:left w:val="nil"/>
              <w:bottom w:val="nil"/>
              <w:right w:val="nil"/>
            </w:tcBorders>
            <w:shd w:val="clear" w:color="auto" w:fill="auto"/>
            <w:noWrap/>
            <w:vAlign w:val="bottom"/>
            <w:hideMark/>
          </w:tcPr>
          <w:p w14:paraId="25A9A6E0"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p>
        </w:tc>
        <w:tc>
          <w:tcPr>
            <w:tcW w:w="1461" w:type="dxa"/>
            <w:tcBorders>
              <w:top w:val="nil"/>
              <w:left w:val="nil"/>
              <w:bottom w:val="nil"/>
              <w:right w:val="nil"/>
            </w:tcBorders>
            <w:shd w:val="clear" w:color="auto" w:fill="auto"/>
            <w:noWrap/>
            <w:vAlign w:val="center"/>
            <w:hideMark/>
          </w:tcPr>
          <w:p w14:paraId="7873B158"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r w:rsidRPr="00B27E82">
              <w:rPr>
                <w:rFonts w:ascii="Verdana" w:eastAsia="Times New Roman" w:hAnsi="Verdana" w:cs="Calibri"/>
                <w:color w:val="000000"/>
                <w:sz w:val="18"/>
                <w:szCs w:val="18"/>
                <w:lang w:eastAsia="pt-BR"/>
              </w:rPr>
              <w:t xml:space="preserve">       (28.707)</w:t>
            </w:r>
          </w:p>
        </w:tc>
      </w:tr>
      <w:tr w:rsidR="00B27E82" w:rsidRPr="00B27E82" w14:paraId="7DAE2FC3" w14:textId="77777777" w:rsidTr="003072B4">
        <w:trPr>
          <w:trHeight w:val="20"/>
        </w:trPr>
        <w:tc>
          <w:tcPr>
            <w:tcW w:w="3880" w:type="dxa"/>
            <w:tcBorders>
              <w:top w:val="nil"/>
              <w:left w:val="nil"/>
              <w:bottom w:val="nil"/>
              <w:right w:val="nil"/>
            </w:tcBorders>
            <w:shd w:val="clear" w:color="auto" w:fill="auto"/>
            <w:noWrap/>
            <w:vAlign w:val="center"/>
            <w:hideMark/>
          </w:tcPr>
          <w:p w14:paraId="6096259C"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r w:rsidRPr="00B27E82">
              <w:rPr>
                <w:rFonts w:ascii="Verdana" w:eastAsia="Times New Roman" w:hAnsi="Verdana" w:cs="Calibri"/>
                <w:color w:val="000000"/>
                <w:sz w:val="18"/>
                <w:szCs w:val="18"/>
                <w:lang w:eastAsia="pt-BR"/>
              </w:rPr>
              <w:t xml:space="preserve">    Equivalência patrimonial</w:t>
            </w:r>
          </w:p>
        </w:tc>
        <w:tc>
          <w:tcPr>
            <w:tcW w:w="200" w:type="dxa"/>
            <w:tcBorders>
              <w:top w:val="nil"/>
              <w:left w:val="nil"/>
              <w:bottom w:val="nil"/>
              <w:right w:val="nil"/>
            </w:tcBorders>
            <w:shd w:val="clear" w:color="auto" w:fill="auto"/>
            <w:noWrap/>
            <w:vAlign w:val="center"/>
            <w:hideMark/>
          </w:tcPr>
          <w:p w14:paraId="7B2DCC40"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p>
        </w:tc>
        <w:tc>
          <w:tcPr>
            <w:tcW w:w="1495" w:type="dxa"/>
            <w:tcBorders>
              <w:top w:val="nil"/>
              <w:left w:val="nil"/>
              <w:bottom w:val="nil"/>
              <w:right w:val="nil"/>
            </w:tcBorders>
            <w:shd w:val="clear" w:color="auto" w:fill="auto"/>
            <w:noWrap/>
            <w:vAlign w:val="center"/>
            <w:hideMark/>
          </w:tcPr>
          <w:p w14:paraId="2701B9C0"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r w:rsidRPr="00B27E82">
              <w:rPr>
                <w:rFonts w:ascii="Verdana" w:eastAsia="Times New Roman" w:hAnsi="Verdana" w:cs="Calibri"/>
                <w:color w:val="000000"/>
                <w:sz w:val="18"/>
                <w:szCs w:val="18"/>
                <w:lang w:eastAsia="pt-BR"/>
              </w:rPr>
              <w:t xml:space="preserve">          (7.757)</w:t>
            </w:r>
          </w:p>
        </w:tc>
        <w:tc>
          <w:tcPr>
            <w:tcW w:w="146" w:type="dxa"/>
            <w:tcBorders>
              <w:top w:val="nil"/>
              <w:left w:val="nil"/>
              <w:bottom w:val="nil"/>
              <w:right w:val="nil"/>
            </w:tcBorders>
            <w:shd w:val="clear" w:color="auto" w:fill="auto"/>
            <w:noWrap/>
            <w:vAlign w:val="center"/>
            <w:hideMark/>
          </w:tcPr>
          <w:p w14:paraId="083FB007"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p>
        </w:tc>
        <w:tc>
          <w:tcPr>
            <w:tcW w:w="1366" w:type="dxa"/>
            <w:tcBorders>
              <w:top w:val="nil"/>
              <w:left w:val="nil"/>
              <w:bottom w:val="nil"/>
              <w:right w:val="nil"/>
            </w:tcBorders>
            <w:shd w:val="clear" w:color="auto" w:fill="auto"/>
            <w:noWrap/>
            <w:vAlign w:val="center"/>
            <w:hideMark/>
          </w:tcPr>
          <w:p w14:paraId="0E50B5A4"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r w:rsidRPr="00B27E82">
              <w:rPr>
                <w:rFonts w:ascii="Verdana" w:eastAsia="Times New Roman" w:hAnsi="Verdana" w:cs="Calibri"/>
                <w:color w:val="000000"/>
                <w:sz w:val="18"/>
                <w:szCs w:val="18"/>
                <w:lang w:eastAsia="pt-BR"/>
              </w:rPr>
              <w:t xml:space="preserve">        (7.757)</w:t>
            </w:r>
          </w:p>
        </w:tc>
        <w:tc>
          <w:tcPr>
            <w:tcW w:w="240" w:type="dxa"/>
            <w:tcBorders>
              <w:top w:val="nil"/>
              <w:left w:val="nil"/>
              <w:bottom w:val="nil"/>
              <w:right w:val="nil"/>
            </w:tcBorders>
            <w:shd w:val="clear" w:color="auto" w:fill="auto"/>
            <w:noWrap/>
            <w:vAlign w:val="bottom"/>
            <w:hideMark/>
          </w:tcPr>
          <w:p w14:paraId="495517CA"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p>
        </w:tc>
        <w:tc>
          <w:tcPr>
            <w:tcW w:w="1440" w:type="dxa"/>
            <w:tcBorders>
              <w:top w:val="nil"/>
              <w:left w:val="nil"/>
              <w:bottom w:val="nil"/>
              <w:right w:val="nil"/>
            </w:tcBorders>
            <w:shd w:val="clear" w:color="auto" w:fill="auto"/>
            <w:noWrap/>
            <w:vAlign w:val="center"/>
            <w:hideMark/>
          </w:tcPr>
          <w:p w14:paraId="607E7799"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r w:rsidRPr="00B27E82">
              <w:rPr>
                <w:rFonts w:ascii="Verdana" w:eastAsia="Times New Roman" w:hAnsi="Verdana" w:cs="Calibri"/>
                <w:color w:val="000000"/>
                <w:sz w:val="18"/>
                <w:szCs w:val="18"/>
                <w:lang w:eastAsia="pt-BR"/>
              </w:rPr>
              <w:t xml:space="preserve">                -   </w:t>
            </w:r>
          </w:p>
        </w:tc>
        <w:tc>
          <w:tcPr>
            <w:tcW w:w="146" w:type="dxa"/>
            <w:tcBorders>
              <w:top w:val="nil"/>
              <w:left w:val="nil"/>
              <w:bottom w:val="nil"/>
              <w:right w:val="nil"/>
            </w:tcBorders>
            <w:shd w:val="clear" w:color="auto" w:fill="auto"/>
            <w:noWrap/>
            <w:vAlign w:val="center"/>
            <w:hideMark/>
          </w:tcPr>
          <w:p w14:paraId="6EBF12E7"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p>
        </w:tc>
        <w:tc>
          <w:tcPr>
            <w:tcW w:w="1461" w:type="dxa"/>
            <w:tcBorders>
              <w:top w:val="nil"/>
              <w:left w:val="nil"/>
              <w:bottom w:val="nil"/>
              <w:right w:val="nil"/>
            </w:tcBorders>
            <w:shd w:val="clear" w:color="auto" w:fill="auto"/>
            <w:noWrap/>
            <w:vAlign w:val="center"/>
            <w:hideMark/>
          </w:tcPr>
          <w:p w14:paraId="33451E75"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r w:rsidRPr="00B27E82">
              <w:rPr>
                <w:rFonts w:ascii="Verdana" w:eastAsia="Times New Roman" w:hAnsi="Verdana" w:cs="Calibri"/>
                <w:color w:val="000000"/>
                <w:sz w:val="18"/>
                <w:szCs w:val="18"/>
                <w:lang w:eastAsia="pt-BR"/>
              </w:rPr>
              <w:t xml:space="preserve">                 -   </w:t>
            </w:r>
          </w:p>
        </w:tc>
      </w:tr>
      <w:tr w:rsidR="00B27E82" w:rsidRPr="00B27E82" w14:paraId="7360836A" w14:textId="77777777" w:rsidTr="003072B4">
        <w:trPr>
          <w:trHeight w:val="20"/>
        </w:trPr>
        <w:tc>
          <w:tcPr>
            <w:tcW w:w="3880" w:type="dxa"/>
            <w:tcBorders>
              <w:top w:val="nil"/>
              <w:left w:val="nil"/>
              <w:bottom w:val="nil"/>
              <w:right w:val="nil"/>
            </w:tcBorders>
            <w:shd w:val="clear" w:color="auto" w:fill="auto"/>
            <w:noWrap/>
            <w:vAlign w:val="center"/>
            <w:hideMark/>
          </w:tcPr>
          <w:p w14:paraId="1E6B5410"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r w:rsidRPr="00B27E82">
              <w:rPr>
                <w:rFonts w:ascii="Verdana" w:eastAsia="Times New Roman" w:hAnsi="Verdana" w:cs="Calibri"/>
                <w:color w:val="000000"/>
                <w:sz w:val="18"/>
                <w:szCs w:val="18"/>
                <w:lang w:eastAsia="pt-BR"/>
              </w:rPr>
              <w:t xml:space="preserve">    Outras receitas e (despesas) líquidas</w:t>
            </w:r>
          </w:p>
        </w:tc>
        <w:tc>
          <w:tcPr>
            <w:tcW w:w="200" w:type="dxa"/>
            <w:tcBorders>
              <w:top w:val="nil"/>
              <w:left w:val="nil"/>
              <w:bottom w:val="nil"/>
              <w:right w:val="nil"/>
            </w:tcBorders>
            <w:shd w:val="clear" w:color="auto" w:fill="auto"/>
            <w:noWrap/>
            <w:vAlign w:val="bottom"/>
            <w:hideMark/>
          </w:tcPr>
          <w:p w14:paraId="1684A5FC"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p>
        </w:tc>
        <w:tc>
          <w:tcPr>
            <w:tcW w:w="1495" w:type="dxa"/>
            <w:tcBorders>
              <w:top w:val="nil"/>
              <w:left w:val="nil"/>
              <w:bottom w:val="single" w:sz="8" w:space="0" w:color="auto"/>
              <w:right w:val="nil"/>
            </w:tcBorders>
            <w:shd w:val="clear" w:color="auto" w:fill="auto"/>
            <w:noWrap/>
            <w:vAlign w:val="center"/>
            <w:hideMark/>
          </w:tcPr>
          <w:p w14:paraId="79E0628D"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r w:rsidRPr="00B27E82">
              <w:rPr>
                <w:rFonts w:ascii="Verdana" w:eastAsia="Times New Roman" w:hAnsi="Verdana" w:cs="Calibri"/>
                <w:color w:val="000000"/>
                <w:sz w:val="18"/>
                <w:szCs w:val="18"/>
                <w:lang w:eastAsia="pt-BR"/>
              </w:rPr>
              <w:t xml:space="preserve">           1.168 </w:t>
            </w:r>
          </w:p>
        </w:tc>
        <w:tc>
          <w:tcPr>
            <w:tcW w:w="146" w:type="dxa"/>
            <w:tcBorders>
              <w:top w:val="nil"/>
              <w:left w:val="nil"/>
              <w:bottom w:val="nil"/>
              <w:right w:val="nil"/>
            </w:tcBorders>
            <w:shd w:val="clear" w:color="auto" w:fill="auto"/>
            <w:noWrap/>
            <w:vAlign w:val="bottom"/>
            <w:hideMark/>
          </w:tcPr>
          <w:p w14:paraId="3031A94B"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p>
        </w:tc>
        <w:tc>
          <w:tcPr>
            <w:tcW w:w="1366" w:type="dxa"/>
            <w:tcBorders>
              <w:top w:val="nil"/>
              <w:left w:val="nil"/>
              <w:bottom w:val="single" w:sz="8" w:space="0" w:color="auto"/>
              <w:right w:val="nil"/>
            </w:tcBorders>
            <w:shd w:val="clear" w:color="auto" w:fill="auto"/>
            <w:noWrap/>
            <w:vAlign w:val="center"/>
            <w:hideMark/>
          </w:tcPr>
          <w:p w14:paraId="7C3875A3"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r w:rsidRPr="00B27E82">
              <w:rPr>
                <w:rFonts w:ascii="Verdana" w:eastAsia="Times New Roman" w:hAnsi="Verdana" w:cs="Calibri"/>
                <w:color w:val="000000"/>
                <w:sz w:val="18"/>
                <w:szCs w:val="18"/>
                <w:lang w:eastAsia="pt-BR"/>
              </w:rPr>
              <w:t xml:space="preserve">          1.168 </w:t>
            </w:r>
          </w:p>
        </w:tc>
        <w:tc>
          <w:tcPr>
            <w:tcW w:w="240" w:type="dxa"/>
            <w:tcBorders>
              <w:top w:val="nil"/>
              <w:left w:val="nil"/>
              <w:bottom w:val="nil"/>
              <w:right w:val="nil"/>
            </w:tcBorders>
            <w:shd w:val="clear" w:color="auto" w:fill="auto"/>
            <w:noWrap/>
            <w:vAlign w:val="bottom"/>
            <w:hideMark/>
          </w:tcPr>
          <w:p w14:paraId="1D05F4CA"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p>
        </w:tc>
        <w:tc>
          <w:tcPr>
            <w:tcW w:w="1440" w:type="dxa"/>
            <w:tcBorders>
              <w:top w:val="nil"/>
              <w:left w:val="nil"/>
              <w:bottom w:val="single" w:sz="8" w:space="0" w:color="auto"/>
              <w:right w:val="nil"/>
            </w:tcBorders>
            <w:shd w:val="clear" w:color="auto" w:fill="auto"/>
            <w:noWrap/>
            <w:vAlign w:val="center"/>
            <w:hideMark/>
          </w:tcPr>
          <w:p w14:paraId="088CA58E"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r w:rsidRPr="00B27E82">
              <w:rPr>
                <w:rFonts w:ascii="Verdana" w:eastAsia="Times New Roman" w:hAnsi="Verdana" w:cs="Calibri"/>
                <w:color w:val="000000"/>
                <w:sz w:val="18"/>
                <w:szCs w:val="18"/>
                <w:lang w:eastAsia="pt-BR"/>
              </w:rPr>
              <w:t xml:space="preserve">         (8.873)</w:t>
            </w:r>
          </w:p>
        </w:tc>
        <w:tc>
          <w:tcPr>
            <w:tcW w:w="146" w:type="dxa"/>
            <w:tcBorders>
              <w:top w:val="nil"/>
              <w:left w:val="nil"/>
              <w:bottom w:val="nil"/>
              <w:right w:val="nil"/>
            </w:tcBorders>
            <w:shd w:val="clear" w:color="auto" w:fill="auto"/>
            <w:noWrap/>
            <w:vAlign w:val="bottom"/>
            <w:hideMark/>
          </w:tcPr>
          <w:p w14:paraId="16B7E698"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p>
        </w:tc>
        <w:tc>
          <w:tcPr>
            <w:tcW w:w="1461" w:type="dxa"/>
            <w:tcBorders>
              <w:top w:val="nil"/>
              <w:left w:val="nil"/>
              <w:bottom w:val="single" w:sz="8" w:space="0" w:color="auto"/>
              <w:right w:val="nil"/>
            </w:tcBorders>
            <w:shd w:val="clear" w:color="auto" w:fill="auto"/>
            <w:noWrap/>
            <w:vAlign w:val="center"/>
            <w:hideMark/>
          </w:tcPr>
          <w:p w14:paraId="28161CED"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r w:rsidRPr="00B27E82">
              <w:rPr>
                <w:rFonts w:ascii="Verdana" w:eastAsia="Times New Roman" w:hAnsi="Verdana" w:cs="Calibri"/>
                <w:color w:val="000000"/>
                <w:sz w:val="18"/>
                <w:szCs w:val="18"/>
                <w:lang w:eastAsia="pt-BR"/>
              </w:rPr>
              <w:t xml:space="preserve">         (8.872)</w:t>
            </w:r>
          </w:p>
        </w:tc>
      </w:tr>
      <w:tr w:rsidR="00B27E82" w:rsidRPr="00B27E82" w14:paraId="6B212851" w14:textId="77777777" w:rsidTr="003072B4">
        <w:trPr>
          <w:trHeight w:val="20"/>
        </w:trPr>
        <w:tc>
          <w:tcPr>
            <w:tcW w:w="3880" w:type="dxa"/>
            <w:tcBorders>
              <w:top w:val="nil"/>
              <w:left w:val="nil"/>
              <w:bottom w:val="nil"/>
              <w:right w:val="nil"/>
            </w:tcBorders>
            <w:shd w:val="clear" w:color="auto" w:fill="auto"/>
            <w:noWrap/>
            <w:vAlign w:val="center"/>
            <w:hideMark/>
          </w:tcPr>
          <w:p w14:paraId="589E791C" w14:textId="77777777" w:rsidR="00B27E82" w:rsidRPr="00B27E82" w:rsidRDefault="00B27E82" w:rsidP="00B27E82">
            <w:pPr>
              <w:spacing w:after="0" w:line="240" w:lineRule="auto"/>
              <w:rPr>
                <w:rFonts w:ascii="Verdana" w:eastAsia="Times New Roman" w:hAnsi="Verdana" w:cs="Calibri"/>
                <w:color w:val="000000"/>
                <w:sz w:val="18"/>
                <w:szCs w:val="18"/>
                <w:lang w:eastAsia="pt-BR"/>
              </w:rPr>
            </w:pPr>
          </w:p>
        </w:tc>
        <w:tc>
          <w:tcPr>
            <w:tcW w:w="200" w:type="dxa"/>
            <w:tcBorders>
              <w:top w:val="nil"/>
              <w:left w:val="nil"/>
              <w:bottom w:val="nil"/>
              <w:right w:val="nil"/>
            </w:tcBorders>
            <w:shd w:val="clear" w:color="auto" w:fill="auto"/>
            <w:noWrap/>
            <w:vAlign w:val="center"/>
            <w:hideMark/>
          </w:tcPr>
          <w:p w14:paraId="52990DE6" w14:textId="77777777" w:rsidR="00B27E82" w:rsidRPr="00B27E82" w:rsidRDefault="00B27E82" w:rsidP="00B27E82">
            <w:pPr>
              <w:spacing w:after="0" w:line="240" w:lineRule="auto"/>
              <w:rPr>
                <w:rFonts w:ascii="Times New Roman" w:eastAsia="Times New Roman" w:hAnsi="Times New Roman" w:cs="Times New Roman"/>
                <w:sz w:val="20"/>
                <w:szCs w:val="20"/>
                <w:lang w:eastAsia="pt-BR"/>
              </w:rPr>
            </w:pPr>
          </w:p>
        </w:tc>
        <w:tc>
          <w:tcPr>
            <w:tcW w:w="1495" w:type="dxa"/>
            <w:tcBorders>
              <w:top w:val="nil"/>
              <w:left w:val="nil"/>
              <w:bottom w:val="double" w:sz="6" w:space="0" w:color="auto"/>
              <w:right w:val="nil"/>
            </w:tcBorders>
            <w:shd w:val="clear" w:color="auto" w:fill="auto"/>
            <w:noWrap/>
            <w:vAlign w:val="center"/>
            <w:hideMark/>
          </w:tcPr>
          <w:p w14:paraId="54B70B84" w14:textId="77777777" w:rsidR="00B27E82" w:rsidRPr="00B27E82" w:rsidRDefault="00B27E82" w:rsidP="00B27E82">
            <w:pPr>
              <w:spacing w:after="0" w:line="240" w:lineRule="auto"/>
              <w:rPr>
                <w:rFonts w:ascii="Verdana" w:eastAsia="Times New Roman" w:hAnsi="Verdana" w:cs="Calibri"/>
                <w:b/>
                <w:bCs/>
                <w:color w:val="000000"/>
                <w:sz w:val="18"/>
                <w:szCs w:val="18"/>
                <w:lang w:eastAsia="pt-BR"/>
              </w:rPr>
            </w:pPr>
            <w:r w:rsidRPr="00B27E82">
              <w:rPr>
                <w:rFonts w:ascii="Verdana" w:eastAsia="Times New Roman" w:hAnsi="Verdana" w:cs="Calibri"/>
                <w:b/>
                <w:bCs/>
                <w:color w:val="000000"/>
                <w:sz w:val="18"/>
                <w:szCs w:val="18"/>
                <w:lang w:eastAsia="pt-BR"/>
              </w:rPr>
              <w:t xml:space="preserve">      (11.012)</w:t>
            </w:r>
          </w:p>
        </w:tc>
        <w:tc>
          <w:tcPr>
            <w:tcW w:w="146" w:type="dxa"/>
            <w:tcBorders>
              <w:top w:val="nil"/>
              <w:left w:val="nil"/>
              <w:bottom w:val="nil"/>
              <w:right w:val="nil"/>
            </w:tcBorders>
            <w:shd w:val="clear" w:color="auto" w:fill="auto"/>
            <w:noWrap/>
            <w:vAlign w:val="center"/>
            <w:hideMark/>
          </w:tcPr>
          <w:p w14:paraId="0D41B46D" w14:textId="77777777" w:rsidR="00B27E82" w:rsidRPr="00B27E82" w:rsidRDefault="00B27E82" w:rsidP="00B27E82">
            <w:pPr>
              <w:spacing w:after="0" w:line="240" w:lineRule="auto"/>
              <w:rPr>
                <w:rFonts w:ascii="Verdana" w:eastAsia="Times New Roman" w:hAnsi="Verdana" w:cs="Calibri"/>
                <w:b/>
                <w:bCs/>
                <w:color w:val="000000"/>
                <w:sz w:val="18"/>
                <w:szCs w:val="18"/>
                <w:lang w:eastAsia="pt-BR"/>
              </w:rPr>
            </w:pPr>
          </w:p>
        </w:tc>
        <w:tc>
          <w:tcPr>
            <w:tcW w:w="1366" w:type="dxa"/>
            <w:tcBorders>
              <w:top w:val="nil"/>
              <w:left w:val="nil"/>
              <w:bottom w:val="double" w:sz="6" w:space="0" w:color="auto"/>
              <w:right w:val="nil"/>
            </w:tcBorders>
            <w:shd w:val="clear" w:color="auto" w:fill="auto"/>
            <w:noWrap/>
            <w:vAlign w:val="center"/>
            <w:hideMark/>
          </w:tcPr>
          <w:p w14:paraId="2CB37B89" w14:textId="77777777" w:rsidR="00B27E82" w:rsidRPr="00B27E82" w:rsidRDefault="00B27E82" w:rsidP="00B27E82">
            <w:pPr>
              <w:spacing w:after="0" w:line="240" w:lineRule="auto"/>
              <w:rPr>
                <w:rFonts w:ascii="Verdana" w:eastAsia="Times New Roman" w:hAnsi="Verdana" w:cs="Calibri"/>
                <w:b/>
                <w:bCs/>
                <w:color w:val="000000"/>
                <w:sz w:val="18"/>
                <w:szCs w:val="18"/>
                <w:lang w:eastAsia="pt-BR"/>
              </w:rPr>
            </w:pPr>
            <w:r w:rsidRPr="00B27E82">
              <w:rPr>
                <w:rFonts w:ascii="Verdana" w:eastAsia="Times New Roman" w:hAnsi="Verdana" w:cs="Calibri"/>
                <w:b/>
                <w:bCs/>
                <w:color w:val="000000"/>
                <w:sz w:val="18"/>
                <w:szCs w:val="18"/>
                <w:lang w:eastAsia="pt-BR"/>
              </w:rPr>
              <w:t xml:space="preserve">       (9.409)</w:t>
            </w:r>
          </w:p>
        </w:tc>
        <w:tc>
          <w:tcPr>
            <w:tcW w:w="240" w:type="dxa"/>
            <w:tcBorders>
              <w:top w:val="nil"/>
              <w:left w:val="nil"/>
              <w:bottom w:val="nil"/>
              <w:right w:val="nil"/>
            </w:tcBorders>
            <w:shd w:val="clear" w:color="auto" w:fill="auto"/>
            <w:noWrap/>
            <w:vAlign w:val="bottom"/>
            <w:hideMark/>
          </w:tcPr>
          <w:p w14:paraId="7C970A9C" w14:textId="77777777" w:rsidR="00B27E82" w:rsidRPr="00B27E82" w:rsidRDefault="00B27E82" w:rsidP="00B27E82">
            <w:pPr>
              <w:spacing w:after="0" w:line="240" w:lineRule="auto"/>
              <w:rPr>
                <w:rFonts w:ascii="Verdana" w:eastAsia="Times New Roman" w:hAnsi="Verdana" w:cs="Calibri"/>
                <w:b/>
                <w:bCs/>
                <w:color w:val="000000"/>
                <w:sz w:val="18"/>
                <w:szCs w:val="18"/>
                <w:lang w:eastAsia="pt-BR"/>
              </w:rPr>
            </w:pPr>
          </w:p>
        </w:tc>
        <w:tc>
          <w:tcPr>
            <w:tcW w:w="1440" w:type="dxa"/>
            <w:tcBorders>
              <w:top w:val="nil"/>
              <w:left w:val="nil"/>
              <w:bottom w:val="double" w:sz="6" w:space="0" w:color="auto"/>
              <w:right w:val="nil"/>
            </w:tcBorders>
            <w:shd w:val="clear" w:color="auto" w:fill="auto"/>
            <w:noWrap/>
            <w:vAlign w:val="center"/>
            <w:hideMark/>
          </w:tcPr>
          <w:p w14:paraId="497F0CB1" w14:textId="77777777" w:rsidR="00B27E82" w:rsidRPr="00B27E82" w:rsidRDefault="00B27E82" w:rsidP="00B27E82">
            <w:pPr>
              <w:spacing w:after="0" w:line="240" w:lineRule="auto"/>
              <w:rPr>
                <w:rFonts w:ascii="Verdana" w:eastAsia="Times New Roman" w:hAnsi="Verdana" w:cs="Calibri"/>
                <w:b/>
                <w:bCs/>
                <w:color w:val="000000"/>
                <w:sz w:val="18"/>
                <w:szCs w:val="18"/>
                <w:lang w:eastAsia="pt-BR"/>
              </w:rPr>
            </w:pPr>
            <w:r w:rsidRPr="00B27E82">
              <w:rPr>
                <w:rFonts w:ascii="Verdana" w:eastAsia="Times New Roman" w:hAnsi="Verdana" w:cs="Calibri"/>
                <w:b/>
                <w:bCs/>
                <w:color w:val="000000"/>
                <w:sz w:val="18"/>
                <w:szCs w:val="18"/>
                <w:lang w:eastAsia="pt-BR"/>
              </w:rPr>
              <w:t xml:space="preserve">     (93.254)</w:t>
            </w:r>
          </w:p>
        </w:tc>
        <w:tc>
          <w:tcPr>
            <w:tcW w:w="146" w:type="dxa"/>
            <w:tcBorders>
              <w:top w:val="nil"/>
              <w:left w:val="nil"/>
              <w:bottom w:val="nil"/>
              <w:right w:val="nil"/>
            </w:tcBorders>
            <w:shd w:val="clear" w:color="auto" w:fill="auto"/>
            <w:noWrap/>
            <w:vAlign w:val="center"/>
            <w:hideMark/>
          </w:tcPr>
          <w:p w14:paraId="2A16AC42" w14:textId="77777777" w:rsidR="00B27E82" w:rsidRPr="00B27E82" w:rsidRDefault="00B27E82" w:rsidP="00B27E82">
            <w:pPr>
              <w:spacing w:after="0" w:line="240" w:lineRule="auto"/>
              <w:rPr>
                <w:rFonts w:ascii="Verdana" w:eastAsia="Times New Roman" w:hAnsi="Verdana" w:cs="Calibri"/>
                <w:b/>
                <w:bCs/>
                <w:color w:val="000000"/>
                <w:sz w:val="18"/>
                <w:szCs w:val="18"/>
                <w:lang w:eastAsia="pt-BR"/>
              </w:rPr>
            </w:pPr>
          </w:p>
        </w:tc>
        <w:tc>
          <w:tcPr>
            <w:tcW w:w="1461" w:type="dxa"/>
            <w:tcBorders>
              <w:top w:val="nil"/>
              <w:left w:val="nil"/>
              <w:bottom w:val="double" w:sz="6" w:space="0" w:color="auto"/>
              <w:right w:val="nil"/>
            </w:tcBorders>
            <w:shd w:val="clear" w:color="auto" w:fill="auto"/>
            <w:noWrap/>
            <w:vAlign w:val="center"/>
            <w:hideMark/>
          </w:tcPr>
          <w:p w14:paraId="42DB1E2B" w14:textId="77777777" w:rsidR="00B27E82" w:rsidRPr="00B27E82" w:rsidRDefault="00B27E82" w:rsidP="00B27E82">
            <w:pPr>
              <w:spacing w:after="0" w:line="240" w:lineRule="auto"/>
              <w:rPr>
                <w:rFonts w:ascii="Verdana" w:eastAsia="Times New Roman" w:hAnsi="Verdana" w:cs="Calibri"/>
                <w:b/>
                <w:bCs/>
                <w:color w:val="000000"/>
                <w:sz w:val="18"/>
                <w:szCs w:val="18"/>
                <w:lang w:eastAsia="pt-BR"/>
              </w:rPr>
            </w:pPr>
            <w:r w:rsidRPr="00B27E82">
              <w:rPr>
                <w:rFonts w:ascii="Verdana" w:eastAsia="Times New Roman" w:hAnsi="Verdana" w:cs="Calibri"/>
                <w:b/>
                <w:bCs/>
                <w:color w:val="000000"/>
                <w:sz w:val="18"/>
                <w:szCs w:val="18"/>
                <w:lang w:eastAsia="pt-BR"/>
              </w:rPr>
              <w:t xml:space="preserve">      (91.650)</w:t>
            </w:r>
          </w:p>
        </w:tc>
      </w:tr>
    </w:tbl>
    <w:p w14:paraId="4812973F" w14:textId="77777777" w:rsidR="00ED5988" w:rsidRPr="00C40278" w:rsidRDefault="00ED5988" w:rsidP="00720E7B">
      <w:pPr>
        <w:rPr>
          <w:rFonts w:ascii="Verdana" w:hAnsi="Verdana" w:cstheme="minorHAnsi"/>
          <w:noProof/>
          <w:sz w:val="16"/>
          <w:szCs w:val="16"/>
          <w:lang w:eastAsia="pt-BR"/>
        </w:rPr>
      </w:pPr>
    </w:p>
    <w:p w14:paraId="0C411984" w14:textId="77777777" w:rsidR="002B1787" w:rsidRPr="00F7132F" w:rsidRDefault="00F4139F" w:rsidP="00CF5F07">
      <w:pPr>
        <w:tabs>
          <w:tab w:val="left" w:pos="567"/>
          <w:tab w:val="left" w:pos="1134"/>
          <w:tab w:val="left" w:pos="1701"/>
          <w:tab w:val="left" w:pos="2268"/>
          <w:tab w:val="left" w:pos="2835"/>
        </w:tabs>
        <w:jc w:val="both"/>
        <w:outlineLvl w:val="0"/>
        <w:rPr>
          <w:rFonts w:ascii="Verdana" w:hAnsi="Verdana" w:cstheme="minorHAnsi"/>
          <w:b/>
        </w:rPr>
      </w:pPr>
      <w:r w:rsidRPr="00F7132F">
        <w:rPr>
          <w:rFonts w:ascii="Verdana" w:hAnsi="Verdana" w:cstheme="minorHAnsi"/>
          <w:b/>
        </w:rPr>
        <w:t>2</w:t>
      </w:r>
      <w:r w:rsidR="00581D1F">
        <w:rPr>
          <w:rFonts w:ascii="Verdana" w:hAnsi="Verdana" w:cstheme="minorHAnsi"/>
          <w:b/>
        </w:rPr>
        <w:t>6</w:t>
      </w:r>
      <w:r w:rsidRPr="00F7132F">
        <w:rPr>
          <w:rFonts w:ascii="Verdana" w:hAnsi="Verdana" w:cstheme="minorHAnsi"/>
          <w:b/>
        </w:rPr>
        <w:t xml:space="preserve"> </w:t>
      </w:r>
      <w:r w:rsidR="002B1787" w:rsidRPr="00F7132F">
        <w:rPr>
          <w:rFonts w:ascii="Verdana" w:hAnsi="Verdana" w:cstheme="minorHAnsi"/>
          <w:b/>
        </w:rPr>
        <w:t>– RESULTADO FINANCEIRO</w:t>
      </w:r>
    </w:p>
    <w:tbl>
      <w:tblPr>
        <w:tblW w:w="10681" w:type="dxa"/>
        <w:tblInd w:w="-709" w:type="dxa"/>
        <w:tblLayout w:type="fixed"/>
        <w:tblCellMar>
          <w:left w:w="70" w:type="dxa"/>
          <w:right w:w="70" w:type="dxa"/>
        </w:tblCellMar>
        <w:tblLook w:val="04A0" w:firstRow="1" w:lastRow="0" w:firstColumn="1" w:lastColumn="0" w:noHBand="0" w:noVBand="1"/>
      </w:tblPr>
      <w:tblGrid>
        <w:gridCol w:w="4679"/>
        <w:gridCol w:w="164"/>
        <w:gridCol w:w="1384"/>
        <w:gridCol w:w="174"/>
        <w:gridCol w:w="1397"/>
        <w:gridCol w:w="162"/>
        <w:gridCol w:w="1273"/>
        <w:gridCol w:w="174"/>
        <w:gridCol w:w="1274"/>
      </w:tblGrid>
      <w:tr w:rsidR="00BD7093" w:rsidRPr="00BD7093" w14:paraId="682738F2" w14:textId="77777777" w:rsidTr="003072B4">
        <w:trPr>
          <w:trHeight w:val="20"/>
        </w:trPr>
        <w:tc>
          <w:tcPr>
            <w:tcW w:w="4679" w:type="dxa"/>
            <w:tcBorders>
              <w:top w:val="nil"/>
              <w:left w:val="nil"/>
              <w:bottom w:val="nil"/>
              <w:right w:val="nil"/>
            </w:tcBorders>
            <w:shd w:val="clear" w:color="auto" w:fill="auto"/>
            <w:noWrap/>
            <w:vAlign w:val="bottom"/>
            <w:hideMark/>
          </w:tcPr>
          <w:p w14:paraId="0DB15E69" w14:textId="77777777" w:rsidR="00BD7093" w:rsidRPr="00BD7093" w:rsidRDefault="00BD7093" w:rsidP="00BD7093">
            <w:pPr>
              <w:spacing w:after="0" w:line="240" w:lineRule="auto"/>
              <w:rPr>
                <w:rFonts w:ascii="Times New Roman" w:eastAsia="Times New Roman" w:hAnsi="Times New Roman" w:cs="Times New Roman"/>
                <w:sz w:val="24"/>
                <w:szCs w:val="24"/>
                <w:lang w:eastAsia="pt-BR"/>
              </w:rPr>
            </w:pPr>
          </w:p>
        </w:tc>
        <w:tc>
          <w:tcPr>
            <w:tcW w:w="164" w:type="dxa"/>
            <w:tcBorders>
              <w:top w:val="nil"/>
              <w:left w:val="nil"/>
              <w:bottom w:val="nil"/>
              <w:right w:val="nil"/>
            </w:tcBorders>
            <w:shd w:val="clear" w:color="auto" w:fill="auto"/>
            <w:noWrap/>
            <w:vAlign w:val="bottom"/>
            <w:hideMark/>
          </w:tcPr>
          <w:p w14:paraId="687F94CB" w14:textId="77777777" w:rsidR="00BD7093" w:rsidRPr="00BD7093" w:rsidRDefault="00BD7093" w:rsidP="00BD7093">
            <w:pPr>
              <w:spacing w:after="0" w:line="240" w:lineRule="auto"/>
              <w:rPr>
                <w:rFonts w:ascii="Times New Roman" w:eastAsia="Times New Roman" w:hAnsi="Times New Roman" w:cs="Times New Roman"/>
                <w:sz w:val="20"/>
                <w:szCs w:val="20"/>
                <w:lang w:eastAsia="pt-BR"/>
              </w:rPr>
            </w:pPr>
          </w:p>
        </w:tc>
        <w:tc>
          <w:tcPr>
            <w:tcW w:w="2955" w:type="dxa"/>
            <w:gridSpan w:val="3"/>
            <w:tcBorders>
              <w:top w:val="nil"/>
              <w:left w:val="nil"/>
              <w:bottom w:val="nil"/>
              <w:right w:val="nil"/>
            </w:tcBorders>
            <w:shd w:val="clear" w:color="auto" w:fill="auto"/>
            <w:noWrap/>
            <w:vAlign w:val="center"/>
            <w:hideMark/>
          </w:tcPr>
          <w:p w14:paraId="017C27DC" w14:textId="77777777" w:rsidR="00BD7093" w:rsidRPr="00BD7093" w:rsidRDefault="00BD7093" w:rsidP="00BD7093">
            <w:pPr>
              <w:spacing w:after="0" w:line="240" w:lineRule="auto"/>
              <w:jc w:val="center"/>
              <w:rPr>
                <w:rFonts w:ascii="Verdana" w:eastAsia="Times New Roman" w:hAnsi="Verdana" w:cs="Calibri"/>
                <w:b/>
                <w:bCs/>
                <w:color w:val="000000"/>
                <w:sz w:val="18"/>
                <w:szCs w:val="18"/>
                <w:lang w:eastAsia="pt-BR"/>
              </w:rPr>
            </w:pPr>
            <w:r w:rsidRPr="00BD7093">
              <w:rPr>
                <w:rFonts w:ascii="Verdana" w:eastAsia="Times New Roman" w:hAnsi="Verdana" w:cs="Calibri"/>
                <w:b/>
                <w:bCs/>
                <w:color w:val="000000"/>
                <w:sz w:val="18"/>
                <w:szCs w:val="18"/>
                <w:lang w:eastAsia="pt-BR"/>
              </w:rPr>
              <w:t>Controladora</w:t>
            </w:r>
          </w:p>
        </w:tc>
        <w:tc>
          <w:tcPr>
            <w:tcW w:w="162" w:type="dxa"/>
            <w:tcBorders>
              <w:top w:val="nil"/>
              <w:left w:val="nil"/>
              <w:bottom w:val="nil"/>
              <w:right w:val="nil"/>
            </w:tcBorders>
            <w:shd w:val="clear" w:color="auto" w:fill="auto"/>
            <w:noWrap/>
            <w:vAlign w:val="bottom"/>
            <w:hideMark/>
          </w:tcPr>
          <w:p w14:paraId="1311DCEB" w14:textId="77777777" w:rsidR="00BD7093" w:rsidRPr="00BD7093" w:rsidRDefault="00BD7093" w:rsidP="00BD7093">
            <w:pPr>
              <w:spacing w:after="0" w:line="240" w:lineRule="auto"/>
              <w:jc w:val="center"/>
              <w:rPr>
                <w:rFonts w:ascii="Verdana" w:eastAsia="Times New Roman" w:hAnsi="Verdana" w:cs="Calibri"/>
                <w:b/>
                <w:bCs/>
                <w:color w:val="000000"/>
                <w:sz w:val="18"/>
                <w:szCs w:val="18"/>
                <w:lang w:eastAsia="pt-BR"/>
              </w:rPr>
            </w:pPr>
          </w:p>
        </w:tc>
        <w:tc>
          <w:tcPr>
            <w:tcW w:w="2721" w:type="dxa"/>
            <w:gridSpan w:val="3"/>
            <w:tcBorders>
              <w:top w:val="nil"/>
              <w:left w:val="nil"/>
              <w:bottom w:val="nil"/>
              <w:right w:val="nil"/>
            </w:tcBorders>
            <w:shd w:val="clear" w:color="auto" w:fill="auto"/>
            <w:noWrap/>
            <w:vAlign w:val="center"/>
            <w:hideMark/>
          </w:tcPr>
          <w:p w14:paraId="2F54ED7A" w14:textId="77777777" w:rsidR="00BD7093" w:rsidRPr="00BD7093" w:rsidRDefault="00BD7093" w:rsidP="00BD7093">
            <w:pPr>
              <w:spacing w:after="0" w:line="240" w:lineRule="auto"/>
              <w:jc w:val="center"/>
              <w:rPr>
                <w:rFonts w:ascii="Verdana" w:eastAsia="Times New Roman" w:hAnsi="Verdana" w:cs="Calibri"/>
                <w:b/>
                <w:bCs/>
                <w:color w:val="000000"/>
                <w:sz w:val="18"/>
                <w:szCs w:val="18"/>
                <w:lang w:eastAsia="pt-BR"/>
              </w:rPr>
            </w:pPr>
            <w:r w:rsidRPr="00BD7093">
              <w:rPr>
                <w:rFonts w:ascii="Verdana" w:eastAsia="Times New Roman" w:hAnsi="Verdana" w:cs="Calibri"/>
                <w:b/>
                <w:bCs/>
                <w:color w:val="000000"/>
                <w:sz w:val="18"/>
                <w:szCs w:val="18"/>
                <w:lang w:eastAsia="pt-BR"/>
              </w:rPr>
              <w:t>Consolidado</w:t>
            </w:r>
          </w:p>
        </w:tc>
      </w:tr>
      <w:tr w:rsidR="00BD7093" w:rsidRPr="00BD7093" w14:paraId="374494E9" w14:textId="77777777" w:rsidTr="003072B4">
        <w:trPr>
          <w:trHeight w:val="20"/>
        </w:trPr>
        <w:tc>
          <w:tcPr>
            <w:tcW w:w="4679" w:type="dxa"/>
            <w:tcBorders>
              <w:top w:val="nil"/>
              <w:left w:val="nil"/>
              <w:bottom w:val="nil"/>
              <w:right w:val="nil"/>
            </w:tcBorders>
            <w:shd w:val="clear" w:color="auto" w:fill="auto"/>
            <w:noWrap/>
            <w:vAlign w:val="bottom"/>
            <w:hideMark/>
          </w:tcPr>
          <w:p w14:paraId="43C09962" w14:textId="77777777" w:rsidR="00BD7093" w:rsidRPr="00BD7093" w:rsidRDefault="00BD7093" w:rsidP="00BD7093">
            <w:pPr>
              <w:spacing w:after="0" w:line="240" w:lineRule="auto"/>
              <w:jc w:val="center"/>
              <w:rPr>
                <w:rFonts w:ascii="Verdana" w:eastAsia="Times New Roman" w:hAnsi="Verdana" w:cs="Calibri"/>
                <w:b/>
                <w:bCs/>
                <w:color w:val="000000"/>
                <w:sz w:val="18"/>
                <w:szCs w:val="18"/>
                <w:lang w:eastAsia="pt-BR"/>
              </w:rPr>
            </w:pPr>
          </w:p>
        </w:tc>
        <w:tc>
          <w:tcPr>
            <w:tcW w:w="164" w:type="dxa"/>
            <w:tcBorders>
              <w:top w:val="nil"/>
              <w:left w:val="nil"/>
              <w:bottom w:val="nil"/>
              <w:right w:val="nil"/>
            </w:tcBorders>
            <w:shd w:val="clear" w:color="auto" w:fill="auto"/>
            <w:noWrap/>
            <w:vAlign w:val="bottom"/>
            <w:hideMark/>
          </w:tcPr>
          <w:p w14:paraId="4EC91154" w14:textId="77777777" w:rsidR="00BD7093" w:rsidRPr="00BD7093" w:rsidRDefault="00BD7093" w:rsidP="00BD7093">
            <w:pPr>
              <w:spacing w:after="0" w:line="240" w:lineRule="auto"/>
              <w:rPr>
                <w:rFonts w:ascii="Times New Roman" w:eastAsia="Times New Roman" w:hAnsi="Times New Roman" w:cs="Times New Roman"/>
                <w:sz w:val="20"/>
                <w:szCs w:val="20"/>
                <w:lang w:eastAsia="pt-BR"/>
              </w:rPr>
            </w:pPr>
          </w:p>
        </w:tc>
        <w:tc>
          <w:tcPr>
            <w:tcW w:w="1384" w:type="dxa"/>
            <w:tcBorders>
              <w:top w:val="single" w:sz="4" w:space="0" w:color="auto"/>
              <w:left w:val="nil"/>
              <w:bottom w:val="single" w:sz="4" w:space="0" w:color="auto"/>
              <w:right w:val="nil"/>
            </w:tcBorders>
            <w:shd w:val="clear" w:color="000000" w:fill="FFFFFF"/>
            <w:vAlign w:val="center"/>
            <w:hideMark/>
          </w:tcPr>
          <w:p w14:paraId="12AA9D5C" w14:textId="77777777" w:rsidR="00BD7093" w:rsidRPr="00BD7093" w:rsidRDefault="00BD7093" w:rsidP="00BD7093">
            <w:pPr>
              <w:spacing w:after="0" w:line="240" w:lineRule="auto"/>
              <w:jc w:val="center"/>
              <w:rPr>
                <w:rFonts w:ascii="Verdana" w:eastAsia="Times New Roman" w:hAnsi="Verdana" w:cs="Calibri"/>
                <w:b/>
                <w:bCs/>
                <w:color w:val="000000"/>
                <w:sz w:val="16"/>
                <w:szCs w:val="16"/>
                <w:lang w:eastAsia="pt-BR"/>
              </w:rPr>
            </w:pPr>
            <w:r w:rsidRPr="00BD7093">
              <w:rPr>
                <w:rFonts w:ascii="Verdana" w:eastAsia="Times New Roman" w:hAnsi="Verdana" w:cs="Calibri"/>
                <w:b/>
                <w:bCs/>
                <w:color w:val="000000"/>
                <w:sz w:val="16"/>
                <w:szCs w:val="16"/>
                <w:lang w:eastAsia="pt-BR"/>
              </w:rPr>
              <w:t xml:space="preserve"> 30/06/2022 </w:t>
            </w:r>
            <w:r w:rsidRPr="00BD7093">
              <w:rPr>
                <w:rFonts w:ascii="Verdana" w:eastAsia="Times New Roman" w:hAnsi="Verdana" w:cs="Calibri"/>
                <w:b/>
                <w:bCs/>
                <w:color w:val="000000"/>
                <w:sz w:val="16"/>
                <w:szCs w:val="16"/>
                <w:lang w:eastAsia="pt-BR"/>
              </w:rPr>
              <w:br/>
              <w:t>(6 meses)</w:t>
            </w:r>
          </w:p>
        </w:tc>
        <w:tc>
          <w:tcPr>
            <w:tcW w:w="174" w:type="dxa"/>
            <w:tcBorders>
              <w:top w:val="nil"/>
              <w:left w:val="nil"/>
              <w:bottom w:val="nil"/>
              <w:right w:val="nil"/>
            </w:tcBorders>
            <w:shd w:val="clear" w:color="auto" w:fill="auto"/>
            <w:noWrap/>
            <w:vAlign w:val="bottom"/>
            <w:hideMark/>
          </w:tcPr>
          <w:p w14:paraId="36637DBB" w14:textId="77777777" w:rsidR="00BD7093" w:rsidRPr="00BD7093" w:rsidRDefault="00BD7093" w:rsidP="00BD7093">
            <w:pPr>
              <w:spacing w:after="0" w:line="240" w:lineRule="auto"/>
              <w:jc w:val="center"/>
              <w:rPr>
                <w:rFonts w:ascii="Verdana" w:eastAsia="Times New Roman" w:hAnsi="Verdana" w:cs="Calibri"/>
                <w:b/>
                <w:bCs/>
                <w:color w:val="000000"/>
                <w:sz w:val="16"/>
                <w:szCs w:val="16"/>
                <w:lang w:eastAsia="pt-BR"/>
              </w:rPr>
            </w:pPr>
          </w:p>
        </w:tc>
        <w:tc>
          <w:tcPr>
            <w:tcW w:w="1397" w:type="dxa"/>
            <w:tcBorders>
              <w:top w:val="single" w:sz="4" w:space="0" w:color="auto"/>
              <w:left w:val="nil"/>
              <w:bottom w:val="single" w:sz="4" w:space="0" w:color="auto"/>
              <w:right w:val="nil"/>
            </w:tcBorders>
            <w:shd w:val="clear" w:color="000000" w:fill="FFFFFF"/>
            <w:vAlign w:val="center"/>
            <w:hideMark/>
          </w:tcPr>
          <w:p w14:paraId="21DB4853" w14:textId="77777777" w:rsidR="00BD7093" w:rsidRPr="00BD7093" w:rsidRDefault="00BD7093" w:rsidP="00BD7093">
            <w:pPr>
              <w:spacing w:after="0" w:line="240" w:lineRule="auto"/>
              <w:jc w:val="center"/>
              <w:rPr>
                <w:rFonts w:ascii="Verdana" w:eastAsia="Times New Roman" w:hAnsi="Verdana" w:cs="Calibri"/>
                <w:b/>
                <w:bCs/>
                <w:color w:val="000000"/>
                <w:sz w:val="16"/>
                <w:szCs w:val="16"/>
                <w:lang w:eastAsia="pt-BR"/>
              </w:rPr>
            </w:pPr>
            <w:r w:rsidRPr="00BD7093">
              <w:rPr>
                <w:rFonts w:ascii="Verdana" w:eastAsia="Times New Roman" w:hAnsi="Verdana" w:cs="Calibri"/>
                <w:b/>
                <w:bCs/>
                <w:color w:val="000000"/>
                <w:sz w:val="16"/>
                <w:szCs w:val="16"/>
                <w:lang w:eastAsia="pt-BR"/>
              </w:rPr>
              <w:t xml:space="preserve"> 30/06/2022 </w:t>
            </w:r>
            <w:r w:rsidRPr="00BD7093">
              <w:rPr>
                <w:rFonts w:ascii="Verdana" w:eastAsia="Times New Roman" w:hAnsi="Verdana" w:cs="Calibri"/>
                <w:b/>
                <w:bCs/>
                <w:color w:val="000000"/>
                <w:sz w:val="16"/>
                <w:szCs w:val="16"/>
                <w:lang w:eastAsia="pt-BR"/>
              </w:rPr>
              <w:br/>
              <w:t>(3 meses)</w:t>
            </w:r>
          </w:p>
        </w:tc>
        <w:tc>
          <w:tcPr>
            <w:tcW w:w="162" w:type="dxa"/>
            <w:tcBorders>
              <w:top w:val="nil"/>
              <w:left w:val="nil"/>
              <w:bottom w:val="nil"/>
              <w:right w:val="nil"/>
            </w:tcBorders>
            <w:shd w:val="clear" w:color="auto" w:fill="auto"/>
            <w:noWrap/>
            <w:vAlign w:val="bottom"/>
            <w:hideMark/>
          </w:tcPr>
          <w:p w14:paraId="74726660" w14:textId="77777777" w:rsidR="00BD7093" w:rsidRPr="00BD7093" w:rsidRDefault="00BD7093" w:rsidP="00BD7093">
            <w:pPr>
              <w:spacing w:after="0" w:line="240" w:lineRule="auto"/>
              <w:jc w:val="center"/>
              <w:rPr>
                <w:rFonts w:ascii="Verdana" w:eastAsia="Times New Roman" w:hAnsi="Verdana" w:cs="Calibri"/>
                <w:b/>
                <w:bCs/>
                <w:color w:val="000000"/>
                <w:sz w:val="16"/>
                <w:szCs w:val="16"/>
                <w:lang w:eastAsia="pt-BR"/>
              </w:rPr>
            </w:pPr>
          </w:p>
        </w:tc>
        <w:tc>
          <w:tcPr>
            <w:tcW w:w="1273" w:type="dxa"/>
            <w:tcBorders>
              <w:top w:val="single" w:sz="4" w:space="0" w:color="auto"/>
              <w:left w:val="nil"/>
              <w:bottom w:val="single" w:sz="4" w:space="0" w:color="auto"/>
              <w:right w:val="nil"/>
            </w:tcBorders>
            <w:shd w:val="clear" w:color="000000" w:fill="FFFFFF"/>
            <w:vAlign w:val="center"/>
            <w:hideMark/>
          </w:tcPr>
          <w:p w14:paraId="63CE62FD" w14:textId="0B5A6B99" w:rsidR="00BD7093" w:rsidRPr="00BD7093" w:rsidRDefault="00BD7093" w:rsidP="00BD7093">
            <w:pPr>
              <w:spacing w:after="0" w:line="240" w:lineRule="auto"/>
              <w:jc w:val="center"/>
              <w:rPr>
                <w:rFonts w:ascii="Verdana" w:eastAsia="Times New Roman" w:hAnsi="Verdana" w:cs="Calibri"/>
                <w:b/>
                <w:bCs/>
                <w:color w:val="000000"/>
                <w:sz w:val="16"/>
                <w:szCs w:val="16"/>
                <w:lang w:eastAsia="pt-BR"/>
              </w:rPr>
            </w:pPr>
            <w:r w:rsidRPr="00BD7093">
              <w:rPr>
                <w:rFonts w:ascii="Verdana" w:eastAsia="Times New Roman" w:hAnsi="Verdana" w:cs="Calibri"/>
                <w:b/>
                <w:bCs/>
                <w:color w:val="000000"/>
                <w:sz w:val="16"/>
                <w:szCs w:val="16"/>
                <w:lang w:eastAsia="pt-BR"/>
              </w:rPr>
              <w:t xml:space="preserve">30/06/2022 </w:t>
            </w:r>
            <w:r w:rsidRPr="00BD7093">
              <w:rPr>
                <w:rFonts w:ascii="Verdana" w:eastAsia="Times New Roman" w:hAnsi="Verdana" w:cs="Calibri"/>
                <w:b/>
                <w:bCs/>
                <w:color w:val="000000"/>
                <w:sz w:val="16"/>
                <w:szCs w:val="16"/>
                <w:lang w:eastAsia="pt-BR"/>
              </w:rPr>
              <w:br/>
              <w:t>(6 meses)</w:t>
            </w:r>
          </w:p>
        </w:tc>
        <w:tc>
          <w:tcPr>
            <w:tcW w:w="174" w:type="dxa"/>
            <w:tcBorders>
              <w:top w:val="nil"/>
              <w:left w:val="nil"/>
              <w:bottom w:val="nil"/>
              <w:right w:val="nil"/>
            </w:tcBorders>
            <w:shd w:val="clear" w:color="auto" w:fill="auto"/>
            <w:noWrap/>
            <w:vAlign w:val="bottom"/>
            <w:hideMark/>
          </w:tcPr>
          <w:p w14:paraId="7FB87652" w14:textId="77777777" w:rsidR="00BD7093" w:rsidRPr="00BD7093" w:rsidRDefault="00BD7093" w:rsidP="00BD7093">
            <w:pPr>
              <w:spacing w:after="0" w:line="240" w:lineRule="auto"/>
              <w:jc w:val="center"/>
              <w:rPr>
                <w:rFonts w:ascii="Verdana" w:eastAsia="Times New Roman" w:hAnsi="Verdana" w:cs="Calibri"/>
                <w:b/>
                <w:bCs/>
                <w:color w:val="000000"/>
                <w:sz w:val="16"/>
                <w:szCs w:val="16"/>
                <w:lang w:eastAsia="pt-BR"/>
              </w:rPr>
            </w:pPr>
          </w:p>
        </w:tc>
        <w:tc>
          <w:tcPr>
            <w:tcW w:w="1274" w:type="dxa"/>
            <w:tcBorders>
              <w:top w:val="single" w:sz="4" w:space="0" w:color="auto"/>
              <w:left w:val="nil"/>
              <w:bottom w:val="single" w:sz="4" w:space="0" w:color="auto"/>
              <w:right w:val="nil"/>
            </w:tcBorders>
            <w:shd w:val="clear" w:color="000000" w:fill="FFFFFF"/>
            <w:vAlign w:val="center"/>
            <w:hideMark/>
          </w:tcPr>
          <w:p w14:paraId="62A03600" w14:textId="4C778840" w:rsidR="00BD7093" w:rsidRPr="00BD7093" w:rsidRDefault="00BD7093" w:rsidP="00BD7093">
            <w:pPr>
              <w:spacing w:after="0" w:line="240" w:lineRule="auto"/>
              <w:jc w:val="center"/>
              <w:rPr>
                <w:rFonts w:ascii="Verdana" w:eastAsia="Times New Roman" w:hAnsi="Verdana" w:cs="Calibri"/>
                <w:b/>
                <w:bCs/>
                <w:color w:val="000000"/>
                <w:sz w:val="16"/>
                <w:szCs w:val="16"/>
                <w:lang w:eastAsia="pt-BR"/>
              </w:rPr>
            </w:pPr>
            <w:r w:rsidRPr="00BD7093">
              <w:rPr>
                <w:rFonts w:ascii="Verdana" w:eastAsia="Times New Roman" w:hAnsi="Verdana" w:cs="Calibri"/>
                <w:b/>
                <w:bCs/>
                <w:color w:val="000000"/>
                <w:sz w:val="16"/>
                <w:szCs w:val="16"/>
                <w:lang w:eastAsia="pt-BR"/>
              </w:rPr>
              <w:t xml:space="preserve">30/06/2022 </w:t>
            </w:r>
            <w:r w:rsidRPr="00BD7093">
              <w:rPr>
                <w:rFonts w:ascii="Verdana" w:eastAsia="Times New Roman" w:hAnsi="Verdana" w:cs="Calibri"/>
                <w:b/>
                <w:bCs/>
                <w:color w:val="000000"/>
                <w:sz w:val="16"/>
                <w:szCs w:val="16"/>
                <w:lang w:eastAsia="pt-BR"/>
              </w:rPr>
              <w:br/>
              <w:t>(3 meses)</w:t>
            </w:r>
          </w:p>
        </w:tc>
      </w:tr>
      <w:tr w:rsidR="00BD7093" w:rsidRPr="00BD7093" w14:paraId="47F46D67" w14:textId="77777777" w:rsidTr="003072B4">
        <w:trPr>
          <w:trHeight w:val="20"/>
        </w:trPr>
        <w:tc>
          <w:tcPr>
            <w:tcW w:w="4679" w:type="dxa"/>
            <w:tcBorders>
              <w:top w:val="nil"/>
              <w:left w:val="nil"/>
              <w:bottom w:val="nil"/>
              <w:right w:val="nil"/>
            </w:tcBorders>
            <w:shd w:val="clear" w:color="auto" w:fill="auto"/>
            <w:noWrap/>
            <w:vAlign w:val="center"/>
            <w:hideMark/>
          </w:tcPr>
          <w:p w14:paraId="5D119299" w14:textId="77777777" w:rsidR="00BD7093" w:rsidRPr="00BD7093" w:rsidRDefault="00BD7093" w:rsidP="00BD7093">
            <w:pPr>
              <w:spacing w:after="0" w:line="240" w:lineRule="auto"/>
              <w:rPr>
                <w:rFonts w:ascii="Verdana" w:eastAsia="Times New Roman" w:hAnsi="Verdana" w:cs="Calibri"/>
                <w:b/>
                <w:bCs/>
                <w:color w:val="000000"/>
                <w:sz w:val="18"/>
                <w:szCs w:val="18"/>
                <w:lang w:eastAsia="pt-BR"/>
              </w:rPr>
            </w:pPr>
            <w:r w:rsidRPr="00BD7093">
              <w:rPr>
                <w:rFonts w:ascii="Verdana" w:eastAsia="Times New Roman" w:hAnsi="Verdana" w:cs="Calibri"/>
                <w:b/>
                <w:bCs/>
                <w:color w:val="000000"/>
                <w:sz w:val="18"/>
                <w:szCs w:val="18"/>
                <w:lang w:eastAsia="pt-BR"/>
              </w:rPr>
              <w:t xml:space="preserve">   Receitas Financeiras</w:t>
            </w:r>
          </w:p>
        </w:tc>
        <w:tc>
          <w:tcPr>
            <w:tcW w:w="164" w:type="dxa"/>
            <w:tcBorders>
              <w:top w:val="nil"/>
              <w:left w:val="nil"/>
              <w:bottom w:val="nil"/>
              <w:right w:val="nil"/>
            </w:tcBorders>
            <w:shd w:val="clear" w:color="auto" w:fill="auto"/>
            <w:noWrap/>
            <w:vAlign w:val="center"/>
            <w:hideMark/>
          </w:tcPr>
          <w:p w14:paraId="0631DD43" w14:textId="77777777" w:rsidR="00BD7093" w:rsidRPr="00BD7093" w:rsidRDefault="00BD7093" w:rsidP="00BD7093">
            <w:pPr>
              <w:spacing w:after="0" w:line="240" w:lineRule="auto"/>
              <w:rPr>
                <w:rFonts w:ascii="Verdana" w:eastAsia="Times New Roman" w:hAnsi="Verdana" w:cs="Calibri"/>
                <w:b/>
                <w:bCs/>
                <w:color w:val="000000"/>
                <w:sz w:val="18"/>
                <w:szCs w:val="18"/>
                <w:lang w:eastAsia="pt-BR"/>
              </w:rPr>
            </w:pPr>
          </w:p>
        </w:tc>
        <w:tc>
          <w:tcPr>
            <w:tcW w:w="1384" w:type="dxa"/>
            <w:tcBorders>
              <w:top w:val="nil"/>
              <w:left w:val="nil"/>
              <w:bottom w:val="nil"/>
              <w:right w:val="nil"/>
            </w:tcBorders>
            <w:shd w:val="clear" w:color="auto" w:fill="auto"/>
            <w:noWrap/>
            <w:vAlign w:val="center"/>
            <w:hideMark/>
          </w:tcPr>
          <w:p w14:paraId="42021979" w14:textId="77777777" w:rsidR="00BD7093" w:rsidRPr="00BD7093" w:rsidRDefault="00BD7093" w:rsidP="00BD7093">
            <w:pPr>
              <w:spacing w:after="0" w:line="240" w:lineRule="auto"/>
              <w:rPr>
                <w:rFonts w:ascii="Times New Roman" w:eastAsia="Times New Roman" w:hAnsi="Times New Roman" w:cs="Times New Roman"/>
                <w:sz w:val="20"/>
                <w:szCs w:val="20"/>
                <w:lang w:eastAsia="pt-BR"/>
              </w:rPr>
            </w:pPr>
          </w:p>
        </w:tc>
        <w:tc>
          <w:tcPr>
            <w:tcW w:w="174" w:type="dxa"/>
            <w:tcBorders>
              <w:top w:val="nil"/>
              <w:left w:val="nil"/>
              <w:bottom w:val="nil"/>
              <w:right w:val="nil"/>
            </w:tcBorders>
            <w:shd w:val="clear" w:color="auto" w:fill="auto"/>
            <w:noWrap/>
            <w:vAlign w:val="center"/>
            <w:hideMark/>
          </w:tcPr>
          <w:p w14:paraId="65981165" w14:textId="77777777" w:rsidR="00BD7093" w:rsidRPr="00BD7093" w:rsidRDefault="00BD7093" w:rsidP="00BD7093">
            <w:pPr>
              <w:spacing w:after="0" w:line="240" w:lineRule="auto"/>
              <w:rPr>
                <w:rFonts w:ascii="Times New Roman" w:eastAsia="Times New Roman" w:hAnsi="Times New Roman" w:cs="Times New Roman"/>
                <w:sz w:val="20"/>
                <w:szCs w:val="20"/>
                <w:lang w:eastAsia="pt-BR"/>
              </w:rPr>
            </w:pPr>
          </w:p>
        </w:tc>
        <w:tc>
          <w:tcPr>
            <w:tcW w:w="1397" w:type="dxa"/>
            <w:tcBorders>
              <w:top w:val="nil"/>
              <w:left w:val="nil"/>
              <w:bottom w:val="nil"/>
              <w:right w:val="nil"/>
            </w:tcBorders>
            <w:shd w:val="clear" w:color="auto" w:fill="auto"/>
            <w:noWrap/>
            <w:vAlign w:val="center"/>
            <w:hideMark/>
          </w:tcPr>
          <w:p w14:paraId="15E032C0" w14:textId="77777777" w:rsidR="00BD7093" w:rsidRPr="00BD7093" w:rsidRDefault="00BD7093" w:rsidP="00BD7093">
            <w:pPr>
              <w:spacing w:after="0" w:line="240" w:lineRule="auto"/>
              <w:rPr>
                <w:rFonts w:ascii="Times New Roman" w:eastAsia="Times New Roman" w:hAnsi="Times New Roman" w:cs="Times New Roman"/>
                <w:sz w:val="20"/>
                <w:szCs w:val="20"/>
                <w:lang w:eastAsia="pt-BR"/>
              </w:rPr>
            </w:pPr>
          </w:p>
        </w:tc>
        <w:tc>
          <w:tcPr>
            <w:tcW w:w="162" w:type="dxa"/>
            <w:tcBorders>
              <w:top w:val="nil"/>
              <w:left w:val="nil"/>
              <w:bottom w:val="nil"/>
              <w:right w:val="nil"/>
            </w:tcBorders>
            <w:shd w:val="clear" w:color="auto" w:fill="auto"/>
            <w:noWrap/>
            <w:vAlign w:val="bottom"/>
            <w:hideMark/>
          </w:tcPr>
          <w:p w14:paraId="5507A82C" w14:textId="77777777" w:rsidR="00BD7093" w:rsidRPr="00BD7093" w:rsidRDefault="00BD7093" w:rsidP="00BD7093">
            <w:pPr>
              <w:spacing w:after="0" w:line="240" w:lineRule="auto"/>
              <w:rPr>
                <w:rFonts w:ascii="Times New Roman" w:eastAsia="Times New Roman" w:hAnsi="Times New Roman" w:cs="Times New Roman"/>
                <w:sz w:val="20"/>
                <w:szCs w:val="20"/>
                <w:lang w:eastAsia="pt-BR"/>
              </w:rPr>
            </w:pPr>
          </w:p>
        </w:tc>
        <w:tc>
          <w:tcPr>
            <w:tcW w:w="1273" w:type="dxa"/>
            <w:tcBorders>
              <w:top w:val="nil"/>
              <w:left w:val="nil"/>
              <w:bottom w:val="nil"/>
              <w:right w:val="nil"/>
            </w:tcBorders>
            <w:shd w:val="clear" w:color="auto" w:fill="auto"/>
            <w:noWrap/>
            <w:vAlign w:val="center"/>
            <w:hideMark/>
          </w:tcPr>
          <w:p w14:paraId="21CB7135" w14:textId="77777777" w:rsidR="00BD7093" w:rsidRPr="00BD7093" w:rsidRDefault="00BD7093" w:rsidP="00BD7093">
            <w:pPr>
              <w:spacing w:after="0" w:line="240" w:lineRule="auto"/>
              <w:rPr>
                <w:rFonts w:ascii="Times New Roman" w:eastAsia="Times New Roman" w:hAnsi="Times New Roman" w:cs="Times New Roman"/>
                <w:sz w:val="20"/>
                <w:szCs w:val="20"/>
                <w:lang w:eastAsia="pt-BR"/>
              </w:rPr>
            </w:pPr>
          </w:p>
        </w:tc>
        <w:tc>
          <w:tcPr>
            <w:tcW w:w="174" w:type="dxa"/>
            <w:tcBorders>
              <w:top w:val="nil"/>
              <w:left w:val="nil"/>
              <w:bottom w:val="nil"/>
              <w:right w:val="nil"/>
            </w:tcBorders>
            <w:shd w:val="clear" w:color="auto" w:fill="auto"/>
            <w:noWrap/>
            <w:vAlign w:val="bottom"/>
            <w:hideMark/>
          </w:tcPr>
          <w:p w14:paraId="14C2D433" w14:textId="77777777" w:rsidR="00BD7093" w:rsidRPr="00BD7093" w:rsidRDefault="00BD7093" w:rsidP="00BD7093">
            <w:pPr>
              <w:spacing w:after="0" w:line="240" w:lineRule="auto"/>
              <w:rPr>
                <w:rFonts w:ascii="Times New Roman" w:eastAsia="Times New Roman" w:hAnsi="Times New Roman" w:cs="Times New Roman"/>
                <w:sz w:val="20"/>
                <w:szCs w:val="20"/>
                <w:lang w:eastAsia="pt-BR"/>
              </w:rPr>
            </w:pPr>
          </w:p>
        </w:tc>
        <w:tc>
          <w:tcPr>
            <w:tcW w:w="1274" w:type="dxa"/>
            <w:tcBorders>
              <w:top w:val="nil"/>
              <w:left w:val="nil"/>
              <w:bottom w:val="nil"/>
              <w:right w:val="nil"/>
            </w:tcBorders>
            <w:shd w:val="clear" w:color="auto" w:fill="auto"/>
            <w:noWrap/>
            <w:vAlign w:val="center"/>
            <w:hideMark/>
          </w:tcPr>
          <w:p w14:paraId="1153691E" w14:textId="77777777" w:rsidR="00BD7093" w:rsidRPr="00BD7093" w:rsidRDefault="00BD7093" w:rsidP="00BD7093">
            <w:pPr>
              <w:spacing w:after="0" w:line="240" w:lineRule="auto"/>
              <w:rPr>
                <w:rFonts w:ascii="Times New Roman" w:eastAsia="Times New Roman" w:hAnsi="Times New Roman" w:cs="Times New Roman"/>
                <w:sz w:val="20"/>
                <w:szCs w:val="20"/>
                <w:lang w:eastAsia="pt-BR"/>
              </w:rPr>
            </w:pPr>
          </w:p>
        </w:tc>
      </w:tr>
      <w:tr w:rsidR="00BD7093" w:rsidRPr="00BD7093" w14:paraId="13533C3C" w14:textId="77777777" w:rsidTr="003072B4">
        <w:trPr>
          <w:trHeight w:val="20"/>
        </w:trPr>
        <w:tc>
          <w:tcPr>
            <w:tcW w:w="4679" w:type="dxa"/>
            <w:tcBorders>
              <w:top w:val="nil"/>
              <w:left w:val="nil"/>
              <w:bottom w:val="nil"/>
              <w:right w:val="nil"/>
            </w:tcBorders>
            <w:shd w:val="clear" w:color="auto" w:fill="auto"/>
            <w:noWrap/>
            <w:vAlign w:val="center"/>
            <w:hideMark/>
          </w:tcPr>
          <w:p w14:paraId="0715E987" w14:textId="77777777" w:rsidR="00BD7093" w:rsidRPr="00BD7093" w:rsidRDefault="00BD7093" w:rsidP="00BD7093">
            <w:pPr>
              <w:spacing w:after="0" w:line="240" w:lineRule="auto"/>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 xml:space="preserve">    Receita de aplicações financeiras</w:t>
            </w:r>
          </w:p>
        </w:tc>
        <w:tc>
          <w:tcPr>
            <w:tcW w:w="164" w:type="dxa"/>
            <w:tcBorders>
              <w:top w:val="nil"/>
              <w:left w:val="nil"/>
              <w:bottom w:val="nil"/>
              <w:right w:val="nil"/>
            </w:tcBorders>
            <w:shd w:val="clear" w:color="auto" w:fill="auto"/>
            <w:noWrap/>
            <w:vAlign w:val="bottom"/>
            <w:hideMark/>
          </w:tcPr>
          <w:p w14:paraId="6EACA31A" w14:textId="77777777" w:rsidR="00BD7093" w:rsidRPr="00BD7093" w:rsidRDefault="00BD7093" w:rsidP="00BD7093">
            <w:pPr>
              <w:spacing w:after="0" w:line="240" w:lineRule="auto"/>
              <w:rPr>
                <w:rFonts w:ascii="Verdana" w:eastAsia="Times New Roman" w:hAnsi="Verdana" w:cs="Calibri"/>
                <w:color w:val="000000"/>
                <w:sz w:val="18"/>
                <w:szCs w:val="18"/>
                <w:lang w:eastAsia="pt-BR"/>
              </w:rPr>
            </w:pPr>
          </w:p>
        </w:tc>
        <w:tc>
          <w:tcPr>
            <w:tcW w:w="1384" w:type="dxa"/>
            <w:tcBorders>
              <w:top w:val="nil"/>
              <w:left w:val="nil"/>
              <w:bottom w:val="nil"/>
              <w:right w:val="nil"/>
            </w:tcBorders>
            <w:shd w:val="clear" w:color="auto" w:fill="auto"/>
            <w:noWrap/>
            <w:vAlign w:val="center"/>
            <w:hideMark/>
          </w:tcPr>
          <w:p w14:paraId="6FFA0C16" w14:textId="4DBBA251"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157.219</w:t>
            </w:r>
          </w:p>
        </w:tc>
        <w:tc>
          <w:tcPr>
            <w:tcW w:w="174" w:type="dxa"/>
            <w:tcBorders>
              <w:top w:val="nil"/>
              <w:left w:val="nil"/>
              <w:bottom w:val="nil"/>
              <w:right w:val="nil"/>
            </w:tcBorders>
            <w:shd w:val="clear" w:color="auto" w:fill="auto"/>
            <w:noWrap/>
            <w:vAlign w:val="bottom"/>
            <w:hideMark/>
          </w:tcPr>
          <w:p w14:paraId="66AE9AB5" w14:textId="77777777" w:rsidR="00BD7093" w:rsidRPr="00BD7093" w:rsidRDefault="00BD7093" w:rsidP="00BD7093">
            <w:pPr>
              <w:spacing w:after="0" w:line="240" w:lineRule="auto"/>
              <w:jc w:val="right"/>
              <w:rPr>
                <w:rFonts w:ascii="Verdana" w:eastAsia="Times New Roman" w:hAnsi="Verdana" w:cs="Calibri"/>
                <w:color w:val="000000"/>
                <w:sz w:val="18"/>
                <w:szCs w:val="18"/>
                <w:lang w:eastAsia="pt-BR"/>
              </w:rPr>
            </w:pPr>
          </w:p>
        </w:tc>
        <w:tc>
          <w:tcPr>
            <w:tcW w:w="1397" w:type="dxa"/>
            <w:tcBorders>
              <w:top w:val="nil"/>
              <w:left w:val="nil"/>
              <w:bottom w:val="nil"/>
              <w:right w:val="nil"/>
            </w:tcBorders>
            <w:shd w:val="clear" w:color="auto" w:fill="auto"/>
            <w:noWrap/>
            <w:vAlign w:val="center"/>
            <w:hideMark/>
          </w:tcPr>
          <w:p w14:paraId="5371EF30" w14:textId="75475F3B"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88.485</w:t>
            </w:r>
          </w:p>
        </w:tc>
        <w:tc>
          <w:tcPr>
            <w:tcW w:w="162" w:type="dxa"/>
            <w:tcBorders>
              <w:top w:val="nil"/>
              <w:left w:val="nil"/>
              <w:bottom w:val="nil"/>
              <w:right w:val="nil"/>
            </w:tcBorders>
            <w:shd w:val="clear" w:color="auto" w:fill="auto"/>
            <w:noWrap/>
            <w:vAlign w:val="bottom"/>
            <w:hideMark/>
          </w:tcPr>
          <w:p w14:paraId="54F1F1AF" w14:textId="77777777" w:rsidR="00BD7093" w:rsidRPr="00BD7093" w:rsidRDefault="00BD7093" w:rsidP="00BD7093">
            <w:pPr>
              <w:spacing w:after="0" w:line="240" w:lineRule="auto"/>
              <w:jc w:val="right"/>
              <w:rPr>
                <w:rFonts w:ascii="Verdana" w:eastAsia="Times New Roman" w:hAnsi="Verdana" w:cs="Calibri"/>
                <w:color w:val="000000"/>
                <w:sz w:val="18"/>
                <w:szCs w:val="18"/>
                <w:lang w:eastAsia="pt-BR"/>
              </w:rPr>
            </w:pPr>
          </w:p>
        </w:tc>
        <w:tc>
          <w:tcPr>
            <w:tcW w:w="1273" w:type="dxa"/>
            <w:tcBorders>
              <w:top w:val="nil"/>
              <w:left w:val="nil"/>
              <w:bottom w:val="nil"/>
              <w:right w:val="nil"/>
            </w:tcBorders>
            <w:shd w:val="clear" w:color="auto" w:fill="auto"/>
            <w:noWrap/>
            <w:vAlign w:val="center"/>
            <w:hideMark/>
          </w:tcPr>
          <w:p w14:paraId="60D199F8" w14:textId="303B9638"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173.206</w:t>
            </w:r>
          </w:p>
        </w:tc>
        <w:tc>
          <w:tcPr>
            <w:tcW w:w="174" w:type="dxa"/>
            <w:tcBorders>
              <w:top w:val="nil"/>
              <w:left w:val="nil"/>
              <w:bottom w:val="nil"/>
              <w:right w:val="nil"/>
            </w:tcBorders>
            <w:shd w:val="clear" w:color="auto" w:fill="auto"/>
            <w:noWrap/>
            <w:vAlign w:val="bottom"/>
            <w:hideMark/>
          </w:tcPr>
          <w:p w14:paraId="640C9F4D" w14:textId="77777777" w:rsidR="00BD7093" w:rsidRPr="00BD7093" w:rsidRDefault="00BD7093" w:rsidP="00BD7093">
            <w:pPr>
              <w:spacing w:after="0" w:line="240" w:lineRule="auto"/>
              <w:jc w:val="right"/>
              <w:rPr>
                <w:rFonts w:ascii="Verdana" w:eastAsia="Times New Roman" w:hAnsi="Verdana" w:cs="Calibri"/>
                <w:color w:val="000000"/>
                <w:sz w:val="18"/>
                <w:szCs w:val="18"/>
                <w:lang w:eastAsia="pt-BR"/>
              </w:rPr>
            </w:pPr>
          </w:p>
        </w:tc>
        <w:tc>
          <w:tcPr>
            <w:tcW w:w="1274" w:type="dxa"/>
            <w:tcBorders>
              <w:top w:val="nil"/>
              <w:left w:val="nil"/>
              <w:bottom w:val="nil"/>
              <w:right w:val="nil"/>
            </w:tcBorders>
            <w:shd w:val="clear" w:color="auto" w:fill="auto"/>
            <w:noWrap/>
            <w:vAlign w:val="center"/>
            <w:hideMark/>
          </w:tcPr>
          <w:p w14:paraId="53482F81" w14:textId="0E0F41F5"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104.472</w:t>
            </w:r>
          </w:p>
        </w:tc>
      </w:tr>
      <w:tr w:rsidR="00BD7093" w:rsidRPr="00BD7093" w14:paraId="04234B11" w14:textId="77777777" w:rsidTr="003072B4">
        <w:trPr>
          <w:trHeight w:val="20"/>
        </w:trPr>
        <w:tc>
          <w:tcPr>
            <w:tcW w:w="4843" w:type="dxa"/>
            <w:gridSpan w:val="2"/>
            <w:tcBorders>
              <w:top w:val="nil"/>
              <w:left w:val="nil"/>
              <w:bottom w:val="nil"/>
              <w:right w:val="nil"/>
            </w:tcBorders>
            <w:shd w:val="clear" w:color="auto" w:fill="auto"/>
            <w:noWrap/>
            <w:vAlign w:val="center"/>
            <w:hideMark/>
          </w:tcPr>
          <w:p w14:paraId="7B3A9180" w14:textId="2616FFB2" w:rsidR="00BD7093" w:rsidRPr="00BD7093" w:rsidRDefault="00BD7093" w:rsidP="00BD7093">
            <w:pPr>
              <w:spacing w:after="0" w:line="240" w:lineRule="auto"/>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 xml:space="preserve">    Ganho sobre TVM LP – Fundo </w:t>
            </w:r>
            <w:proofErr w:type="spellStart"/>
            <w:r w:rsidRPr="00BD7093">
              <w:rPr>
                <w:rFonts w:ascii="Verdana" w:eastAsia="Times New Roman" w:hAnsi="Verdana" w:cs="Calibri"/>
                <w:color w:val="000000"/>
                <w:sz w:val="18"/>
                <w:szCs w:val="18"/>
                <w:lang w:eastAsia="pt-BR"/>
              </w:rPr>
              <w:t>descomis</w:t>
            </w:r>
            <w:proofErr w:type="spellEnd"/>
            <w:r w:rsidR="003072B4">
              <w:rPr>
                <w:rFonts w:ascii="Verdana" w:eastAsia="Times New Roman" w:hAnsi="Verdana" w:cs="Calibri"/>
                <w:color w:val="000000"/>
                <w:sz w:val="18"/>
                <w:szCs w:val="18"/>
                <w:lang w:eastAsia="pt-BR"/>
              </w:rPr>
              <w:t>.</w:t>
            </w:r>
          </w:p>
        </w:tc>
        <w:tc>
          <w:tcPr>
            <w:tcW w:w="1384" w:type="dxa"/>
            <w:tcBorders>
              <w:top w:val="nil"/>
              <w:left w:val="nil"/>
              <w:bottom w:val="nil"/>
              <w:right w:val="nil"/>
            </w:tcBorders>
            <w:shd w:val="clear" w:color="auto" w:fill="auto"/>
            <w:noWrap/>
            <w:vAlign w:val="center"/>
            <w:hideMark/>
          </w:tcPr>
          <w:p w14:paraId="10ECD530" w14:textId="77777777"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 xml:space="preserve">                 -   </w:t>
            </w:r>
          </w:p>
        </w:tc>
        <w:tc>
          <w:tcPr>
            <w:tcW w:w="174" w:type="dxa"/>
            <w:tcBorders>
              <w:top w:val="nil"/>
              <w:left w:val="nil"/>
              <w:bottom w:val="nil"/>
              <w:right w:val="nil"/>
            </w:tcBorders>
            <w:shd w:val="clear" w:color="auto" w:fill="auto"/>
            <w:noWrap/>
            <w:vAlign w:val="center"/>
            <w:hideMark/>
          </w:tcPr>
          <w:p w14:paraId="68BB4550" w14:textId="77777777" w:rsidR="00BD7093" w:rsidRPr="00BD7093" w:rsidRDefault="00BD7093" w:rsidP="00BD7093">
            <w:pPr>
              <w:spacing w:after="0" w:line="240" w:lineRule="auto"/>
              <w:jc w:val="right"/>
              <w:rPr>
                <w:rFonts w:ascii="Verdana" w:eastAsia="Times New Roman" w:hAnsi="Verdana" w:cs="Calibri"/>
                <w:color w:val="000000"/>
                <w:sz w:val="18"/>
                <w:szCs w:val="18"/>
                <w:lang w:eastAsia="pt-BR"/>
              </w:rPr>
            </w:pPr>
          </w:p>
        </w:tc>
        <w:tc>
          <w:tcPr>
            <w:tcW w:w="1397" w:type="dxa"/>
            <w:tcBorders>
              <w:top w:val="nil"/>
              <w:left w:val="nil"/>
              <w:bottom w:val="nil"/>
              <w:right w:val="nil"/>
            </w:tcBorders>
            <w:shd w:val="clear" w:color="auto" w:fill="auto"/>
            <w:noWrap/>
            <w:vAlign w:val="center"/>
            <w:hideMark/>
          </w:tcPr>
          <w:p w14:paraId="735EF4B6" w14:textId="12CC5731"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w:t>
            </w:r>
          </w:p>
        </w:tc>
        <w:tc>
          <w:tcPr>
            <w:tcW w:w="162" w:type="dxa"/>
            <w:tcBorders>
              <w:top w:val="nil"/>
              <w:left w:val="nil"/>
              <w:bottom w:val="nil"/>
              <w:right w:val="nil"/>
            </w:tcBorders>
            <w:shd w:val="clear" w:color="auto" w:fill="auto"/>
            <w:noWrap/>
            <w:vAlign w:val="bottom"/>
            <w:hideMark/>
          </w:tcPr>
          <w:p w14:paraId="1CDEE47A" w14:textId="77777777" w:rsidR="00BD7093" w:rsidRPr="00BD7093" w:rsidRDefault="00BD7093" w:rsidP="00BD7093">
            <w:pPr>
              <w:spacing w:after="0" w:line="240" w:lineRule="auto"/>
              <w:jc w:val="right"/>
              <w:rPr>
                <w:rFonts w:ascii="Verdana" w:eastAsia="Times New Roman" w:hAnsi="Verdana" w:cs="Calibri"/>
                <w:color w:val="000000"/>
                <w:sz w:val="18"/>
                <w:szCs w:val="18"/>
                <w:lang w:eastAsia="pt-BR"/>
              </w:rPr>
            </w:pPr>
          </w:p>
        </w:tc>
        <w:tc>
          <w:tcPr>
            <w:tcW w:w="1273" w:type="dxa"/>
            <w:tcBorders>
              <w:top w:val="nil"/>
              <w:left w:val="nil"/>
              <w:bottom w:val="nil"/>
              <w:right w:val="nil"/>
            </w:tcBorders>
            <w:shd w:val="clear" w:color="auto" w:fill="auto"/>
            <w:noWrap/>
            <w:vAlign w:val="center"/>
            <w:hideMark/>
          </w:tcPr>
          <w:p w14:paraId="2DEFE7A0" w14:textId="278A8E0C"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39.169</w:t>
            </w:r>
          </w:p>
        </w:tc>
        <w:tc>
          <w:tcPr>
            <w:tcW w:w="174" w:type="dxa"/>
            <w:tcBorders>
              <w:top w:val="nil"/>
              <w:left w:val="nil"/>
              <w:bottom w:val="nil"/>
              <w:right w:val="nil"/>
            </w:tcBorders>
            <w:shd w:val="clear" w:color="auto" w:fill="auto"/>
            <w:noWrap/>
            <w:vAlign w:val="bottom"/>
            <w:hideMark/>
          </w:tcPr>
          <w:p w14:paraId="6795ADA7" w14:textId="77777777" w:rsidR="00BD7093" w:rsidRPr="00BD7093" w:rsidRDefault="00BD7093" w:rsidP="00BD7093">
            <w:pPr>
              <w:spacing w:after="0" w:line="240" w:lineRule="auto"/>
              <w:jc w:val="right"/>
              <w:rPr>
                <w:rFonts w:ascii="Verdana" w:eastAsia="Times New Roman" w:hAnsi="Verdana" w:cs="Calibri"/>
                <w:color w:val="000000"/>
                <w:sz w:val="18"/>
                <w:szCs w:val="18"/>
                <w:lang w:eastAsia="pt-BR"/>
              </w:rPr>
            </w:pPr>
          </w:p>
        </w:tc>
        <w:tc>
          <w:tcPr>
            <w:tcW w:w="1274" w:type="dxa"/>
            <w:tcBorders>
              <w:top w:val="nil"/>
              <w:left w:val="nil"/>
              <w:bottom w:val="nil"/>
              <w:right w:val="nil"/>
            </w:tcBorders>
            <w:shd w:val="clear" w:color="auto" w:fill="auto"/>
            <w:noWrap/>
            <w:vAlign w:val="center"/>
            <w:hideMark/>
          </w:tcPr>
          <w:p w14:paraId="7433D946" w14:textId="003E3ACC"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39.169</w:t>
            </w:r>
          </w:p>
        </w:tc>
      </w:tr>
      <w:tr w:rsidR="00BD7093" w:rsidRPr="00BD7093" w14:paraId="439680F8" w14:textId="77777777" w:rsidTr="003072B4">
        <w:trPr>
          <w:trHeight w:val="20"/>
        </w:trPr>
        <w:tc>
          <w:tcPr>
            <w:tcW w:w="4679" w:type="dxa"/>
            <w:tcBorders>
              <w:top w:val="nil"/>
              <w:left w:val="nil"/>
              <w:bottom w:val="nil"/>
              <w:right w:val="nil"/>
            </w:tcBorders>
            <w:shd w:val="clear" w:color="auto" w:fill="auto"/>
            <w:noWrap/>
            <w:vAlign w:val="center"/>
            <w:hideMark/>
          </w:tcPr>
          <w:p w14:paraId="59038FBC" w14:textId="77777777" w:rsidR="00BD7093" w:rsidRPr="00BD7093" w:rsidRDefault="00BD7093" w:rsidP="00BD7093">
            <w:pPr>
              <w:spacing w:after="0" w:line="240" w:lineRule="auto"/>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 xml:space="preserve">    Atualizações monetárias ativas</w:t>
            </w:r>
          </w:p>
        </w:tc>
        <w:tc>
          <w:tcPr>
            <w:tcW w:w="164" w:type="dxa"/>
            <w:tcBorders>
              <w:top w:val="nil"/>
              <w:left w:val="nil"/>
              <w:bottom w:val="nil"/>
              <w:right w:val="nil"/>
            </w:tcBorders>
            <w:shd w:val="clear" w:color="auto" w:fill="auto"/>
            <w:noWrap/>
            <w:vAlign w:val="bottom"/>
            <w:hideMark/>
          </w:tcPr>
          <w:p w14:paraId="78AE00DA" w14:textId="77777777" w:rsidR="00BD7093" w:rsidRPr="00BD7093" w:rsidRDefault="00BD7093" w:rsidP="00BD7093">
            <w:pPr>
              <w:spacing w:after="0" w:line="240" w:lineRule="auto"/>
              <w:rPr>
                <w:rFonts w:ascii="Verdana" w:eastAsia="Times New Roman" w:hAnsi="Verdana" w:cs="Calibri"/>
                <w:color w:val="000000"/>
                <w:sz w:val="18"/>
                <w:szCs w:val="18"/>
                <w:lang w:eastAsia="pt-BR"/>
              </w:rPr>
            </w:pPr>
          </w:p>
        </w:tc>
        <w:tc>
          <w:tcPr>
            <w:tcW w:w="1384" w:type="dxa"/>
            <w:tcBorders>
              <w:top w:val="nil"/>
              <w:left w:val="nil"/>
              <w:bottom w:val="nil"/>
              <w:right w:val="nil"/>
            </w:tcBorders>
            <w:shd w:val="clear" w:color="auto" w:fill="auto"/>
            <w:noWrap/>
            <w:vAlign w:val="center"/>
            <w:hideMark/>
          </w:tcPr>
          <w:p w14:paraId="46639811" w14:textId="35D5275D"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w:t>
            </w:r>
          </w:p>
        </w:tc>
        <w:tc>
          <w:tcPr>
            <w:tcW w:w="174" w:type="dxa"/>
            <w:tcBorders>
              <w:top w:val="nil"/>
              <w:left w:val="nil"/>
              <w:bottom w:val="nil"/>
              <w:right w:val="nil"/>
            </w:tcBorders>
            <w:shd w:val="clear" w:color="auto" w:fill="auto"/>
            <w:noWrap/>
            <w:vAlign w:val="bottom"/>
            <w:hideMark/>
          </w:tcPr>
          <w:p w14:paraId="75CD9B2A" w14:textId="77777777" w:rsidR="00BD7093" w:rsidRPr="00BD7093" w:rsidRDefault="00BD7093" w:rsidP="00BD7093">
            <w:pPr>
              <w:spacing w:after="0" w:line="240" w:lineRule="auto"/>
              <w:jc w:val="right"/>
              <w:rPr>
                <w:rFonts w:ascii="Verdana" w:eastAsia="Times New Roman" w:hAnsi="Verdana" w:cs="Calibri"/>
                <w:color w:val="000000"/>
                <w:sz w:val="18"/>
                <w:szCs w:val="18"/>
                <w:lang w:eastAsia="pt-BR"/>
              </w:rPr>
            </w:pPr>
          </w:p>
        </w:tc>
        <w:tc>
          <w:tcPr>
            <w:tcW w:w="1397" w:type="dxa"/>
            <w:tcBorders>
              <w:top w:val="nil"/>
              <w:left w:val="nil"/>
              <w:bottom w:val="nil"/>
              <w:right w:val="nil"/>
            </w:tcBorders>
            <w:shd w:val="clear" w:color="auto" w:fill="auto"/>
            <w:noWrap/>
            <w:vAlign w:val="center"/>
            <w:hideMark/>
          </w:tcPr>
          <w:p w14:paraId="6BC69609" w14:textId="5BC8D50D"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w:t>
            </w:r>
          </w:p>
        </w:tc>
        <w:tc>
          <w:tcPr>
            <w:tcW w:w="162" w:type="dxa"/>
            <w:tcBorders>
              <w:top w:val="nil"/>
              <w:left w:val="nil"/>
              <w:bottom w:val="nil"/>
              <w:right w:val="nil"/>
            </w:tcBorders>
            <w:shd w:val="clear" w:color="auto" w:fill="auto"/>
            <w:noWrap/>
            <w:vAlign w:val="bottom"/>
            <w:hideMark/>
          </w:tcPr>
          <w:p w14:paraId="3C76DA2B" w14:textId="77777777" w:rsidR="00BD7093" w:rsidRPr="00BD7093" w:rsidRDefault="00BD7093" w:rsidP="00BD7093">
            <w:pPr>
              <w:spacing w:after="0" w:line="240" w:lineRule="auto"/>
              <w:jc w:val="right"/>
              <w:rPr>
                <w:rFonts w:ascii="Verdana" w:eastAsia="Times New Roman" w:hAnsi="Verdana" w:cs="Calibri"/>
                <w:color w:val="000000"/>
                <w:sz w:val="18"/>
                <w:szCs w:val="18"/>
                <w:lang w:eastAsia="pt-BR"/>
              </w:rPr>
            </w:pPr>
          </w:p>
        </w:tc>
        <w:tc>
          <w:tcPr>
            <w:tcW w:w="1273" w:type="dxa"/>
            <w:tcBorders>
              <w:top w:val="nil"/>
              <w:left w:val="nil"/>
              <w:bottom w:val="nil"/>
              <w:right w:val="nil"/>
            </w:tcBorders>
            <w:shd w:val="clear" w:color="auto" w:fill="auto"/>
            <w:noWrap/>
            <w:vAlign w:val="center"/>
            <w:hideMark/>
          </w:tcPr>
          <w:p w14:paraId="369C8A0D" w14:textId="0E2FB0DD"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181</w:t>
            </w:r>
          </w:p>
        </w:tc>
        <w:tc>
          <w:tcPr>
            <w:tcW w:w="174" w:type="dxa"/>
            <w:tcBorders>
              <w:top w:val="nil"/>
              <w:left w:val="nil"/>
              <w:bottom w:val="nil"/>
              <w:right w:val="nil"/>
            </w:tcBorders>
            <w:shd w:val="clear" w:color="auto" w:fill="auto"/>
            <w:noWrap/>
            <w:vAlign w:val="bottom"/>
            <w:hideMark/>
          </w:tcPr>
          <w:p w14:paraId="2E68D3D0" w14:textId="77777777" w:rsidR="00BD7093" w:rsidRPr="00BD7093" w:rsidRDefault="00BD7093" w:rsidP="00BD7093">
            <w:pPr>
              <w:spacing w:after="0" w:line="240" w:lineRule="auto"/>
              <w:jc w:val="right"/>
              <w:rPr>
                <w:rFonts w:ascii="Verdana" w:eastAsia="Times New Roman" w:hAnsi="Verdana" w:cs="Calibri"/>
                <w:color w:val="000000"/>
                <w:sz w:val="18"/>
                <w:szCs w:val="18"/>
                <w:lang w:eastAsia="pt-BR"/>
              </w:rPr>
            </w:pPr>
          </w:p>
        </w:tc>
        <w:tc>
          <w:tcPr>
            <w:tcW w:w="1274" w:type="dxa"/>
            <w:tcBorders>
              <w:top w:val="nil"/>
              <w:left w:val="nil"/>
              <w:bottom w:val="nil"/>
              <w:right w:val="nil"/>
            </w:tcBorders>
            <w:shd w:val="clear" w:color="auto" w:fill="auto"/>
            <w:noWrap/>
            <w:vAlign w:val="center"/>
            <w:hideMark/>
          </w:tcPr>
          <w:p w14:paraId="0692AA28" w14:textId="10AB617E"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181</w:t>
            </w:r>
          </w:p>
        </w:tc>
      </w:tr>
      <w:tr w:rsidR="00BD7093" w:rsidRPr="00BD7093" w14:paraId="3D0053C3" w14:textId="77777777" w:rsidTr="003072B4">
        <w:trPr>
          <w:trHeight w:val="20"/>
        </w:trPr>
        <w:tc>
          <w:tcPr>
            <w:tcW w:w="4679" w:type="dxa"/>
            <w:tcBorders>
              <w:top w:val="nil"/>
              <w:left w:val="nil"/>
              <w:bottom w:val="nil"/>
              <w:right w:val="nil"/>
            </w:tcBorders>
            <w:shd w:val="clear" w:color="auto" w:fill="auto"/>
            <w:noWrap/>
            <w:vAlign w:val="center"/>
            <w:hideMark/>
          </w:tcPr>
          <w:p w14:paraId="7FDE8C05" w14:textId="77777777" w:rsidR="00BD7093" w:rsidRPr="00BD7093" w:rsidRDefault="00BD7093" w:rsidP="00BD7093">
            <w:pPr>
              <w:spacing w:after="0" w:line="240" w:lineRule="auto"/>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 xml:space="preserve">    Outras receitas financeiras</w:t>
            </w:r>
          </w:p>
        </w:tc>
        <w:tc>
          <w:tcPr>
            <w:tcW w:w="164" w:type="dxa"/>
            <w:tcBorders>
              <w:top w:val="nil"/>
              <w:left w:val="nil"/>
              <w:bottom w:val="nil"/>
              <w:right w:val="nil"/>
            </w:tcBorders>
            <w:shd w:val="clear" w:color="auto" w:fill="auto"/>
            <w:noWrap/>
            <w:vAlign w:val="center"/>
            <w:hideMark/>
          </w:tcPr>
          <w:p w14:paraId="17AEAB88" w14:textId="77777777" w:rsidR="00BD7093" w:rsidRPr="00BD7093" w:rsidRDefault="00BD7093" w:rsidP="00BD7093">
            <w:pPr>
              <w:spacing w:after="0" w:line="240" w:lineRule="auto"/>
              <w:rPr>
                <w:rFonts w:ascii="Verdana" w:eastAsia="Times New Roman" w:hAnsi="Verdana" w:cs="Calibri"/>
                <w:color w:val="000000"/>
                <w:sz w:val="18"/>
                <w:szCs w:val="18"/>
                <w:lang w:eastAsia="pt-BR"/>
              </w:rPr>
            </w:pPr>
          </w:p>
        </w:tc>
        <w:tc>
          <w:tcPr>
            <w:tcW w:w="1384" w:type="dxa"/>
            <w:tcBorders>
              <w:top w:val="nil"/>
              <w:left w:val="nil"/>
              <w:bottom w:val="nil"/>
              <w:right w:val="nil"/>
            </w:tcBorders>
            <w:shd w:val="clear" w:color="auto" w:fill="auto"/>
            <w:noWrap/>
            <w:vAlign w:val="center"/>
            <w:hideMark/>
          </w:tcPr>
          <w:p w14:paraId="22F742DF" w14:textId="2FF13D70"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w:t>
            </w:r>
          </w:p>
        </w:tc>
        <w:tc>
          <w:tcPr>
            <w:tcW w:w="174" w:type="dxa"/>
            <w:tcBorders>
              <w:top w:val="nil"/>
              <w:left w:val="nil"/>
              <w:bottom w:val="nil"/>
              <w:right w:val="nil"/>
            </w:tcBorders>
            <w:shd w:val="clear" w:color="auto" w:fill="auto"/>
            <w:noWrap/>
            <w:vAlign w:val="center"/>
            <w:hideMark/>
          </w:tcPr>
          <w:p w14:paraId="02CD1CEA" w14:textId="77777777" w:rsidR="00BD7093" w:rsidRPr="00BD7093" w:rsidRDefault="00BD7093" w:rsidP="00BD7093">
            <w:pPr>
              <w:spacing w:after="0" w:line="240" w:lineRule="auto"/>
              <w:jc w:val="right"/>
              <w:rPr>
                <w:rFonts w:ascii="Verdana" w:eastAsia="Times New Roman" w:hAnsi="Verdana" w:cs="Calibri"/>
                <w:color w:val="000000"/>
                <w:sz w:val="18"/>
                <w:szCs w:val="18"/>
                <w:lang w:eastAsia="pt-BR"/>
              </w:rPr>
            </w:pPr>
          </w:p>
        </w:tc>
        <w:tc>
          <w:tcPr>
            <w:tcW w:w="1397" w:type="dxa"/>
            <w:tcBorders>
              <w:top w:val="nil"/>
              <w:left w:val="nil"/>
              <w:bottom w:val="nil"/>
              <w:right w:val="nil"/>
            </w:tcBorders>
            <w:shd w:val="clear" w:color="auto" w:fill="auto"/>
            <w:noWrap/>
            <w:vAlign w:val="center"/>
            <w:hideMark/>
          </w:tcPr>
          <w:p w14:paraId="11DADD74" w14:textId="4014A8EC"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w:t>
            </w:r>
          </w:p>
        </w:tc>
        <w:tc>
          <w:tcPr>
            <w:tcW w:w="162" w:type="dxa"/>
            <w:tcBorders>
              <w:top w:val="nil"/>
              <w:left w:val="nil"/>
              <w:bottom w:val="nil"/>
              <w:right w:val="nil"/>
            </w:tcBorders>
            <w:shd w:val="clear" w:color="auto" w:fill="auto"/>
            <w:noWrap/>
            <w:vAlign w:val="bottom"/>
            <w:hideMark/>
          </w:tcPr>
          <w:p w14:paraId="146E7793" w14:textId="77777777" w:rsidR="00BD7093" w:rsidRPr="00BD7093" w:rsidRDefault="00BD7093" w:rsidP="00BD7093">
            <w:pPr>
              <w:spacing w:after="0" w:line="240" w:lineRule="auto"/>
              <w:jc w:val="right"/>
              <w:rPr>
                <w:rFonts w:ascii="Verdana" w:eastAsia="Times New Roman" w:hAnsi="Verdana" w:cs="Calibri"/>
                <w:color w:val="000000"/>
                <w:sz w:val="18"/>
                <w:szCs w:val="18"/>
                <w:lang w:eastAsia="pt-BR"/>
              </w:rPr>
            </w:pPr>
          </w:p>
        </w:tc>
        <w:tc>
          <w:tcPr>
            <w:tcW w:w="1273" w:type="dxa"/>
            <w:tcBorders>
              <w:top w:val="nil"/>
              <w:left w:val="nil"/>
              <w:bottom w:val="nil"/>
              <w:right w:val="nil"/>
            </w:tcBorders>
            <w:shd w:val="clear" w:color="auto" w:fill="auto"/>
            <w:noWrap/>
            <w:vAlign w:val="center"/>
            <w:hideMark/>
          </w:tcPr>
          <w:p w14:paraId="6CEDF101" w14:textId="03539CDC"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164</w:t>
            </w:r>
          </w:p>
        </w:tc>
        <w:tc>
          <w:tcPr>
            <w:tcW w:w="174" w:type="dxa"/>
            <w:tcBorders>
              <w:top w:val="nil"/>
              <w:left w:val="nil"/>
              <w:bottom w:val="nil"/>
              <w:right w:val="nil"/>
            </w:tcBorders>
            <w:shd w:val="clear" w:color="auto" w:fill="auto"/>
            <w:noWrap/>
            <w:vAlign w:val="bottom"/>
            <w:hideMark/>
          </w:tcPr>
          <w:p w14:paraId="7F43B2D0" w14:textId="77777777" w:rsidR="00BD7093" w:rsidRPr="00BD7093" w:rsidRDefault="00BD7093" w:rsidP="00BD7093">
            <w:pPr>
              <w:spacing w:after="0" w:line="240" w:lineRule="auto"/>
              <w:jc w:val="right"/>
              <w:rPr>
                <w:rFonts w:ascii="Verdana" w:eastAsia="Times New Roman" w:hAnsi="Verdana" w:cs="Calibri"/>
                <w:color w:val="000000"/>
                <w:sz w:val="18"/>
                <w:szCs w:val="18"/>
                <w:lang w:eastAsia="pt-BR"/>
              </w:rPr>
            </w:pPr>
          </w:p>
        </w:tc>
        <w:tc>
          <w:tcPr>
            <w:tcW w:w="1274" w:type="dxa"/>
            <w:tcBorders>
              <w:top w:val="nil"/>
              <w:left w:val="nil"/>
              <w:bottom w:val="nil"/>
              <w:right w:val="nil"/>
            </w:tcBorders>
            <w:shd w:val="clear" w:color="auto" w:fill="auto"/>
            <w:noWrap/>
            <w:vAlign w:val="center"/>
            <w:hideMark/>
          </w:tcPr>
          <w:p w14:paraId="632FD4B7" w14:textId="626CD3C9"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164</w:t>
            </w:r>
          </w:p>
        </w:tc>
      </w:tr>
      <w:tr w:rsidR="00BD7093" w:rsidRPr="00BD7093" w14:paraId="014A8586" w14:textId="77777777" w:rsidTr="003072B4">
        <w:trPr>
          <w:trHeight w:val="20"/>
        </w:trPr>
        <w:tc>
          <w:tcPr>
            <w:tcW w:w="4679" w:type="dxa"/>
            <w:tcBorders>
              <w:top w:val="nil"/>
              <w:left w:val="nil"/>
              <w:bottom w:val="nil"/>
              <w:right w:val="nil"/>
            </w:tcBorders>
            <w:shd w:val="clear" w:color="auto" w:fill="auto"/>
            <w:noWrap/>
            <w:vAlign w:val="bottom"/>
            <w:hideMark/>
          </w:tcPr>
          <w:p w14:paraId="509A2D2A" w14:textId="77777777" w:rsidR="00BD7093" w:rsidRPr="00BD7093" w:rsidRDefault="00BD7093" w:rsidP="00BD7093">
            <w:pPr>
              <w:spacing w:after="0" w:line="240" w:lineRule="auto"/>
              <w:rPr>
                <w:rFonts w:ascii="Verdana" w:eastAsia="Times New Roman" w:hAnsi="Verdana" w:cs="Calibri"/>
                <w:color w:val="000000"/>
                <w:sz w:val="18"/>
                <w:szCs w:val="18"/>
                <w:lang w:eastAsia="pt-BR"/>
              </w:rPr>
            </w:pPr>
          </w:p>
        </w:tc>
        <w:tc>
          <w:tcPr>
            <w:tcW w:w="164" w:type="dxa"/>
            <w:tcBorders>
              <w:top w:val="nil"/>
              <w:left w:val="nil"/>
              <w:bottom w:val="nil"/>
              <w:right w:val="nil"/>
            </w:tcBorders>
            <w:shd w:val="clear" w:color="auto" w:fill="auto"/>
            <w:noWrap/>
            <w:vAlign w:val="bottom"/>
            <w:hideMark/>
          </w:tcPr>
          <w:p w14:paraId="45C38F7B" w14:textId="77777777" w:rsidR="00BD7093" w:rsidRPr="00BD7093" w:rsidRDefault="00BD7093" w:rsidP="00BD7093">
            <w:pPr>
              <w:spacing w:after="0" w:line="240" w:lineRule="auto"/>
              <w:rPr>
                <w:rFonts w:ascii="Times New Roman" w:eastAsia="Times New Roman" w:hAnsi="Times New Roman" w:cs="Times New Roman"/>
                <w:sz w:val="20"/>
                <w:szCs w:val="20"/>
                <w:lang w:eastAsia="pt-BR"/>
              </w:rPr>
            </w:pPr>
          </w:p>
        </w:tc>
        <w:tc>
          <w:tcPr>
            <w:tcW w:w="1384" w:type="dxa"/>
            <w:tcBorders>
              <w:top w:val="single" w:sz="8" w:space="0" w:color="auto"/>
              <w:left w:val="nil"/>
              <w:bottom w:val="nil"/>
              <w:right w:val="nil"/>
            </w:tcBorders>
            <w:shd w:val="clear" w:color="auto" w:fill="auto"/>
            <w:noWrap/>
            <w:vAlign w:val="center"/>
            <w:hideMark/>
          </w:tcPr>
          <w:p w14:paraId="7A6438BF" w14:textId="4C45E862"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157.219</w:t>
            </w:r>
          </w:p>
        </w:tc>
        <w:tc>
          <w:tcPr>
            <w:tcW w:w="174" w:type="dxa"/>
            <w:tcBorders>
              <w:top w:val="nil"/>
              <w:left w:val="nil"/>
              <w:bottom w:val="nil"/>
              <w:right w:val="nil"/>
            </w:tcBorders>
            <w:shd w:val="clear" w:color="auto" w:fill="auto"/>
            <w:noWrap/>
            <w:vAlign w:val="bottom"/>
            <w:hideMark/>
          </w:tcPr>
          <w:p w14:paraId="71E1FA22" w14:textId="77777777" w:rsidR="00BD7093" w:rsidRPr="00BD7093" w:rsidRDefault="00BD7093" w:rsidP="00BD7093">
            <w:pPr>
              <w:spacing w:after="0" w:line="240" w:lineRule="auto"/>
              <w:jc w:val="right"/>
              <w:rPr>
                <w:rFonts w:ascii="Verdana" w:eastAsia="Times New Roman" w:hAnsi="Verdana" w:cs="Calibri"/>
                <w:color w:val="000000"/>
                <w:sz w:val="18"/>
                <w:szCs w:val="18"/>
                <w:lang w:eastAsia="pt-BR"/>
              </w:rPr>
            </w:pPr>
          </w:p>
        </w:tc>
        <w:tc>
          <w:tcPr>
            <w:tcW w:w="1397" w:type="dxa"/>
            <w:tcBorders>
              <w:top w:val="single" w:sz="8" w:space="0" w:color="auto"/>
              <w:left w:val="nil"/>
              <w:bottom w:val="nil"/>
              <w:right w:val="nil"/>
            </w:tcBorders>
            <w:shd w:val="clear" w:color="auto" w:fill="auto"/>
            <w:noWrap/>
            <w:vAlign w:val="center"/>
            <w:hideMark/>
          </w:tcPr>
          <w:p w14:paraId="0545E936" w14:textId="2115F77C"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88.485</w:t>
            </w:r>
          </w:p>
        </w:tc>
        <w:tc>
          <w:tcPr>
            <w:tcW w:w="162" w:type="dxa"/>
            <w:tcBorders>
              <w:top w:val="nil"/>
              <w:left w:val="nil"/>
              <w:bottom w:val="nil"/>
              <w:right w:val="nil"/>
            </w:tcBorders>
            <w:shd w:val="clear" w:color="auto" w:fill="auto"/>
            <w:noWrap/>
            <w:vAlign w:val="bottom"/>
            <w:hideMark/>
          </w:tcPr>
          <w:p w14:paraId="66105DA9" w14:textId="77777777" w:rsidR="00BD7093" w:rsidRPr="00BD7093" w:rsidRDefault="00BD7093" w:rsidP="00BD7093">
            <w:pPr>
              <w:spacing w:after="0" w:line="240" w:lineRule="auto"/>
              <w:jc w:val="right"/>
              <w:rPr>
                <w:rFonts w:ascii="Verdana" w:eastAsia="Times New Roman" w:hAnsi="Verdana" w:cs="Calibri"/>
                <w:color w:val="000000"/>
                <w:sz w:val="18"/>
                <w:szCs w:val="18"/>
                <w:lang w:eastAsia="pt-BR"/>
              </w:rPr>
            </w:pPr>
          </w:p>
        </w:tc>
        <w:tc>
          <w:tcPr>
            <w:tcW w:w="1273" w:type="dxa"/>
            <w:tcBorders>
              <w:top w:val="single" w:sz="8" w:space="0" w:color="auto"/>
              <w:left w:val="nil"/>
              <w:bottom w:val="nil"/>
              <w:right w:val="nil"/>
            </w:tcBorders>
            <w:shd w:val="clear" w:color="auto" w:fill="auto"/>
            <w:noWrap/>
            <w:vAlign w:val="center"/>
            <w:hideMark/>
          </w:tcPr>
          <w:p w14:paraId="1CE5FA35" w14:textId="7C0BDC3C"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212.720</w:t>
            </w:r>
          </w:p>
        </w:tc>
        <w:tc>
          <w:tcPr>
            <w:tcW w:w="174" w:type="dxa"/>
            <w:tcBorders>
              <w:top w:val="nil"/>
              <w:left w:val="nil"/>
              <w:bottom w:val="nil"/>
              <w:right w:val="nil"/>
            </w:tcBorders>
            <w:shd w:val="clear" w:color="auto" w:fill="auto"/>
            <w:noWrap/>
            <w:vAlign w:val="bottom"/>
            <w:hideMark/>
          </w:tcPr>
          <w:p w14:paraId="3DBC869D" w14:textId="77777777" w:rsidR="00BD7093" w:rsidRPr="00BD7093" w:rsidRDefault="00BD7093" w:rsidP="00BD7093">
            <w:pPr>
              <w:spacing w:after="0" w:line="240" w:lineRule="auto"/>
              <w:jc w:val="right"/>
              <w:rPr>
                <w:rFonts w:ascii="Verdana" w:eastAsia="Times New Roman" w:hAnsi="Verdana" w:cs="Calibri"/>
                <w:color w:val="000000"/>
                <w:sz w:val="18"/>
                <w:szCs w:val="18"/>
                <w:lang w:eastAsia="pt-BR"/>
              </w:rPr>
            </w:pPr>
          </w:p>
        </w:tc>
        <w:tc>
          <w:tcPr>
            <w:tcW w:w="1274" w:type="dxa"/>
            <w:tcBorders>
              <w:top w:val="single" w:sz="8" w:space="0" w:color="auto"/>
              <w:left w:val="nil"/>
              <w:bottom w:val="nil"/>
              <w:right w:val="nil"/>
            </w:tcBorders>
            <w:shd w:val="clear" w:color="auto" w:fill="auto"/>
            <w:noWrap/>
            <w:vAlign w:val="center"/>
            <w:hideMark/>
          </w:tcPr>
          <w:p w14:paraId="04851A31" w14:textId="1944A77D"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143.986</w:t>
            </w:r>
          </w:p>
        </w:tc>
      </w:tr>
      <w:tr w:rsidR="00BD7093" w:rsidRPr="00BD7093" w14:paraId="5989EC03" w14:textId="77777777" w:rsidTr="003072B4">
        <w:trPr>
          <w:trHeight w:val="20"/>
        </w:trPr>
        <w:tc>
          <w:tcPr>
            <w:tcW w:w="4679" w:type="dxa"/>
            <w:tcBorders>
              <w:top w:val="nil"/>
              <w:left w:val="nil"/>
              <w:bottom w:val="nil"/>
              <w:right w:val="nil"/>
            </w:tcBorders>
            <w:shd w:val="clear" w:color="auto" w:fill="auto"/>
            <w:noWrap/>
            <w:vAlign w:val="center"/>
            <w:hideMark/>
          </w:tcPr>
          <w:p w14:paraId="22F1103E" w14:textId="77777777" w:rsidR="00BD7093" w:rsidRPr="00BD7093" w:rsidRDefault="00BD7093" w:rsidP="00BD7093">
            <w:pPr>
              <w:spacing w:after="0" w:line="240" w:lineRule="auto"/>
              <w:rPr>
                <w:rFonts w:ascii="Verdana" w:eastAsia="Times New Roman" w:hAnsi="Verdana" w:cs="Calibri"/>
                <w:b/>
                <w:bCs/>
                <w:color w:val="000000"/>
                <w:sz w:val="18"/>
                <w:szCs w:val="18"/>
                <w:lang w:eastAsia="pt-BR"/>
              </w:rPr>
            </w:pPr>
            <w:r w:rsidRPr="00BD7093">
              <w:rPr>
                <w:rFonts w:ascii="Verdana" w:eastAsia="Times New Roman" w:hAnsi="Verdana" w:cs="Calibri"/>
                <w:b/>
                <w:bCs/>
                <w:color w:val="000000"/>
                <w:sz w:val="18"/>
                <w:szCs w:val="18"/>
                <w:lang w:eastAsia="pt-BR"/>
              </w:rPr>
              <w:t xml:space="preserve">   Despesas Financeiras</w:t>
            </w:r>
          </w:p>
        </w:tc>
        <w:tc>
          <w:tcPr>
            <w:tcW w:w="164" w:type="dxa"/>
            <w:tcBorders>
              <w:top w:val="nil"/>
              <w:left w:val="nil"/>
              <w:bottom w:val="nil"/>
              <w:right w:val="nil"/>
            </w:tcBorders>
            <w:shd w:val="clear" w:color="auto" w:fill="auto"/>
            <w:noWrap/>
            <w:vAlign w:val="center"/>
            <w:hideMark/>
          </w:tcPr>
          <w:p w14:paraId="1508D499" w14:textId="77777777" w:rsidR="00BD7093" w:rsidRPr="00BD7093" w:rsidRDefault="00BD7093" w:rsidP="00BD7093">
            <w:pPr>
              <w:spacing w:after="0" w:line="240" w:lineRule="auto"/>
              <w:rPr>
                <w:rFonts w:ascii="Verdana" w:eastAsia="Times New Roman" w:hAnsi="Verdana" w:cs="Calibri"/>
                <w:b/>
                <w:bCs/>
                <w:color w:val="000000"/>
                <w:sz w:val="18"/>
                <w:szCs w:val="18"/>
                <w:lang w:eastAsia="pt-BR"/>
              </w:rPr>
            </w:pPr>
          </w:p>
        </w:tc>
        <w:tc>
          <w:tcPr>
            <w:tcW w:w="1384" w:type="dxa"/>
            <w:tcBorders>
              <w:top w:val="nil"/>
              <w:left w:val="nil"/>
              <w:bottom w:val="nil"/>
              <w:right w:val="nil"/>
            </w:tcBorders>
            <w:shd w:val="clear" w:color="auto" w:fill="auto"/>
            <w:noWrap/>
            <w:vAlign w:val="center"/>
            <w:hideMark/>
          </w:tcPr>
          <w:p w14:paraId="0ED0A7CC" w14:textId="77777777" w:rsidR="00BD7093" w:rsidRPr="00BD7093" w:rsidRDefault="00BD7093" w:rsidP="00BD7093">
            <w:pPr>
              <w:spacing w:after="0" w:line="240" w:lineRule="auto"/>
              <w:jc w:val="right"/>
              <w:rPr>
                <w:rFonts w:ascii="Times New Roman" w:eastAsia="Times New Roman" w:hAnsi="Times New Roman" w:cs="Times New Roman"/>
                <w:sz w:val="20"/>
                <w:szCs w:val="20"/>
                <w:lang w:eastAsia="pt-BR"/>
              </w:rPr>
            </w:pPr>
          </w:p>
        </w:tc>
        <w:tc>
          <w:tcPr>
            <w:tcW w:w="174" w:type="dxa"/>
            <w:tcBorders>
              <w:top w:val="nil"/>
              <w:left w:val="nil"/>
              <w:bottom w:val="nil"/>
              <w:right w:val="nil"/>
            </w:tcBorders>
            <w:shd w:val="clear" w:color="auto" w:fill="auto"/>
            <w:noWrap/>
            <w:vAlign w:val="center"/>
            <w:hideMark/>
          </w:tcPr>
          <w:p w14:paraId="75C1ED66" w14:textId="77777777" w:rsidR="00BD7093" w:rsidRPr="00BD7093" w:rsidRDefault="00BD7093" w:rsidP="00BD7093">
            <w:pPr>
              <w:spacing w:after="0" w:line="240" w:lineRule="auto"/>
              <w:jc w:val="right"/>
              <w:rPr>
                <w:rFonts w:ascii="Times New Roman" w:eastAsia="Times New Roman" w:hAnsi="Times New Roman" w:cs="Times New Roman"/>
                <w:sz w:val="20"/>
                <w:szCs w:val="20"/>
                <w:lang w:eastAsia="pt-BR"/>
              </w:rPr>
            </w:pPr>
          </w:p>
        </w:tc>
        <w:tc>
          <w:tcPr>
            <w:tcW w:w="1397" w:type="dxa"/>
            <w:tcBorders>
              <w:top w:val="nil"/>
              <w:left w:val="nil"/>
              <w:bottom w:val="nil"/>
              <w:right w:val="nil"/>
            </w:tcBorders>
            <w:shd w:val="clear" w:color="auto" w:fill="auto"/>
            <w:noWrap/>
            <w:vAlign w:val="center"/>
            <w:hideMark/>
          </w:tcPr>
          <w:p w14:paraId="2BBD51A9" w14:textId="77777777" w:rsidR="00BD7093" w:rsidRPr="00BD7093" w:rsidRDefault="00BD7093" w:rsidP="00BD7093">
            <w:pPr>
              <w:spacing w:after="0" w:line="240" w:lineRule="auto"/>
              <w:jc w:val="right"/>
              <w:rPr>
                <w:rFonts w:ascii="Times New Roman" w:eastAsia="Times New Roman" w:hAnsi="Times New Roman" w:cs="Times New Roman"/>
                <w:sz w:val="20"/>
                <w:szCs w:val="20"/>
                <w:lang w:eastAsia="pt-BR"/>
              </w:rPr>
            </w:pPr>
          </w:p>
        </w:tc>
        <w:tc>
          <w:tcPr>
            <w:tcW w:w="162" w:type="dxa"/>
            <w:tcBorders>
              <w:top w:val="nil"/>
              <w:left w:val="nil"/>
              <w:bottom w:val="nil"/>
              <w:right w:val="nil"/>
            </w:tcBorders>
            <w:shd w:val="clear" w:color="auto" w:fill="auto"/>
            <w:noWrap/>
            <w:vAlign w:val="bottom"/>
            <w:hideMark/>
          </w:tcPr>
          <w:p w14:paraId="18F29C56" w14:textId="77777777" w:rsidR="00BD7093" w:rsidRPr="00BD7093" w:rsidRDefault="00BD7093" w:rsidP="00BD7093">
            <w:pPr>
              <w:spacing w:after="0" w:line="240" w:lineRule="auto"/>
              <w:jc w:val="right"/>
              <w:rPr>
                <w:rFonts w:ascii="Times New Roman" w:eastAsia="Times New Roman" w:hAnsi="Times New Roman" w:cs="Times New Roman"/>
                <w:sz w:val="20"/>
                <w:szCs w:val="20"/>
                <w:lang w:eastAsia="pt-BR"/>
              </w:rPr>
            </w:pPr>
          </w:p>
        </w:tc>
        <w:tc>
          <w:tcPr>
            <w:tcW w:w="1273" w:type="dxa"/>
            <w:tcBorders>
              <w:top w:val="nil"/>
              <w:left w:val="nil"/>
              <w:bottom w:val="nil"/>
              <w:right w:val="nil"/>
            </w:tcBorders>
            <w:shd w:val="clear" w:color="auto" w:fill="auto"/>
            <w:noWrap/>
            <w:vAlign w:val="center"/>
            <w:hideMark/>
          </w:tcPr>
          <w:p w14:paraId="2E643DD9" w14:textId="77777777" w:rsidR="00BD7093" w:rsidRPr="00BD7093" w:rsidRDefault="00BD7093" w:rsidP="00BD7093">
            <w:pPr>
              <w:spacing w:after="0" w:line="240" w:lineRule="auto"/>
              <w:jc w:val="right"/>
              <w:rPr>
                <w:rFonts w:ascii="Times New Roman" w:eastAsia="Times New Roman" w:hAnsi="Times New Roman" w:cs="Times New Roman"/>
                <w:sz w:val="20"/>
                <w:szCs w:val="20"/>
                <w:lang w:eastAsia="pt-BR"/>
              </w:rPr>
            </w:pPr>
          </w:p>
        </w:tc>
        <w:tc>
          <w:tcPr>
            <w:tcW w:w="174" w:type="dxa"/>
            <w:tcBorders>
              <w:top w:val="nil"/>
              <w:left w:val="nil"/>
              <w:bottom w:val="nil"/>
              <w:right w:val="nil"/>
            </w:tcBorders>
            <w:shd w:val="clear" w:color="auto" w:fill="auto"/>
            <w:noWrap/>
            <w:vAlign w:val="bottom"/>
            <w:hideMark/>
          </w:tcPr>
          <w:p w14:paraId="56A586EC" w14:textId="77777777" w:rsidR="00BD7093" w:rsidRPr="00BD7093" w:rsidRDefault="00BD7093" w:rsidP="00BD7093">
            <w:pPr>
              <w:spacing w:after="0" w:line="240" w:lineRule="auto"/>
              <w:jc w:val="right"/>
              <w:rPr>
                <w:rFonts w:ascii="Times New Roman" w:eastAsia="Times New Roman" w:hAnsi="Times New Roman" w:cs="Times New Roman"/>
                <w:sz w:val="20"/>
                <w:szCs w:val="20"/>
                <w:lang w:eastAsia="pt-BR"/>
              </w:rPr>
            </w:pPr>
          </w:p>
        </w:tc>
        <w:tc>
          <w:tcPr>
            <w:tcW w:w="1274" w:type="dxa"/>
            <w:tcBorders>
              <w:top w:val="nil"/>
              <w:left w:val="nil"/>
              <w:bottom w:val="nil"/>
              <w:right w:val="nil"/>
            </w:tcBorders>
            <w:shd w:val="clear" w:color="auto" w:fill="auto"/>
            <w:noWrap/>
            <w:vAlign w:val="center"/>
            <w:hideMark/>
          </w:tcPr>
          <w:p w14:paraId="2735E474" w14:textId="77777777" w:rsidR="00BD7093" w:rsidRPr="00BD7093" w:rsidRDefault="00BD7093" w:rsidP="00BD7093">
            <w:pPr>
              <w:spacing w:after="0" w:line="240" w:lineRule="auto"/>
              <w:jc w:val="right"/>
              <w:rPr>
                <w:rFonts w:ascii="Times New Roman" w:eastAsia="Times New Roman" w:hAnsi="Times New Roman" w:cs="Times New Roman"/>
                <w:sz w:val="20"/>
                <w:szCs w:val="20"/>
                <w:lang w:eastAsia="pt-BR"/>
              </w:rPr>
            </w:pPr>
          </w:p>
        </w:tc>
      </w:tr>
      <w:tr w:rsidR="00BD7093" w:rsidRPr="00BD7093" w14:paraId="107C870B" w14:textId="77777777" w:rsidTr="003072B4">
        <w:trPr>
          <w:trHeight w:val="20"/>
        </w:trPr>
        <w:tc>
          <w:tcPr>
            <w:tcW w:w="4679" w:type="dxa"/>
            <w:tcBorders>
              <w:top w:val="nil"/>
              <w:left w:val="nil"/>
              <w:bottom w:val="nil"/>
              <w:right w:val="nil"/>
            </w:tcBorders>
            <w:shd w:val="clear" w:color="auto" w:fill="auto"/>
            <w:noWrap/>
            <w:vAlign w:val="center"/>
            <w:hideMark/>
          </w:tcPr>
          <w:p w14:paraId="1B301FEF" w14:textId="77777777" w:rsidR="00BD7093" w:rsidRPr="00BD7093" w:rsidRDefault="00BD7093" w:rsidP="00BD7093">
            <w:pPr>
              <w:spacing w:after="0" w:line="240" w:lineRule="auto"/>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 xml:space="preserve">    Encargos de dívidas</w:t>
            </w:r>
          </w:p>
        </w:tc>
        <w:tc>
          <w:tcPr>
            <w:tcW w:w="164" w:type="dxa"/>
            <w:tcBorders>
              <w:top w:val="nil"/>
              <w:left w:val="nil"/>
              <w:bottom w:val="nil"/>
              <w:right w:val="nil"/>
            </w:tcBorders>
            <w:shd w:val="clear" w:color="auto" w:fill="auto"/>
            <w:noWrap/>
            <w:vAlign w:val="bottom"/>
            <w:hideMark/>
          </w:tcPr>
          <w:p w14:paraId="2045DC6F" w14:textId="77777777" w:rsidR="00BD7093" w:rsidRPr="00BD7093" w:rsidRDefault="00BD7093" w:rsidP="00BD7093">
            <w:pPr>
              <w:spacing w:after="0" w:line="240" w:lineRule="auto"/>
              <w:rPr>
                <w:rFonts w:ascii="Verdana" w:eastAsia="Times New Roman" w:hAnsi="Verdana" w:cs="Calibri"/>
                <w:color w:val="000000"/>
                <w:sz w:val="18"/>
                <w:szCs w:val="18"/>
                <w:lang w:eastAsia="pt-BR"/>
              </w:rPr>
            </w:pPr>
          </w:p>
        </w:tc>
        <w:tc>
          <w:tcPr>
            <w:tcW w:w="1384" w:type="dxa"/>
            <w:tcBorders>
              <w:top w:val="nil"/>
              <w:left w:val="nil"/>
              <w:bottom w:val="nil"/>
              <w:right w:val="nil"/>
            </w:tcBorders>
            <w:shd w:val="clear" w:color="auto" w:fill="auto"/>
            <w:noWrap/>
            <w:vAlign w:val="center"/>
            <w:hideMark/>
          </w:tcPr>
          <w:p w14:paraId="3326422D" w14:textId="00BEE410"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(2.161)</w:t>
            </w:r>
          </w:p>
        </w:tc>
        <w:tc>
          <w:tcPr>
            <w:tcW w:w="174" w:type="dxa"/>
            <w:tcBorders>
              <w:top w:val="nil"/>
              <w:left w:val="nil"/>
              <w:bottom w:val="nil"/>
              <w:right w:val="nil"/>
            </w:tcBorders>
            <w:shd w:val="clear" w:color="auto" w:fill="auto"/>
            <w:noWrap/>
            <w:vAlign w:val="bottom"/>
            <w:hideMark/>
          </w:tcPr>
          <w:p w14:paraId="5DC5867F" w14:textId="77777777" w:rsidR="00BD7093" w:rsidRPr="00BD7093" w:rsidRDefault="00BD7093" w:rsidP="00BD7093">
            <w:pPr>
              <w:spacing w:after="0" w:line="240" w:lineRule="auto"/>
              <w:jc w:val="right"/>
              <w:rPr>
                <w:rFonts w:ascii="Verdana" w:eastAsia="Times New Roman" w:hAnsi="Verdana" w:cs="Calibri"/>
                <w:color w:val="000000"/>
                <w:sz w:val="18"/>
                <w:szCs w:val="18"/>
                <w:lang w:eastAsia="pt-BR"/>
              </w:rPr>
            </w:pPr>
          </w:p>
        </w:tc>
        <w:tc>
          <w:tcPr>
            <w:tcW w:w="1397" w:type="dxa"/>
            <w:tcBorders>
              <w:top w:val="nil"/>
              <w:left w:val="nil"/>
              <w:bottom w:val="nil"/>
              <w:right w:val="nil"/>
            </w:tcBorders>
            <w:shd w:val="clear" w:color="auto" w:fill="auto"/>
            <w:noWrap/>
            <w:vAlign w:val="center"/>
            <w:hideMark/>
          </w:tcPr>
          <w:p w14:paraId="7DC5A148" w14:textId="5C32EB0E"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(2.161)</w:t>
            </w:r>
          </w:p>
        </w:tc>
        <w:tc>
          <w:tcPr>
            <w:tcW w:w="162" w:type="dxa"/>
            <w:tcBorders>
              <w:top w:val="nil"/>
              <w:left w:val="nil"/>
              <w:bottom w:val="nil"/>
              <w:right w:val="nil"/>
            </w:tcBorders>
            <w:shd w:val="clear" w:color="auto" w:fill="auto"/>
            <w:noWrap/>
            <w:vAlign w:val="bottom"/>
            <w:hideMark/>
          </w:tcPr>
          <w:p w14:paraId="21C93D9F" w14:textId="77777777" w:rsidR="00BD7093" w:rsidRPr="00BD7093" w:rsidRDefault="00BD7093" w:rsidP="00BD7093">
            <w:pPr>
              <w:spacing w:after="0" w:line="240" w:lineRule="auto"/>
              <w:jc w:val="right"/>
              <w:rPr>
                <w:rFonts w:ascii="Verdana" w:eastAsia="Times New Roman" w:hAnsi="Verdana" w:cs="Calibri"/>
                <w:color w:val="000000"/>
                <w:sz w:val="18"/>
                <w:szCs w:val="18"/>
                <w:lang w:eastAsia="pt-BR"/>
              </w:rPr>
            </w:pPr>
          </w:p>
        </w:tc>
        <w:tc>
          <w:tcPr>
            <w:tcW w:w="1273" w:type="dxa"/>
            <w:tcBorders>
              <w:top w:val="nil"/>
              <w:left w:val="nil"/>
              <w:bottom w:val="nil"/>
              <w:right w:val="nil"/>
            </w:tcBorders>
            <w:shd w:val="clear" w:color="auto" w:fill="auto"/>
            <w:noWrap/>
            <w:vAlign w:val="center"/>
            <w:hideMark/>
          </w:tcPr>
          <w:p w14:paraId="404DB6FB" w14:textId="5348DB37"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(43.171)</w:t>
            </w:r>
          </w:p>
        </w:tc>
        <w:tc>
          <w:tcPr>
            <w:tcW w:w="174" w:type="dxa"/>
            <w:tcBorders>
              <w:top w:val="nil"/>
              <w:left w:val="nil"/>
              <w:bottom w:val="nil"/>
              <w:right w:val="nil"/>
            </w:tcBorders>
            <w:shd w:val="clear" w:color="auto" w:fill="auto"/>
            <w:noWrap/>
            <w:vAlign w:val="bottom"/>
            <w:hideMark/>
          </w:tcPr>
          <w:p w14:paraId="00719A32" w14:textId="77777777" w:rsidR="00BD7093" w:rsidRPr="00BD7093" w:rsidRDefault="00BD7093" w:rsidP="00BD7093">
            <w:pPr>
              <w:spacing w:after="0" w:line="240" w:lineRule="auto"/>
              <w:jc w:val="right"/>
              <w:rPr>
                <w:rFonts w:ascii="Verdana" w:eastAsia="Times New Roman" w:hAnsi="Verdana" w:cs="Calibri"/>
                <w:color w:val="000000"/>
                <w:sz w:val="18"/>
                <w:szCs w:val="18"/>
                <w:lang w:eastAsia="pt-BR"/>
              </w:rPr>
            </w:pPr>
          </w:p>
        </w:tc>
        <w:tc>
          <w:tcPr>
            <w:tcW w:w="1274" w:type="dxa"/>
            <w:tcBorders>
              <w:top w:val="nil"/>
              <w:left w:val="nil"/>
              <w:bottom w:val="nil"/>
              <w:right w:val="nil"/>
            </w:tcBorders>
            <w:shd w:val="clear" w:color="auto" w:fill="auto"/>
            <w:noWrap/>
            <w:vAlign w:val="center"/>
            <w:hideMark/>
          </w:tcPr>
          <w:p w14:paraId="21352FEE" w14:textId="68CAE34E"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(43.171)</w:t>
            </w:r>
          </w:p>
        </w:tc>
      </w:tr>
      <w:tr w:rsidR="00BD7093" w:rsidRPr="00BD7093" w14:paraId="0A3C640B" w14:textId="77777777" w:rsidTr="003072B4">
        <w:trPr>
          <w:trHeight w:val="20"/>
        </w:trPr>
        <w:tc>
          <w:tcPr>
            <w:tcW w:w="4843" w:type="dxa"/>
            <w:gridSpan w:val="2"/>
            <w:tcBorders>
              <w:top w:val="nil"/>
              <w:left w:val="nil"/>
              <w:bottom w:val="nil"/>
              <w:right w:val="nil"/>
            </w:tcBorders>
            <w:shd w:val="clear" w:color="auto" w:fill="auto"/>
            <w:noWrap/>
            <w:vAlign w:val="center"/>
            <w:hideMark/>
          </w:tcPr>
          <w:p w14:paraId="14557E36" w14:textId="77777777" w:rsidR="00BD7093" w:rsidRPr="00BD7093" w:rsidRDefault="00BD7093" w:rsidP="00BD7093">
            <w:pPr>
              <w:spacing w:after="0" w:line="240" w:lineRule="auto"/>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 xml:space="preserve">    AVP da obrigação para desmobilização de ativos</w:t>
            </w:r>
          </w:p>
        </w:tc>
        <w:tc>
          <w:tcPr>
            <w:tcW w:w="1384" w:type="dxa"/>
            <w:tcBorders>
              <w:top w:val="nil"/>
              <w:left w:val="nil"/>
              <w:bottom w:val="nil"/>
              <w:right w:val="nil"/>
            </w:tcBorders>
            <w:shd w:val="clear" w:color="auto" w:fill="auto"/>
            <w:noWrap/>
            <w:vAlign w:val="center"/>
            <w:hideMark/>
          </w:tcPr>
          <w:p w14:paraId="2ED7AB35" w14:textId="77777777"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 xml:space="preserve">                 -   </w:t>
            </w:r>
          </w:p>
        </w:tc>
        <w:tc>
          <w:tcPr>
            <w:tcW w:w="174" w:type="dxa"/>
            <w:tcBorders>
              <w:top w:val="nil"/>
              <w:left w:val="nil"/>
              <w:bottom w:val="nil"/>
              <w:right w:val="nil"/>
            </w:tcBorders>
            <w:shd w:val="clear" w:color="auto" w:fill="auto"/>
            <w:noWrap/>
            <w:vAlign w:val="center"/>
            <w:hideMark/>
          </w:tcPr>
          <w:p w14:paraId="22CFDA53" w14:textId="77777777" w:rsidR="00BD7093" w:rsidRPr="00BD7093" w:rsidRDefault="00BD7093" w:rsidP="00BD7093">
            <w:pPr>
              <w:spacing w:after="0" w:line="240" w:lineRule="auto"/>
              <w:jc w:val="right"/>
              <w:rPr>
                <w:rFonts w:ascii="Verdana" w:eastAsia="Times New Roman" w:hAnsi="Verdana" w:cs="Calibri"/>
                <w:color w:val="000000"/>
                <w:sz w:val="18"/>
                <w:szCs w:val="18"/>
                <w:lang w:eastAsia="pt-BR"/>
              </w:rPr>
            </w:pPr>
          </w:p>
        </w:tc>
        <w:tc>
          <w:tcPr>
            <w:tcW w:w="1397" w:type="dxa"/>
            <w:tcBorders>
              <w:top w:val="nil"/>
              <w:left w:val="nil"/>
              <w:bottom w:val="nil"/>
              <w:right w:val="nil"/>
            </w:tcBorders>
            <w:shd w:val="clear" w:color="auto" w:fill="auto"/>
            <w:noWrap/>
            <w:vAlign w:val="center"/>
            <w:hideMark/>
          </w:tcPr>
          <w:p w14:paraId="1AF7579E" w14:textId="742CC47A"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w:t>
            </w:r>
          </w:p>
        </w:tc>
        <w:tc>
          <w:tcPr>
            <w:tcW w:w="162" w:type="dxa"/>
            <w:tcBorders>
              <w:top w:val="nil"/>
              <w:left w:val="nil"/>
              <w:bottom w:val="nil"/>
              <w:right w:val="nil"/>
            </w:tcBorders>
            <w:shd w:val="clear" w:color="auto" w:fill="auto"/>
            <w:noWrap/>
            <w:vAlign w:val="bottom"/>
            <w:hideMark/>
          </w:tcPr>
          <w:p w14:paraId="1DE8FFBC" w14:textId="77777777" w:rsidR="00BD7093" w:rsidRPr="00BD7093" w:rsidRDefault="00BD7093" w:rsidP="00BD7093">
            <w:pPr>
              <w:spacing w:after="0" w:line="240" w:lineRule="auto"/>
              <w:jc w:val="right"/>
              <w:rPr>
                <w:rFonts w:ascii="Verdana" w:eastAsia="Times New Roman" w:hAnsi="Verdana" w:cs="Calibri"/>
                <w:color w:val="000000"/>
                <w:sz w:val="18"/>
                <w:szCs w:val="18"/>
                <w:lang w:eastAsia="pt-BR"/>
              </w:rPr>
            </w:pPr>
          </w:p>
        </w:tc>
        <w:tc>
          <w:tcPr>
            <w:tcW w:w="1273" w:type="dxa"/>
            <w:tcBorders>
              <w:top w:val="nil"/>
              <w:left w:val="nil"/>
              <w:bottom w:val="nil"/>
              <w:right w:val="nil"/>
            </w:tcBorders>
            <w:shd w:val="clear" w:color="auto" w:fill="auto"/>
            <w:noWrap/>
            <w:vAlign w:val="center"/>
            <w:hideMark/>
          </w:tcPr>
          <w:p w14:paraId="0EA79B64" w14:textId="6D46E4F8"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(20.393)</w:t>
            </w:r>
          </w:p>
        </w:tc>
        <w:tc>
          <w:tcPr>
            <w:tcW w:w="174" w:type="dxa"/>
            <w:tcBorders>
              <w:top w:val="nil"/>
              <w:left w:val="nil"/>
              <w:bottom w:val="nil"/>
              <w:right w:val="nil"/>
            </w:tcBorders>
            <w:shd w:val="clear" w:color="auto" w:fill="auto"/>
            <w:noWrap/>
            <w:vAlign w:val="bottom"/>
            <w:hideMark/>
          </w:tcPr>
          <w:p w14:paraId="4F00FD1E" w14:textId="77777777" w:rsidR="00BD7093" w:rsidRPr="00BD7093" w:rsidRDefault="00BD7093" w:rsidP="00BD7093">
            <w:pPr>
              <w:spacing w:after="0" w:line="240" w:lineRule="auto"/>
              <w:jc w:val="right"/>
              <w:rPr>
                <w:rFonts w:ascii="Verdana" w:eastAsia="Times New Roman" w:hAnsi="Verdana" w:cs="Calibri"/>
                <w:color w:val="000000"/>
                <w:sz w:val="18"/>
                <w:szCs w:val="18"/>
                <w:lang w:eastAsia="pt-BR"/>
              </w:rPr>
            </w:pPr>
          </w:p>
        </w:tc>
        <w:tc>
          <w:tcPr>
            <w:tcW w:w="1274" w:type="dxa"/>
            <w:tcBorders>
              <w:top w:val="nil"/>
              <w:left w:val="nil"/>
              <w:bottom w:val="nil"/>
              <w:right w:val="nil"/>
            </w:tcBorders>
            <w:shd w:val="clear" w:color="auto" w:fill="auto"/>
            <w:noWrap/>
            <w:vAlign w:val="center"/>
            <w:hideMark/>
          </w:tcPr>
          <w:p w14:paraId="73FB496A" w14:textId="5B5F2F75"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(20.393)</w:t>
            </w:r>
          </w:p>
        </w:tc>
      </w:tr>
      <w:tr w:rsidR="00BD7093" w:rsidRPr="00BD7093" w14:paraId="6172DD5F" w14:textId="77777777" w:rsidTr="003072B4">
        <w:trPr>
          <w:trHeight w:val="20"/>
        </w:trPr>
        <w:tc>
          <w:tcPr>
            <w:tcW w:w="4679" w:type="dxa"/>
            <w:tcBorders>
              <w:top w:val="nil"/>
              <w:left w:val="nil"/>
              <w:bottom w:val="nil"/>
              <w:right w:val="nil"/>
            </w:tcBorders>
            <w:shd w:val="clear" w:color="auto" w:fill="auto"/>
            <w:noWrap/>
            <w:vAlign w:val="center"/>
            <w:hideMark/>
          </w:tcPr>
          <w:p w14:paraId="49D6A947" w14:textId="77777777" w:rsidR="00BD7093" w:rsidRPr="00BD7093" w:rsidRDefault="00BD7093" w:rsidP="00BD7093">
            <w:pPr>
              <w:spacing w:after="0" w:line="240" w:lineRule="auto"/>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 xml:space="preserve">    Encargos de arrendamento</w:t>
            </w:r>
          </w:p>
        </w:tc>
        <w:tc>
          <w:tcPr>
            <w:tcW w:w="164" w:type="dxa"/>
            <w:tcBorders>
              <w:top w:val="nil"/>
              <w:left w:val="nil"/>
              <w:bottom w:val="nil"/>
              <w:right w:val="nil"/>
            </w:tcBorders>
            <w:shd w:val="clear" w:color="auto" w:fill="auto"/>
            <w:noWrap/>
            <w:vAlign w:val="bottom"/>
            <w:hideMark/>
          </w:tcPr>
          <w:p w14:paraId="4B28D3DF" w14:textId="77777777" w:rsidR="00BD7093" w:rsidRPr="00BD7093" w:rsidRDefault="00BD7093" w:rsidP="00BD7093">
            <w:pPr>
              <w:spacing w:after="0" w:line="240" w:lineRule="auto"/>
              <w:rPr>
                <w:rFonts w:ascii="Verdana" w:eastAsia="Times New Roman" w:hAnsi="Verdana" w:cs="Calibri"/>
                <w:color w:val="000000"/>
                <w:sz w:val="18"/>
                <w:szCs w:val="18"/>
                <w:lang w:eastAsia="pt-BR"/>
              </w:rPr>
            </w:pPr>
          </w:p>
        </w:tc>
        <w:tc>
          <w:tcPr>
            <w:tcW w:w="1384" w:type="dxa"/>
            <w:tcBorders>
              <w:top w:val="nil"/>
              <w:left w:val="nil"/>
              <w:bottom w:val="nil"/>
              <w:right w:val="nil"/>
            </w:tcBorders>
            <w:shd w:val="clear" w:color="auto" w:fill="auto"/>
            <w:noWrap/>
            <w:vAlign w:val="center"/>
            <w:hideMark/>
          </w:tcPr>
          <w:p w14:paraId="7854EBFF" w14:textId="28B43B09"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w:t>
            </w:r>
          </w:p>
        </w:tc>
        <w:tc>
          <w:tcPr>
            <w:tcW w:w="174" w:type="dxa"/>
            <w:tcBorders>
              <w:top w:val="nil"/>
              <w:left w:val="nil"/>
              <w:bottom w:val="nil"/>
              <w:right w:val="nil"/>
            </w:tcBorders>
            <w:shd w:val="clear" w:color="auto" w:fill="auto"/>
            <w:noWrap/>
            <w:vAlign w:val="bottom"/>
            <w:hideMark/>
          </w:tcPr>
          <w:p w14:paraId="6CEE9B9B" w14:textId="77777777" w:rsidR="00BD7093" w:rsidRPr="00BD7093" w:rsidRDefault="00BD7093" w:rsidP="00BD7093">
            <w:pPr>
              <w:spacing w:after="0" w:line="240" w:lineRule="auto"/>
              <w:jc w:val="right"/>
              <w:rPr>
                <w:rFonts w:ascii="Verdana" w:eastAsia="Times New Roman" w:hAnsi="Verdana" w:cs="Calibri"/>
                <w:color w:val="000000"/>
                <w:sz w:val="18"/>
                <w:szCs w:val="18"/>
                <w:lang w:eastAsia="pt-BR"/>
              </w:rPr>
            </w:pPr>
          </w:p>
        </w:tc>
        <w:tc>
          <w:tcPr>
            <w:tcW w:w="1397" w:type="dxa"/>
            <w:tcBorders>
              <w:top w:val="nil"/>
              <w:left w:val="nil"/>
              <w:bottom w:val="nil"/>
              <w:right w:val="nil"/>
            </w:tcBorders>
            <w:shd w:val="clear" w:color="auto" w:fill="auto"/>
            <w:noWrap/>
            <w:vAlign w:val="center"/>
            <w:hideMark/>
          </w:tcPr>
          <w:p w14:paraId="18D480D2" w14:textId="66B6C354"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w:t>
            </w:r>
          </w:p>
        </w:tc>
        <w:tc>
          <w:tcPr>
            <w:tcW w:w="162" w:type="dxa"/>
            <w:tcBorders>
              <w:top w:val="nil"/>
              <w:left w:val="nil"/>
              <w:bottom w:val="nil"/>
              <w:right w:val="nil"/>
            </w:tcBorders>
            <w:shd w:val="clear" w:color="auto" w:fill="auto"/>
            <w:noWrap/>
            <w:vAlign w:val="bottom"/>
            <w:hideMark/>
          </w:tcPr>
          <w:p w14:paraId="2B5EC757" w14:textId="77777777" w:rsidR="00BD7093" w:rsidRPr="00BD7093" w:rsidRDefault="00BD7093" w:rsidP="00BD7093">
            <w:pPr>
              <w:spacing w:after="0" w:line="240" w:lineRule="auto"/>
              <w:jc w:val="right"/>
              <w:rPr>
                <w:rFonts w:ascii="Verdana" w:eastAsia="Times New Roman" w:hAnsi="Verdana" w:cs="Calibri"/>
                <w:color w:val="000000"/>
                <w:sz w:val="18"/>
                <w:szCs w:val="18"/>
                <w:lang w:eastAsia="pt-BR"/>
              </w:rPr>
            </w:pPr>
          </w:p>
        </w:tc>
        <w:tc>
          <w:tcPr>
            <w:tcW w:w="1273" w:type="dxa"/>
            <w:tcBorders>
              <w:top w:val="nil"/>
              <w:left w:val="nil"/>
              <w:bottom w:val="nil"/>
              <w:right w:val="nil"/>
            </w:tcBorders>
            <w:shd w:val="clear" w:color="auto" w:fill="auto"/>
            <w:noWrap/>
            <w:vAlign w:val="center"/>
            <w:hideMark/>
          </w:tcPr>
          <w:p w14:paraId="6E122048" w14:textId="4F7601D9"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(49)</w:t>
            </w:r>
          </w:p>
        </w:tc>
        <w:tc>
          <w:tcPr>
            <w:tcW w:w="174" w:type="dxa"/>
            <w:tcBorders>
              <w:top w:val="nil"/>
              <w:left w:val="nil"/>
              <w:bottom w:val="nil"/>
              <w:right w:val="nil"/>
            </w:tcBorders>
            <w:shd w:val="clear" w:color="auto" w:fill="auto"/>
            <w:noWrap/>
            <w:vAlign w:val="bottom"/>
            <w:hideMark/>
          </w:tcPr>
          <w:p w14:paraId="486D5587" w14:textId="77777777" w:rsidR="00BD7093" w:rsidRPr="00BD7093" w:rsidRDefault="00BD7093" w:rsidP="00BD7093">
            <w:pPr>
              <w:spacing w:after="0" w:line="240" w:lineRule="auto"/>
              <w:jc w:val="right"/>
              <w:rPr>
                <w:rFonts w:ascii="Verdana" w:eastAsia="Times New Roman" w:hAnsi="Verdana" w:cs="Calibri"/>
                <w:color w:val="000000"/>
                <w:sz w:val="18"/>
                <w:szCs w:val="18"/>
                <w:lang w:eastAsia="pt-BR"/>
              </w:rPr>
            </w:pPr>
          </w:p>
        </w:tc>
        <w:tc>
          <w:tcPr>
            <w:tcW w:w="1274" w:type="dxa"/>
            <w:tcBorders>
              <w:top w:val="nil"/>
              <w:left w:val="nil"/>
              <w:bottom w:val="nil"/>
              <w:right w:val="nil"/>
            </w:tcBorders>
            <w:shd w:val="clear" w:color="auto" w:fill="auto"/>
            <w:noWrap/>
            <w:vAlign w:val="center"/>
            <w:hideMark/>
          </w:tcPr>
          <w:p w14:paraId="25770120" w14:textId="09D3F4A0"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(49)</w:t>
            </w:r>
          </w:p>
        </w:tc>
      </w:tr>
      <w:tr w:rsidR="00BD7093" w:rsidRPr="00BD7093" w14:paraId="422388C1" w14:textId="77777777" w:rsidTr="003072B4">
        <w:trPr>
          <w:trHeight w:val="20"/>
        </w:trPr>
        <w:tc>
          <w:tcPr>
            <w:tcW w:w="4679" w:type="dxa"/>
            <w:tcBorders>
              <w:top w:val="nil"/>
              <w:left w:val="nil"/>
              <w:bottom w:val="nil"/>
              <w:right w:val="nil"/>
            </w:tcBorders>
            <w:shd w:val="clear" w:color="auto" w:fill="auto"/>
            <w:noWrap/>
            <w:vAlign w:val="center"/>
            <w:hideMark/>
          </w:tcPr>
          <w:p w14:paraId="0EA380EC" w14:textId="77777777" w:rsidR="00BD7093" w:rsidRPr="00BD7093" w:rsidRDefault="00BD7093" w:rsidP="00BD7093">
            <w:pPr>
              <w:spacing w:after="0" w:line="240" w:lineRule="auto"/>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 xml:space="preserve">    Atualizações monetárias passivas</w:t>
            </w:r>
          </w:p>
        </w:tc>
        <w:tc>
          <w:tcPr>
            <w:tcW w:w="164" w:type="dxa"/>
            <w:tcBorders>
              <w:top w:val="nil"/>
              <w:left w:val="nil"/>
              <w:bottom w:val="nil"/>
              <w:right w:val="nil"/>
            </w:tcBorders>
            <w:shd w:val="clear" w:color="auto" w:fill="auto"/>
            <w:noWrap/>
            <w:vAlign w:val="center"/>
            <w:hideMark/>
          </w:tcPr>
          <w:p w14:paraId="3195976E" w14:textId="77777777" w:rsidR="00BD7093" w:rsidRPr="00BD7093" w:rsidRDefault="00BD7093" w:rsidP="00BD7093">
            <w:pPr>
              <w:spacing w:after="0" w:line="240" w:lineRule="auto"/>
              <w:rPr>
                <w:rFonts w:ascii="Verdana" w:eastAsia="Times New Roman" w:hAnsi="Verdana" w:cs="Calibri"/>
                <w:color w:val="000000"/>
                <w:sz w:val="18"/>
                <w:szCs w:val="18"/>
                <w:lang w:eastAsia="pt-BR"/>
              </w:rPr>
            </w:pPr>
          </w:p>
        </w:tc>
        <w:tc>
          <w:tcPr>
            <w:tcW w:w="1384" w:type="dxa"/>
            <w:tcBorders>
              <w:top w:val="nil"/>
              <w:left w:val="nil"/>
              <w:bottom w:val="nil"/>
              <w:right w:val="nil"/>
            </w:tcBorders>
            <w:shd w:val="clear" w:color="auto" w:fill="auto"/>
            <w:noWrap/>
            <w:vAlign w:val="center"/>
            <w:hideMark/>
          </w:tcPr>
          <w:p w14:paraId="52DF2B8E" w14:textId="65A18DE5"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(7)</w:t>
            </w:r>
          </w:p>
        </w:tc>
        <w:tc>
          <w:tcPr>
            <w:tcW w:w="174" w:type="dxa"/>
            <w:tcBorders>
              <w:top w:val="nil"/>
              <w:left w:val="nil"/>
              <w:bottom w:val="nil"/>
              <w:right w:val="nil"/>
            </w:tcBorders>
            <w:shd w:val="clear" w:color="auto" w:fill="auto"/>
            <w:noWrap/>
            <w:vAlign w:val="center"/>
            <w:hideMark/>
          </w:tcPr>
          <w:p w14:paraId="5696C332" w14:textId="77777777" w:rsidR="00BD7093" w:rsidRPr="00BD7093" w:rsidRDefault="00BD7093" w:rsidP="00BD7093">
            <w:pPr>
              <w:spacing w:after="0" w:line="240" w:lineRule="auto"/>
              <w:jc w:val="right"/>
              <w:rPr>
                <w:rFonts w:ascii="Verdana" w:eastAsia="Times New Roman" w:hAnsi="Verdana" w:cs="Calibri"/>
                <w:color w:val="000000"/>
                <w:sz w:val="18"/>
                <w:szCs w:val="18"/>
                <w:lang w:eastAsia="pt-BR"/>
              </w:rPr>
            </w:pPr>
          </w:p>
        </w:tc>
        <w:tc>
          <w:tcPr>
            <w:tcW w:w="1397" w:type="dxa"/>
            <w:tcBorders>
              <w:top w:val="nil"/>
              <w:left w:val="nil"/>
              <w:bottom w:val="nil"/>
              <w:right w:val="nil"/>
            </w:tcBorders>
            <w:shd w:val="clear" w:color="auto" w:fill="auto"/>
            <w:noWrap/>
            <w:vAlign w:val="center"/>
            <w:hideMark/>
          </w:tcPr>
          <w:p w14:paraId="70CB427B" w14:textId="2DE2454D"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w:t>
            </w:r>
          </w:p>
        </w:tc>
        <w:tc>
          <w:tcPr>
            <w:tcW w:w="162" w:type="dxa"/>
            <w:tcBorders>
              <w:top w:val="nil"/>
              <w:left w:val="nil"/>
              <w:bottom w:val="nil"/>
              <w:right w:val="nil"/>
            </w:tcBorders>
            <w:shd w:val="clear" w:color="auto" w:fill="auto"/>
            <w:noWrap/>
            <w:vAlign w:val="bottom"/>
            <w:hideMark/>
          </w:tcPr>
          <w:p w14:paraId="40C26969" w14:textId="77777777" w:rsidR="00BD7093" w:rsidRPr="00BD7093" w:rsidRDefault="00BD7093" w:rsidP="00BD7093">
            <w:pPr>
              <w:spacing w:after="0" w:line="240" w:lineRule="auto"/>
              <w:jc w:val="right"/>
              <w:rPr>
                <w:rFonts w:ascii="Verdana" w:eastAsia="Times New Roman" w:hAnsi="Verdana" w:cs="Calibri"/>
                <w:color w:val="000000"/>
                <w:sz w:val="18"/>
                <w:szCs w:val="18"/>
                <w:lang w:eastAsia="pt-BR"/>
              </w:rPr>
            </w:pPr>
          </w:p>
        </w:tc>
        <w:tc>
          <w:tcPr>
            <w:tcW w:w="1273" w:type="dxa"/>
            <w:tcBorders>
              <w:top w:val="nil"/>
              <w:left w:val="nil"/>
              <w:bottom w:val="nil"/>
              <w:right w:val="nil"/>
            </w:tcBorders>
            <w:shd w:val="clear" w:color="auto" w:fill="auto"/>
            <w:noWrap/>
            <w:vAlign w:val="center"/>
            <w:hideMark/>
          </w:tcPr>
          <w:p w14:paraId="7D52BD61" w14:textId="252E71D2"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(15.955)</w:t>
            </w:r>
          </w:p>
        </w:tc>
        <w:tc>
          <w:tcPr>
            <w:tcW w:w="174" w:type="dxa"/>
            <w:tcBorders>
              <w:top w:val="nil"/>
              <w:left w:val="nil"/>
              <w:bottom w:val="nil"/>
              <w:right w:val="nil"/>
            </w:tcBorders>
            <w:shd w:val="clear" w:color="auto" w:fill="auto"/>
            <w:noWrap/>
            <w:vAlign w:val="bottom"/>
            <w:hideMark/>
          </w:tcPr>
          <w:p w14:paraId="6A382314" w14:textId="77777777" w:rsidR="00BD7093" w:rsidRPr="00BD7093" w:rsidRDefault="00BD7093" w:rsidP="00BD7093">
            <w:pPr>
              <w:spacing w:after="0" w:line="240" w:lineRule="auto"/>
              <w:jc w:val="right"/>
              <w:rPr>
                <w:rFonts w:ascii="Verdana" w:eastAsia="Times New Roman" w:hAnsi="Verdana" w:cs="Calibri"/>
                <w:color w:val="000000"/>
                <w:sz w:val="18"/>
                <w:szCs w:val="18"/>
                <w:lang w:eastAsia="pt-BR"/>
              </w:rPr>
            </w:pPr>
          </w:p>
        </w:tc>
        <w:tc>
          <w:tcPr>
            <w:tcW w:w="1274" w:type="dxa"/>
            <w:tcBorders>
              <w:top w:val="nil"/>
              <w:left w:val="nil"/>
              <w:bottom w:val="nil"/>
              <w:right w:val="nil"/>
            </w:tcBorders>
            <w:shd w:val="clear" w:color="auto" w:fill="auto"/>
            <w:noWrap/>
            <w:vAlign w:val="center"/>
            <w:hideMark/>
          </w:tcPr>
          <w:p w14:paraId="06A6A563" w14:textId="1E1B33D0"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(15.948)</w:t>
            </w:r>
          </w:p>
        </w:tc>
      </w:tr>
      <w:tr w:rsidR="00BD7093" w:rsidRPr="00BD7093" w14:paraId="6A7205B9" w14:textId="77777777" w:rsidTr="003072B4">
        <w:trPr>
          <w:trHeight w:val="20"/>
        </w:trPr>
        <w:tc>
          <w:tcPr>
            <w:tcW w:w="4679" w:type="dxa"/>
            <w:tcBorders>
              <w:top w:val="nil"/>
              <w:left w:val="nil"/>
              <w:bottom w:val="nil"/>
              <w:right w:val="nil"/>
            </w:tcBorders>
            <w:shd w:val="clear" w:color="auto" w:fill="auto"/>
            <w:noWrap/>
            <w:vAlign w:val="center"/>
            <w:hideMark/>
          </w:tcPr>
          <w:p w14:paraId="68421A05" w14:textId="77777777" w:rsidR="00BD7093" w:rsidRPr="00BD7093" w:rsidRDefault="00BD7093" w:rsidP="00BD7093">
            <w:pPr>
              <w:spacing w:after="0" w:line="240" w:lineRule="auto"/>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 xml:space="preserve">    Outras despesas financeiras</w:t>
            </w:r>
          </w:p>
        </w:tc>
        <w:tc>
          <w:tcPr>
            <w:tcW w:w="164" w:type="dxa"/>
            <w:tcBorders>
              <w:top w:val="nil"/>
              <w:left w:val="nil"/>
              <w:bottom w:val="nil"/>
              <w:right w:val="nil"/>
            </w:tcBorders>
            <w:shd w:val="clear" w:color="auto" w:fill="auto"/>
            <w:noWrap/>
            <w:vAlign w:val="bottom"/>
            <w:hideMark/>
          </w:tcPr>
          <w:p w14:paraId="4AED1DB6" w14:textId="77777777" w:rsidR="00BD7093" w:rsidRPr="00BD7093" w:rsidRDefault="00BD7093" w:rsidP="00BD7093">
            <w:pPr>
              <w:spacing w:after="0" w:line="240" w:lineRule="auto"/>
              <w:rPr>
                <w:rFonts w:ascii="Verdana" w:eastAsia="Times New Roman" w:hAnsi="Verdana" w:cs="Calibri"/>
                <w:color w:val="000000"/>
                <w:sz w:val="18"/>
                <w:szCs w:val="18"/>
                <w:lang w:eastAsia="pt-BR"/>
              </w:rPr>
            </w:pPr>
          </w:p>
        </w:tc>
        <w:tc>
          <w:tcPr>
            <w:tcW w:w="1384" w:type="dxa"/>
            <w:tcBorders>
              <w:top w:val="nil"/>
              <w:left w:val="nil"/>
              <w:bottom w:val="nil"/>
              <w:right w:val="nil"/>
            </w:tcBorders>
            <w:shd w:val="clear" w:color="auto" w:fill="auto"/>
            <w:noWrap/>
            <w:vAlign w:val="center"/>
            <w:hideMark/>
          </w:tcPr>
          <w:p w14:paraId="0599BE8A" w14:textId="3B934D2A"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(1)</w:t>
            </w:r>
          </w:p>
        </w:tc>
        <w:tc>
          <w:tcPr>
            <w:tcW w:w="174" w:type="dxa"/>
            <w:tcBorders>
              <w:top w:val="nil"/>
              <w:left w:val="nil"/>
              <w:bottom w:val="nil"/>
              <w:right w:val="nil"/>
            </w:tcBorders>
            <w:shd w:val="clear" w:color="auto" w:fill="auto"/>
            <w:noWrap/>
            <w:vAlign w:val="bottom"/>
            <w:hideMark/>
          </w:tcPr>
          <w:p w14:paraId="762F6B6D" w14:textId="77777777" w:rsidR="00BD7093" w:rsidRPr="00BD7093" w:rsidRDefault="00BD7093" w:rsidP="00BD7093">
            <w:pPr>
              <w:spacing w:after="0" w:line="240" w:lineRule="auto"/>
              <w:jc w:val="right"/>
              <w:rPr>
                <w:rFonts w:ascii="Verdana" w:eastAsia="Times New Roman" w:hAnsi="Verdana" w:cs="Calibri"/>
                <w:color w:val="000000"/>
                <w:sz w:val="18"/>
                <w:szCs w:val="18"/>
                <w:lang w:eastAsia="pt-BR"/>
              </w:rPr>
            </w:pPr>
          </w:p>
        </w:tc>
        <w:tc>
          <w:tcPr>
            <w:tcW w:w="1397" w:type="dxa"/>
            <w:tcBorders>
              <w:top w:val="nil"/>
              <w:left w:val="nil"/>
              <w:bottom w:val="nil"/>
              <w:right w:val="nil"/>
            </w:tcBorders>
            <w:shd w:val="clear" w:color="auto" w:fill="auto"/>
            <w:noWrap/>
            <w:vAlign w:val="center"/>
            <w:hideMark/>
          </w:tcPr>
          <w:p w14:paraId="143936C0" w14:textId="1F980BA0"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w:t>
            </w:r>
          </w:p>
        </w:tc>
        <w:tc>
          <w:tcPr>
            <w:tcW w:w="162" w:type="dxa"/>
            <w:tcBorders>
              <w:top w:val="nil"/>
              <w:left w:val="nil"/>
              <w:bottom w:val="nil"/>
              <w:right w:val="nil"/>
            </w:tcBorders>
            <w:shd w:val="clear" w:color="auto" w:fill="auto"/>
            <w:noWrap/>
            <w:vAlign w:val="bottom"/>
            <w:hideMark/>
          </w:tcPr>
          <w:p w14:paraId="71F62ADB" w14:textId="77777777" w:rsidR="00BD7093" w:rsidRPr="00BD7093" w:rsidRDefault="00BD7093" w:rsidP="00BD7093">
            <w:pPr>
              <w:spacing w:after="0" w:line="240" w:lineRule="auto"/>
              <w:jc w:val="right"/>
              <w:rPr>
                <w:rFonts w:ascii="Verdana" w:eastAsia="Times New Roman" w:hAnsi="Verdana" w:cs="Calibri"/>
                <w:color w:val="000000"/>
                <w:sz w:val="18"/>
                <w:szCs w:val="18"/>
                <w:lang w:eastAsia="pt-BR"/>
              </w:rPr>
            </w:pPr>
          </w:p>
        </w:tc>
        <w:tc>
          <w:tcPr>
            <w:tcW w:w="1273" w:type="dxa"/>
            <w:tcBorders>
              <w:top w:val="nil"/>
              <w:left w:val="nil"/>
              <w:bottom w:val="nil"/>
              <w:right w:val="nil"/>
            </w:tcBorders>
            <w:shd w:val="clear" w:color="auto" w:fill="auto"/>
            <w:noWrap/>
            <w:vAlign w:val="center"/>
            <w:hideMark/>
          </w:tcPr>
          <w:p w14:paraId="0BD6FBDD" w14:textId="0384E5EB"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(585)</w:t>
            </w:r>
          </w:p>
        </w:tc>
        <w:tc>
          <w:tcPr>
            <w:tcW w:w="174" w:type="dxa"/>
            <w:tcBorders>
              <w:top w:val="nil"/>
              <w:left w:val="nil"/>
              <w:bottom w:val="nil"/>
              <w:right w:val="nil"/>
            </w:tcBorders>
            <w:shd w:val="clear" w:color="auto" w:fill="auto"/>
            <w:noWrap/>
            <w:vAlign w:val="bottom"/>
            <w:hideMark/>
          </w:tcPr>
          <w:p w14:paraId="5188FAC4" w14:textId="77777777" w:rsidR="00BD7093" w:rsidRPr="00BD7093" w:rsidRDefault="00BD7093" w:rsidP="00BD7093">
            <w:pPr>
              <w:spacing w:after="0" w:line="240" w:lineRule="auto"/>
              <w:jc w:val="right"/>
              <w:rPr>
                <w:rFonts w:ascii="Verdana" w:eastAsia="Times New Roman" w:hAnsi="Verdana" w:cs="Calibri"/>
                <w:color w:val="000000"/>
                <w:sz w:val="18"/>
                <w:szCs w:val="18"/>
                <w:lang w:eastAsia="pt-BR"/>
              </w:rPr>
            </w:pPr>
          </w:p>
        </w:tc>
        <w:tc>
          <w:tcPr>
            <w:tcW w:w="1274" w:type="dxa"/>
            <w:tcBorders>
              <w:top w:val="nil"/>
              <w:left w:val="nil"/>
              <w:bottom w:val="nil"/>
              <w:right w:val="nil"/>
            </w:tcBorders>
            <w:shd w:val="clear" w:color="auto" w:fill="auto"/>
            <w:noWrap/>
            <w:vAlign w:val="center"/>
            <w:hideMark/>
          </w:tcPr>
          <w:p w14:paraId="0F0914DC" w14:textId="69BFC224"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(583)</w:t>
            </w:r>
          </w:p>
        </w:tc>
      </w:tr>
      <w:tr w:rsidR="00BD7093" w:rsidRPr="00BD7093" w14:paraId="57F1CAAD" w14:textId="77777777" w:rsidTr="003072B4">
        <w:trPr>
          <w:trHeight w:val="20"/>
        </w:trPr>
        <w:tc>
          <w:tcPr>
            <w:tcW w:w="4679" w:type="dxa"/>
            <w:tcBorders>
              <w:top w:val="nil"/>
              <w:left w:val="nil"/>
              <w:bottom w:val="nil"/>
              <w:right w:val="nil"/>
            </w:tcBorders>
            <w:shd w:val="clear" w:color="auto" w:fill="auto"/>
            <w:noWrap/>
            <w:vAlign w:val="center"/>
            <w:hideMark/>
          </w:tcPr>
          <w:p w14:paraId="33528730" w14:textId="77777777" w:rsidR="00BD7093" w:rsidRPr="00BD7093" w:rsidRDefault="00BD7093" w:rsidP="00BD7093">
            <w:pPr>
              <w:spacing w:after="0" w:line="240" w:lineRule="auto"/>
              <w:rPr>
                <w:rFonts w:ascii="Verdana" w:eastAsia="Times New Roman" w:hAnsi="Verdana" w:cs="Calibri"/>
                <w:color w:val="000000"/>
                <w:sz w:val="18"/>
                <w:szCs w:val="18"/>
                <w:lang w:eastAsia="pt-BR"/>
              </w:rPr>
            </w:pPr>
          </w:p>
        </w:tc>
        <w:tc>
          <w:tcPr>
            <w:tcW w:w="164" w:type="dxa"/>
            <w:tcBorders>
              <w:top w:val="nil"/>
              <w:left w:val="nil"/>
              <w:bottom w:val="nil"/>
              <w:right w:val="nil"/>
            </w:tcBorders>
            <w:shd w:val="clear" w:color="auto" w:fill="auto"/>
            <w:noWrap/>
            <w:vAlign w:val="center"/>
            <w:hideMark/>
          </w:tcPr>
          <w:p w14:paraId="00191562" w14:textId="77777777" w:rsidR="00BD7093" w:rsidRPr="00BD7093" w:rsidRDefault="00BD7093" w:rsidP="00BD7093">
            <w:pPr>
              <w:spacing w:after="0" w:line="240" w:lineRule="auto"/>
              <w:rPr>
                <w:rFonts w:ascii="Times New Roman" w:eastAsia="Times New Roman" w:hAnsi="Times New Roman" w:cs="Times New Roman"/>
                <w:sz w:val="20"/>
                <w:szCs w:val="20"/>
                <w:lang w:eastAsia="pt-BR"/>
              </w:rPr>
            </w:pPr>
          </w:p>
        </w:tc>
        <w:tc>
          <w:tcPr>
            <w:tcW w:w="1384" w:type="dxa"/>
            <w:tcBorders>
              <w:top w:val="single" w:sz="8" w:space="0" w:color="auto"/>
              <w:left w:val="nil"/>
              <w:bottom w:val="nil"/>
              <w:right w:val="nil"/>
            </w:tcBorders>
            <w:shd w:val="clear" w:color="auto" w:fill="auto"/>
            <w:noWrap/>
            <w:vAlign w:val="center"/>
            <w:hideMark/>
          </w:tcPr>
          <w:p w14:paraId="5D55F504" w14:textId="35760351"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(2.169)</w:t>
            </w:r>
          </w:p>
        </w:tc>
        <w:tc>
          <w:tcPr>
            <w:tcW w:w="174" w:type="dxa"/>
            <w:tcBorders>
              <w:top w:val="nil"/>
              <w:left w:val="nil"/>
              <w:bottom w:val="nil"/>
              <w:right w:val="nil"/>
            </w:tcBorders>
            <w:shd w:val="clear" w:color="auto" w:fill="auto"/>
            <w:noWrap/>
            <w:vAlign w:val="center"/>
            <w:hideMark/>
          </w:tcPr>
          <w:p w14:paraId="45A57EEF" w14:textId="77777777" w:rsidR="00BD7093" w:rsidRPr="00BD7093" w:rsidRDefault="00BD7093" w:rsidP="00BD7093">
            <w:pPr>
              <w:spacing w:after="0" w:line="240" w:lineRule="auto"/>
              <w:jc w:val="right"/>
              <w:rPr>
                <w:rFonts w:ascii="Verdana" w:eastAsia="Times New Roman" w:hAnsi="Verdana" w:cs="Calibri"/>
                <w:color w:val="000000"/>
                <w:sz w:val="18"/>
                <w:szCs w:val="18"/>
                <w:lang w:eastAsia="pt-BR"/>
              </w:rPr>
            </w:pPr>
          </w:p>
        </w:tc>
        <w:tc>
          <w:tcPr>
            <w:tcW w:w="1397" w:type="dxa"/>
            <w:tcBorders>
              <w:top w:val="single" w:sz="8" w:space="0" w:color="auto"/>
              <w:left w:val="nil"/>
              <w:bottom w:val="nil"/>
              <w:right w:val="nil"/>
            </w:tcBorders>
            <w:shd w:val="clear" w:color="auto" w:fill="auto"/>
            <w:noWrap/>
            <w:vAlign w:val="center"/>
            <w:hideMark/>
          </w:tcPr>
          <w:p w14:paraId="79036E30" w14:textId="305EE46A"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(2.161)</w:t>
            </w:r>
          </w:p>
        </w:tc>
        <w:tc>
          <w:tcPr>
            <w:tcW w:w="162" w:type="dxa"/>
            <w:tcBorders>
              <w:top w:val="nil"/>
              <w:left w:val="nil"/>
              <w:bottom w:val="nil"/>
              <w:right w:val="nil"/>
            </w:tcBorders>
            <w:shd w:val="clear" w:color="auto" w:fill="auto"/>
            <w:noWrap/>
            <w:vAlign w:val="bottom"/>
            <w:hideMark/>
          </w:tcPr>
          <w:p w14:paraId="13A71FB3" w14:textId="77777777" w:rsidR="00BD7093" w:rsidRPr="00BD7093" w:rsidRDefault="00BD7093" w:rsidP="00BD7093">
            <w:pPr>
              <w:spacing w:after="0" w:line="240" w:lineRule="auto"/>
              <w:jc w:val="right"/>
              <w:rPr>
                <w:rFonts w:ascii="Verdana" w:eastAsia="Times New Roman" w:hAnsi="Verdana" w:cs="Calibri"/>
                <w:color w:val="000000"/>
                <w:sz w:val="18"/>
                <w:szCs w:val="18"/>
                <w:lang w:eastAsia="pt-BR"/>
              </w:rPr>
            </w:pPr>
          </w:p>
        </w:tc>
        <w:tc>
          <w:tcPr>
            <w:tcW w:w="1273" w:type="dxa"/>
            <w:tcBorders>
              <w:top w:val="single" w:sz="8" w:space="0" w:color="auto"/>
              <w:left w:val="nil"/>
              <w:bottom w:val="nil"/>
              <w:right w:val="nil"/>
            </w:tcBorders>
            <w:shd w:val="clear" w:color="auto" w:fill="auto"/>
            <w:noWrap/>
            <w:vAlign w:val="center"/>
            <w:hideMark/>
          </w:tcPr>
          <w:p w14:paraId="0D77DE09" w14:textId="5497FBDC"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(80.153)</w:t>
            </w:r>
          </w:p>
        </w:tc>
        <w:tc>
          <w:tcPr>
            <w:tcW w:w="174" w:type="dxa"/>
            <w:tcBorders>
              <w:top w:val="nil"/>
              <w:left w:val="nil"/>
              <w:bottom w:val="nil"/>
              <w:right w:val="nil"/>
            </w:tcBorders>
            <w:shd w:val="clear" w:color="auto" w:fill="auto"/>
            <w:noWrap/>
            <w:vAlign w:val="bottom"/>
            <w:hideMark/>
          </w:tcPr>
          <w:p w14:paraId="4A8DC819" w14:textId="77777777" w:rsidR="00BD7093" w:rsidRPr="00BD7093" w:rsidRDefault="00BD7093" w:rsidP="00BD7093">
            <w:pPr>
              <w:spacing w:after="0" w:line="240" w:lineRule="auto"/>
              <w:jc w:val="right"/>
              <w:rPr>
                <w:rFonts w:ascii="Verdana" w:eastAsia="Times New Roman" w:hAnsi="Verdana" w:cs="Calibri"/>
                <w:color w:val="000000"/>
                <w:sz w:val="18"/>
                <w:szCs w:val="18"/>
                <w:lang w:eastAsia="pt-BR"/>
              </w:rPr>
            </w:pPr>
          </w:p>
        </w:tc>
        <w:tc>
          <w:tcPr>
            <w:tcW w:w="1274" w:type="dxa"/>
            <w:tcBorders>
              <w:top w:val="single" w:sz="8" w:space="0" w:color="auto"/>
              <w:left w:val="nil"/>
              <w:bottom w:val="nil"/>
              <w:right w:val="nil"/>
            </w:tcBorders>
            <w:shd w:val="clear" w:color="auto" w:fill="auto"/>
            <w:noWrap/>
            <w:vAlign w:val="center"/>
            <w:hideMark/>
          </w:tcPr>
          <w:p w14:paraId="3C425634" w14:textId="38B4DB68"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(80.145)</w:t>
            </w:r>
          </w:p>
        </w:tc>
      </w:tr>
      <w:tr w:rsidR="00BD7093" w:rsidRPr="00BD7093" w14:paraId="556125C0" w14:textId="77777777" w:rsidTr="003072B4">
        <w:trPr>
          <w:trHeight w:val="20"/>
        </w:trPr>
        <w:tc>
          <w:tcPr>
            <w:tcW w:w="4679" w:type="dxa"/>
            <w:tcBorders>
              <w:top w:val="nil"/>
              <w:left w:val="nil"/>
              <w:bottom w:val="nil"/>
              <w:right w:val="nil"/>
            </w:tcBorders>
            <w:shd w:val="clear" w:color="auto" w:fill="auto"/>
            <w:noWrap/>
            <w:vAlign w:val="center"/>
            <w:hideMark/>
          </w:tcPr>
          <w:p w14:paraId="71F93B1E" w14:textId="77777777" w:rsidR="00BD7093" w:rsidRPr="00BD7093" w:rsidRDefault="00BD7093" w:rsidP="00BD7093">
            <w:pPr>
              <w:spacing w:after="0" w:line="240" w:lineRule="auto"/>
              <w:rPr>
                <w:rFonts w:ascii="Verdana" w:eastAsia="Times New Roman" w:hAnsi="Verdana" w:cs="Calibri"/>
                <w:b/>
                <w:bCs/>
                <w:color w:val="000000"/>
                <w:sz w:val="18"/>
                <w:szCs w:val="18"/>
                <w:lang w:eastAsia="pt-BR"/>
              </w:rPr>
            </w:pPr>
            <w:r w:rsidRPr="00BD7093">
              <w:rPr>
                <w:rFonts w:ascii="Verdana" w:eastAsia="Times New Roman" w:hAnsi="Verdana" w:cs="Calibri"/>
                <w:b/>
                <w:bCs/>
                <w:color w:val="000000"/>
                <w:sz w:val="18"/>
                <w:szCs w:val="18"/>
                <w:lang w:eastAsia="pt-BR"/>
              </w:rPr>
              <w:t xml:space="preserve">   Itens financeiros líquidos</w:t>
            </w:r>
          </w:p>
        </w:tc>
        <w:tc>
          <w:tcPr>
            <w:tcW w:w="164" w:type="dxa"/>
            <w:tcBorders>
              <w:top w:val="nil"/>
              <w:left w:val="nil"/>
              <w:bottom w:val="nil"/>
              <w:right w:val="nil"/>
            </w:tcBorders>
            <w:shd w:val="clear" w:color="auto" w:fill="auto"/>
            <w:noWrap/>
            <w:vAlign w:val="bottom"/>
            <w:hideMark/>
          </w:tcPr>
          <w:p w14:paraId="015DD9CD" w14:textId="77777777" w:rsidR="00BD7093" w:rsidRPr="00BD7093" w:rsidRDefault="00BD7093" w:rsidP="00BD7093">
            <w:pPr>
              <w:spacing w:after="0" w:line="240" w:lineRule="auto"/>
              <w:rPr>
                <w:rFonts w:ascii="Verdana" w:eastAsia="Times New Roman" w:hAnsi="Verdana" w:cs="Calibri"/>
                <w:b/>
                <w:bCs/>
                <w:color w:val="000000"/>
                <w:sz w:val="18"/>
                <w:szCs w:val="18"/>
                <w:lang w:eastAsia="pt-BR"/>
              </w:rPr>
            </w:pPr>
          </w:p>
        </w:tc>
        <w:tc>
          <w:tcPr>
            <w:tcW w:w="1384" w:type="dxa"/>
            <w:tcBorders>
              <w:top w:val="nil"/>
              <w:left w:val="nil"/>
              <w:bottom w:val="nil"/>
              <w:right w:val="nil"/>
            </w:tcBorders>
            <w:shd w:val="clear" w:color="auto" w:fill="auto"/>
            <w:noWrap/>
            <w:vAlign w:val="bottom"/>
            <w:hideMark/>
          </w:tcPr>
          <w:p w14:paraId="0879302B" w14:textId="77777777" w:rsidR="00BD7093" w:rsidRPr="00BD7093" w:rsidRDefault="00BD7093" w:rsidP="00BD7093">
            <w:pPr>
              <w:spacing w:after="0" w:line="240" w:lineRule="auto"/>
              <w:jc w:val="right"/>
              <w:rPr>
                <w:rFonts w:ascii="Times New Roman" w:eastAsia="Times New Roman" w:hAnsi="Times New Roman" w:cs="Times New Roman"/>
                <w:sz w:val="20"/>
                <w:szCs w:val="20"/>
                <w:lang w:eastAsia="pt-BR"/>
              </w:rPr>
            </w:pPr>
          </w:p>
        </w:tc>
        <w:tc>
          <w:tcPr>
            <w:tcW w:w="174" w:type="dxa"/>
            <w:tcBorders>
              <w:top w:val="nil"/>
              <w:left w:val="nil"/>
              <w:bottom w:val="nil"/>
              <w:right w:val="nil"/>
            </w:tcBorders>
            <w:shd w:val="clear" w:color="auto" w:fill="auto"/>
            <w:noWrap/>
            <w:vAlign w:val="bottom"/>
            <w:hideMark/>
          </w:tcPr>
          <w:p w14:paraId="2C3998EC" w14:textId="77777777" w:rsidR="00BD7093" w:rsidRPr="00BD7093" w:rsidRDefault="00BD7093" w:rsidP="00BD7093">
            <w:pPr>
              <w:spacing w:after="0" w:line="240" w:lineRule="auto"/>
              <w:jc w:val="right"/>
              <w:rPr>
                <w:rFonts w:ascii="Times New Roman" w:eastAsia="Times New Roman" w:hAnsi="Times New Roman" w:cs="Times New Roman"/>
                <w:sz w:val="20"/>
                <w:szCs w:val="20"/>
                <w:lang w:eastAsia="pt-BR"/>
              </w:rPr>
            </w:pPr>
          </w:p>
        </w:tc>
        <w:tc>
          <w:tcPr>
            <w:tcW w:w="1397" w:type="dxa"/>
            <w:tcBorders>
              <w:top w:val="nil"/>
              <w:left w:val="nil"/>
              <w:bottom w:val="nil"/>
              <w:right w:val="nil"/>
            </w:tcBorders>
            <w:shd w:val="clear" w:color="auto" w:fill="auto"/>
            <w:noWrap/>
            <w:vAlign w:val="bottom"/>
            <w:hideMark/>
          </w:tcPr>
          <w:p w14:paraId="38AC56A9" w14:textId="77777777" w:rsidR="00BD7093" w:rsidRPr="00BD7093" w:rsidRDefault="00BD7093" w:rsidP="00BD7093">
            <w:pPr>
              <w:spacing w:after="0" w:line="240" w:lineRule="auto"/>
              <w:jc w:val="right"/>
              <w:rPr>
                <w:rFonts w:ascii="Times New Roman" w:eastAsia="Times New Roman" w:hAnsi="Times New Roman" w:cs="Times New Roman"/>
                <w:sz w:val="20"/>
                <w:szCs w:val="20"/>
                <w:lang w:eastAsia="pt-BR"/>
              </w:rPr>
            </w:pPr>
          </w:p>
        </w:tc>
        <w:tc>
          <w:tcPr>
            <w:tcW w:w="162" w:type="dxa"/>
            <w:tcBorders>
              <w:top w:val="nil"/>
              <w:left w:val="nil"/>
              <w:bottom w:val="nil"/>
              <w:right w:val="nil"/>
            </w:tcBorders>
            <w:shd w:val="clear" w:color="auto" w:fill="auto"/>
            <w:noWrap/>
            <w:vAlign w:val="bottom"/>
            <w:hideMark/>
          </w:tcPr>
          <w:p w14:paraId="46856713" w14:textId="77777777" w:rsidR="00BD7093" w:rsidRPr="00BD7093" w:rsidRDefault="00BD7093" w:rsidP="00BD7093">
            <w:pPr>
              <w:spacing w:after="0" w:line="240" w:lineRule="auto"/>
              <w:jc w:val="right"/>
              <w:rPr>
                <w:rFonts w:ascii="Times New Roman" w:eastAsia="Times New Roman" w:hAnsi="Times New Roman" w:cs="Times New Roman"/>
                <w:sz w:val="20"/>
                <w:szCs w:val="20"/>
                <w:lang w:eastAsia="pt-BR"/>
              </w:rPr>
            </w:pPr>
          </w:p>
        </w:tc>
        <w:tc>
          <w:tcPr>
            <w:tcW w:w="1273" w:type="dxa"/>
            <w:tcBorders>
              <w:top w:val="nil"/>
              <w:left w:val="nil"/>
              <w:bottom w:val="nil"/>
              <w:right w:val="nil"/>
            </w:tcBorders>
            <w:shd w:val="clear" w:color="auto" w:fill="auto"/>
            <w:noWrap/>
            <w:vAlign w:val="bottom"/>
            <w:hideMark/>
          </w:tcPr>
          <w:p w14:paraId="06D0259D" w14:textId="77777777" w:rsidR="00BD7093" w:rsidRPr="00BD7093" w:rsidRDefault="00BD7093" w:rsidP="00BD7093">
            <w:pPr>
              <w:spacing w:after="0" w:line="240" w:lineRule="auto"/>
              <w:jc w:val="right"/>
              <w:rPr>
                <w:rFonts w:ascii="Times New Roman" w:eastAsia="Times New Roman" w:hAnsi="Times New Roman" w:cs="Times New Roman"/>
                <w:sz w:val="20"/>
                <w:szCs w:val="20"/>
                <w:lang w:eastAsia="pt-BR"/>
              </w:rPr>
            </w:pPr>
          </w:p>
        </w:tc>
        <w:tc>
          <w:tcPr>
            <w:tcW w:w="174" w:type="dxa"/>
            <w:tcBorders>
              <w:top w:val="nil"/>
              <w:left w:val="nil"/>
              <w:bottom w:val="nil"/>
              <w:right w:val="nil"/>
            </w:tcBorders>
            <w:shd w:val="clear" w:color="auto" w:fill="auto"/>
            <w:noWrap/>
            <w:vAlign w:val="bottom"/>
            <w:hideMark/>
          </w:tcPr>
          <w:p w14:paraId="7A3FA61D" w14:textId="77777777" w:rsidR="00BD7093" w:rsidRPr="00BD7093" w:rsidRDefault="00BD7093" w:rsidP="00BD7093">
            <w:pPr>
              <w:spacing w:after="0" w:line="240" w:lineRule="auto"/>
              <w:jc w:val="right"/>
              <w:rPr>
                <w:rFonts w:ascii="Times New Roman" w:eastAsia="Times New Roman" w:hAnsi="Times New Roman" w:cs="Times New Roman"/>
                <w:sz w:val="20"/>
                <w:szCs w:val="20"/>
                <w:lang w:eastAsia="pt-BR"/>
              </w:rPr>
            </w:pPr>
          </w:p>
        </w:tc>
        <w:tc>
          <w:tcPr>
            <w:tcW w:w="1274" w:type="dxa"/>
            <w:tcBorders>
              <w:top w:val="nil"/>
              <w:left w:val="nil"/>
              <w:bottom w:val="nil"/>
              <w:right w:val="nil"/>
            </w:tcBorders>
            <w:shd w:val="clear" w:color="auto" w:fill="auto"/>
            <w:noWrap/>
            <w:vAlign w:val="bottom"/>
            <w:hideMark/>
          </w:tcPr>
          <w:p w14:paraId="76D49B92" w14:textId="77777777" w:rsidR="00BD7093" w:rsidRPr="00BD7093" w:rsidRDefault="00BD7093" w:rsidP="00BD7093">
            <w:pPr>
              <w:spacing w:after="0" w:line="240" w:lineRule="auto"/>
              <w:jc w:val="right"/>
              <w:rPr>
                <w:rFonts w:ascii="Times New Roman" w:eastAsia="Times New Roman" w:hAnsi="Times New Roman" w:cs="Times New Roman"/>
                <w:sz w:val="20"/>
                <w:szCs w:val="20"/>
                <w:lang w:eastAsia="pt-BR"/>
              </w:rPr>
            </w:pPr>
          </w:p>
        </w:tc>
      </w:tr>
      <w:tr w:rsidR="00BD7093" w:rsidRPr="00BD7093" w14:paraId="3B2877C6" w14:textId="77777777" w:rsidTr="003072B4">
        <w:trPr>
          <w:trHeight w:val="20"/>
        </w:trPr>
        <w:tc>
          <w:tcPr>
            <w:tcW w:w="4679" w:type="dxa"/>
            <w:tcBorders>
              <w:top w:val="nil"/>
              <w:left w:val="nil"/>
              <w:bottom w:val="nil"/>
              <w:right w:val="nil"/>
            </w:tcBorders>
            <w:shd w:val="clear" w:color="auto" w:fill="auto"/>
            <w:noWrap/>
            <w:vAlign w:val="center"/>
            <w:hideMark/>
          </w:tcPr>
          <w:p w14:paraId="0AF21E61" w14:textId="77777777" w:rsidR="00BD7093" w:rsidRPr="00BD7093" w:rsidRDefault="00BD7093" w:rsidP="00BD7093">
            <w:pPr>
              <w:spacing w:after="0" w:line="240" w:lineRule="auto"/>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 xml:space="preserve">    Variações cambiais</w:t>
            </w:r>
          </w:p>
        </w:tc>
        <w:tc>
          <w:tcPr>
            <w:tcW w:w="164" w:type="dxa"/>
            <w:tcBorders>
              <w:top w:val="nil"/>
              <w:left w:val="nil"/>
              <w:bottom w:val="nil"/>
              <w:right w:val="nil"/>
            </w:tcBorders>
            <w:shd w:val="clear" w:color="auto" w:fill="auto"/>
            <w:noWrap/>
            <w:vAlign w:val="center"/>
            <w:hideMark/>
          </w:tcPr>
          <w:p w14:paraId="05842ABC" w14:textId="77777777" w:rsidR="00BD7093" w:rsidRPr="00BD7093" w:rsidRDefault="00BD7093" w:rsidP="00BD7093">
            <w:pPr>
              <w:spacing w:after="0" w:line="240" w:lineRule="auto"/>
              <w:rPr>
                <w:rFonts w:ascii="Verdana" w:eastAsia="Times New Roman" w:hAnsi="Verdana" w:cs="Calibri"/>
                <w:color w:val="000000"/>
                <w:sz w:val="18"/>
                <w:szCs w:val="18"/>
                <w:lang w:eastAsia="pt-BR"/>
              </w:rPr>
            </w:pPr>
          </w:p>
        </w:tc>
        <w:tc>
          <w:tcPr>
            <w:tcW w:w="1384" w:type="dxa"/>
            <w:tcBorders>
              <w:top w:val="nil"/>
              <w:left w:val="nil"/>
              <w:bottom w:val="nil"/>
              <w:right w:val="nil"/>
            </w:tcBorders>
            <w:shd w:val="clear" w:color="auto" w:fill="auto"/>
            <w:noWrap/>
            <w:vAlign w:val="center"/>
            <w:hideMark/>
          </w:tcPr>
          <w:p w14:paraId="3A682A51" w14:textId="0444865F"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(31.667)</w:t>
            </w:r>
          </w:p>
        </w:tc>
        <w:tc>
          <w:tcPr>
            <w:tcW w:w="174" w:type="dxa"/>
            <w:tcBorders>
              <w:top w:val="nil"/>
              <w:left w:val="nil"/>
              <w:bottom w:val="nil"/>
              <w:right w:val="nil"/>
            </w:tcBorders>
            <w:shd w:val="clear" w:color="auto" w:fill="auto"/>
            <w:noWrap/>
            <w:vAlign w:val="center"/>
            <w:hideMark/>
          </w:tcPr>
          <w:p w14:paraId="492C2BDC" w14:textId="77777777" w:rsidR="00BD7093" w:rsidRPr="00BD7093" w:rsidRDefault="00BD7093" w:rsidP="00BD7093">
            <w:pPr>
              <w:spacing w:after="0" w:line="240" w:lineRule="auto"/>
              <w:jc w:val="right"/>
              <w:rPr>
                <w:rFonts w:ascii="Verdana" w:eastAsia="Times New Roman" w:hAnsi="Verdana" w:cs="Calibri"/>
                <w:color w:val="000000"/>
                <w:sz w:val="18"/>
                <w:szCs w:val="18"/>
                <w:lang w:eastAsia="pt-BR"/>
              </w:rPr>
            </w:pPr>
          </w:p>
        </w:tc>
        <w:tc>
          <w:tcPr>
            <w:tcW w:w="1397" w:type="dxa"/>
            <w:tcBorders>
              <w:top w:val="nil"/>
              <w:left w:val="nil"/>
              <w:bottom w:val="nil"/>
              <w:right w:val="nil"/>
            </w:tcBorders>
            <w:shd w:val="clear" w:color="auto" w:fill="auto"/>
            <w:noWrap/>
            <w:vAlign w:val="center"/>
            <w:hideMark/>
          </w:tcPr>
          <w:p w14:paraId="3E9B66DF" w14:textId="0AC3E6BE"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(31.667)</w:t>
            </w:r>
          </w:p>
        </w:tc>
        <w:tc>
          <w:tcPr>
            <w:tcW w:w="162" w:type="dxa"/>
            <w:tcBorders>
              <w:top w:val="nil"/>
              <w:left w:val="nil"/>
              <w:bottom w:val="nil"/>
              <w:right w:val="nil"/>
            </w:tcBorders>
            <w:shd w:val="clear" w:color="auto" w:fill="auto"/>
            <w:noWrap/>
            <w:vAlign w:val="bottom"/>
            <w:hideMark/>
          </w:tcPr>
          <w:p w14:paraId="6AC64B95" w14:textId="77777777" w:rsidR="00BD7093" w:rsidRPr="00BD7093" w:rsidRDefault="00BD7093" w:rsidP="00BD7093">
            <w:pPr>
              <w:spacing w:after="0" w:line="240" w:lineRule="auto"/>
              <w:jc w:val="right"/>
              <w:rPr>
                <w:rFonts w:ascii="Verdana" w:eastAsia="Times New Roman" w:hAnsi="Verdana" w:cs="Calibri"/>
                <w:color w:val="000000"/>
                <w:sz w:val="18"/>
                <w:szCs w:val="18"/>
                <w:lang w:eastAsia="pt-BR"/>
              </w:rPr>
            </w:pPr>
          </w:p>
        </w:tc>
        <w:tc>
          <w:tcPr>
            <w:tcW w:w="1273" w:type="dxa"/>
            <w:tcBorders>
              <w:top w:val="nil"/>
              <w:left w:val="nil"/>
              <w:bottom w:val="nil"/>
              <w:right w:val="nil"/>
            </w:tcBorders>
            <w:shd w:val="clear" w:color="auto" w:fill="auto"/>
            <w:noWrap/>
            <w:vAlign w:val="center"/>
            <w:hideMark/>
          </w:tcPr>
          <w:p w14:paraId="544E7369" w14:textId="5B8768C9"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(57.842)</w:t>
            </w:r>
          </w:p>
        </w:tc>
        <w:tc>
          <w:tcPr>
            <w:tcW w:w="174" w:type="dxa"/>
            <w:tcBorders>
              <w:top w:val="nil"/>
              <w:left w:val="nil"/>
              <w:bottom w:val="nil"/>
              <w:right w:val="nil"/>
            </w:tcBorders>
            <w:shd w:val="clear" w:color="auto" w:fill="auto"/>
            <w:noWrap/>
            <w:vAlign w:val="bottom"/>
            <w:hideMark/>
          </w:tcPr>
          <w:p w14:paraId="60AE6CB8" w14:textId="77777777" w:rsidR="00BD7093" w:rsidRPr="00BD7093" w:rsidRDefault="00BD7093" w:rsidP="00BD7093">
            <w:pPr>
              <w:spacing w:after="0" w:line="240" w:lineRule="auto"/>
              <w:jc w:val="right"/>
              <w:rPr>
                <w:rFonts w:ascii="Verdana" w:eastAsia="Times New Roman" w:hAnsi="Verdana" w:cs="Calibri"/>
                <w:color w:val="000000"/>
                <w:sz w:val="18"/>
                <w:szCs w:val="18"/>
                <w:lang w:eastAsia="pt-BR"/>
              </w:rPr>
            </w:pPr>
          </w:p>
        </w:tc>
        <w:tc>
          <w:tcPr>
            <w:tcW w:w="1274" w:type="dxa"/>
            <w:tcBorders>
              <w:top w:val="nil"/>
              <w:left w:val="nil"/>
              <w:bottom w:val="nil"/>
              <w:right w:val="nil"/>
            </w:tcBorders>
            <w:shd w:val="clear" w:color="auto" w:fill="auto"/>
            <w:noWrap/>
            <w:vAlign w:val="center"/>
            <w:hideMark/>
          </w:tcPr>
          <w:p w14:paraId="1E8DA610" w14:textId="26E648C3" w:rsidR="00BD7093" w:rsidRPr="00BD7093" w:rsidRDefault="00BD7093" w:rsidP="00BD7093">
            <w:pPr>
              <w:spacing w:after="0" w:line="240" w:lineRule="auto"/>
              <w:jc w:val="right"/>
              <w:rPr>
                <w:rFonts w:ascii="Verdana" w:eastAsia="Times New Roman" w:hAnsi="Verdana" w:cs="Calibri"/>
                <w:color w:val="000000"/>
                <w:sz w:val="18"/>
                <w:szCs w:val="18"/>
                <w:lang w:eastAsia="pt-BR"/>
              </w:rPr>
            </w:pPr>
            <w:r w:rsidRPr="00BD7093">
              <w:rPr>
                <w:rFonts w:ascii="Verdana" w:eastAsia="Times New Roman" w:hAnsi="Verdana" w:cs="Calibri"/>
                <w:color w:val="000000"/>
                <w:sz w:val="18"/>
                <w:szCs w:val="18"/>
                <w:lang w:eastAsia="pt-BR"/>
              </w:rPr>
              <w:t>(57.842)</w:t>
            </w:r>
          </w:p>
        </w:tc>
      </w:tr>
      <w:tr w:rsidR="00BD7093" w:rsidRPr="00BD7093" w14:paraId="2CB7A672" w14:textId="77777777" w:rsidTr="003072B4">
        <w:trPr>
          <w:trHeight w:val="20"/>
        </w:trPr>
        <w:tc>
          <w:tcPr>
            <w:tcW w:w="4679" w:type="dxa"/>
            <w:tcBorders>
              <w:top w:val="nil"/>
              <w:left w:val="nil"/>
              <w:bottom w:val="nil"/>
              <w:right w:val="nil"/>
            </w:tcBorders>
            <w:shd w:val="clear" w:color="auto" w:fill="auto"/>
            <w:noWrap/>
            <w:vAlign w:val="bottom"/>
            <w:hideMark/>
          </w:tcPr>
          <w:p w14:paraId="1A87B71B" w14:textId="77777777" w:rsidR="00BD7093" w:rsidRPr="00BD7093" w:rsidRDefault="00BD7093" w:rsidP="00BD7093">
            <w:pPr>
              <w:spacing w:after="0" w:line="240" w:lineRule="auto"/>
              <w:rPr>
                <w:rFonts w:ascii="Verdana" w:eastAsia="Times New Roman" w:hAnsi="Verdana" w:cs="Calibri"/>
                <w:color w:val="000000"/>
                <w:sz w:val="18"/>
                <w:szCs w:val="18"/>
                <w:lang w:eastAsia="pt-BR"/>
              </w:rPr>
            </w:pPr>
          </w:p>
        </w:tc>
        <w:tc>
          <w:tcPr>
            <w:tcW w:w="164" w:type="dxa"/>
            <w:tcBorders>
              <w:top w:val="nil"/>
              <w:left w:val="nil"/>
              <w:bottom w:val="nil"/>
              <w:right w:val="nil"/>
            </w:tcBorders>
            <w:shd w:val="clear" w:color="auto" w:fill="auto"/>
            <w:noWrap/>
            <w:vAlign w:val="bottom"/>
            <w:hideMark/>
          </w:tcPr>
          <w:p w14:paraId="638847EB" w14:textId="77777777" w:rsidR="00BD7093" w:rsidRPr="00BD7093" w:rsidRDefault="00BD7093" w:rsidP="00BD7093">
            <w:pPr>
              <w:spacing w:after="0" w:line="240" w:lineRule="auto"/>
              <w:rPr>
                <w:rFonts w:ascii="Times New Roman" w:eastAsia="Times New Roman" w:hAnsi="Times New Roman" w:cs="Times New Roman"/>
                <w:sz w:val="20"/>
                <w:szCs w:val="20"/>
                <w:lang w:eastAsia="pt-BR"/>
              </w:rPr>
            </w:pPr>
          </w:p>
        </w:tc>
        <w:tc>
          <w:tcPr>
            <w:tcW w:w="1384" w:type="dxa"/>
            <w:tcBorders>
              <w:top w:val="nil"/>
              <w:left w:val="nil"/>
              <w:bottom w:val="nil"/>
              <w:right w:val="nil"/>
            </w:tcBorders>
            <w:shd w:val="clear" w:color="auto" w:fill="auto"/>
            <w:noWrap/>
            <w:vAlign w:val="bottom"/>
            <w:hideMark/>
          </w:tcPr>
          <w:p w14:paraId="7E3BFCA7" w14:textId="77777777" w:rsidR="00BD7093" w:rsidRPr="00BD7093" w:rsidRDefault="00BD7093" w:rsidP="00BD7093">
            <w:pPr>
              <w:spacing w:after="0" w:line="240" w:lineRule="auto"/>
              <w:jc w:val="right"/>
              <w:rPr>
                <w:rFonts w:ascii="Times New Roman" w:eastAsia="Times New Roman" w:hAnsi="Times New Roman" w:cs="Times New Roman"/>
                <w:sz w:val="20"/>
                <w:szCs w:val="20"/>
                <w:lang w:eastAsia="pt-BR"/>
              </w:rPr>
            </w:pPr>
          </w:p>
        </w:tc>
        <w:tc>
          <w:tcPr>
            <w:tcW w:w="174" w:type="dxa"/>
            <w:tcBorders>
              <w:top w:val="nil"/>
              <w:left w:val="nil"/>
              <w:bottom w:val="nil"/>
              <w:right w:val="nil"/>
            </w:tcBorders>
            <w:shd w:val="clear" w:color="auto" w:fill="auto"/>
            <w:noWrap/>
            <w:vAlign w:val="bottom"/>
            <w:hideMark/>
          </w:tcPr>
          <w:p w14:paraId="5E587D4A" w14:textId="77777777" w:rsidR="00BD7093" w:rsidRPr="00BD7093" w:rsidRDefault="00BD7093" w:rsidP="00BD7093">
            <w:pPr>
              <w:spacing w:after="0" w:line="240" w:lineRule="auto"/>
              <w:jc w:val="right"/>
              <w:rPr>
                <w:rFonts w:ascii="Times New Roman" w:eastAsia="Times New Roman" w:hAnsi="Times New Roman" w:cs="Times New Roman"/>
                <w:sz w:val="20"/>
                <w:szCs w:val="20"/>
                <w:lang w:eastAsia="pt-BR"/>
              </w:rPr>
            </w:pPr>
          </w:p>
        </w:tc>
        <w:tc>
          <w:tcPr>
            <w:tcW w:w="1397" w:type="dxa"/>
            <w:tcBorders>
              <w:top w:val="nil"/>
              <w:left w:val="nil"/>
              <w:bottom w:val="nil"/>
              <w:right w:val="nil"/>
            </w:tcBorders>
            <w:shd w:val="clear" w:color="auto" w:fill="auto"/>
            <w:noWrap/>
            <w:vAlign w:val="bottom"/>
            <w:hideMark/>
          </w:tcPr>
          <w:p w14:paraId="03CB6C02" w14:textId="77777777" w:rsidR="00BD7093" w:rsidRPr="00BD7093" w:rsidRDefault="00BD7093" w:rsidP="00BD7093">
            <w:pPr>
              <w:spacing w:after="0" w:line="240" w:lineRule="auto"/>
              <w:jc w:val="right"/>
              <w:rPr>
                <w:rFonts w:ascii="Times New Roman" w:eastAsia="Times New Roman" w:hAnsi="Times New Roman" w:cs="Times New Roman"/>
                <w:sz w:val="20"/>
                <w:szCs w:val="20"/>
                <w:lang w:eastAsia="pt-BR"/>
              </w:rPr>
            </w:pPr>
          </w:p>
        </w:tc>
        <w:tc>
          <w:tcPr>
            <w:tcW w:w="162" w:type="dxa"/>
            <w:tcBorders>
              <w:top w:val="nil"/>
              <w:left w:val="nil"/>
              <w:bottom w:val="nil"/>
              <w:right w:val="nil"/>
            </w:tcBorders>
            <w:shd w:val="clear" w:color="auto" w:fill="auto"/>
            <w:noWrap/>
            <w:vAlign w:val="bottom"/>
            <w:hideMark/>
          </w:tcPr>
          <w:p w14:paraId="2DFB4053" w14:textId="77777777" w:rsidR="00BD7093" w:rsidRPr="00BD7093" w:rsidRDefault="00BD7093" w:rsidP="00BD7093">
            <w:pPr>
              <w:spacing w:after="0" w:line="240" w:lineRule="auto"/>
              <w:jc w:val="right"/>
              <w:rPr>
                <w:rFonts w:ascii="Times New Roman" w:eastAsia="Times New Roman" w:hAnsi="Times New Roman" w:cs="Times New Roman"/>
                <w:sz w:val="20"/>
                <w:szCs w:val="20"/>
                <w:lang w:eastAsia="pt-BR"/>
              </w:rPr>
            </w:pPr>
          </w:p>
        </w:tc>
        <w:tc>
          <w:tcPr>
            <w:tcW w:w="1273" w:type="dxa"/>
            <w:tcBorders>
              <w:top w:val="nil"/>
              <w:left w:val="nil"/>
              <w:bottom w:val="nil"/>
              <w:right w:val="nil"/>
            </w:tcBorders>
            <w:shd w:val="clear" w:color="auto" w:fill="auto"/>
            <w:noWrap/>
            <w:vAlign w:val="bottom"/>
            <w:hideMark/>
          </w:tcPr>
          <w:p w14:paraId="1ADF8174" w14:textId="77777777" w:rsidR="00BD7093" w:rsidRPr="00BD7093" w:rsidRDefault="00BD7093" w:rsidP="00BD7093">
            <w:pPr>
              <w:spacing w:after="0" w:line="240" w:lineRule="auto"/>
              <w:jc w:val="right"/>
              <w:rPr>
                <w:rFonts w:ascii="Times New Roman" w:eastAsia="Times New Roman" w:hAnsi="Times New Roman" w:cs="Times New Roman"/>
                <w:sz w:val="20"/>
                <w:szCs w:val="20"/>
                <w:lang w:eastAsia="pt-BR"/>
              </w:rPr>
            </w:pPr>
          </w:p>
        </w:tc>
        <w:tc>
          <w:tcPr>
            <w:tcW w:w="174" w:type="dxa"/>
            <w:tcBorders>
              <w:top w:val="nil"/>
              <w:left w:val="nil"/>
              <w:bottom w:val="nil"/>
              <w:right w:val="nil"/>
            </w:tcBorders>
            <w:shd w:val="clear" w:color="auto" w:fill="auto"/>
            <w:noWrap/>
            <w:vAlign w:val="bottom"/>
            <w:hideMark/>
          </w:tcPr>
          <w:p w14:paraId="0B75F5B1" w14:textId="77777777" w:rsidR="00BD7093" w:rsidRPr="00BD7093" w:rsidRDefault="00BD7093" w:rsidP="00BD7093">
            <w:pPr>
              <w:spacing w:after="0" w:line="240" w:lineRule="auto"/>
              <w:jc w:val="right"/>
              <w:rPr>
                <w:rFonts w:ascii="Times New Roman" w:eastAsia="Times New Roman" w:hAnsi="Times New Roman" w:cs="Times New Roman"/>
                <w:sz w:val="20"/>
                <w:szCs w:val="20"/>
                <w:lang w:eastAsia="pt-BR"/>
              </w:rPr>
            </w:pPr>
          </w:p>
        </w:tc>
        <w:tc>
          <w:tcPr>
            <w:tcW w:w="1274" w:type="dxa"/>
            <w:tcBorders>
              <w:top w:val="nil"/>
              <w:left w:val="nil"/>
              <w:bottom w:val="nil"/>
              <w:right w:val="nil"/>
            </w:tcBorders>
            <w:shd w:val="clear" w:color="auto" w:fill="auto"/>
            <w:noWrap/>
            <w:vAlign w:val="bottom"/>
            <w:hideMark/>
          </w:tcPr>
          <w:p w14:paraId="475F43C5" w14:textId="77777777" w:rsidR="00BD7093" w:rsidRPr="00BD7093" w:rsidRDefault="00BD7093" w:rsidP="00BD7093">
            <w:pPr>
              <w:spacing w:after="0" w:line="240" w:lineRule="auto"/>
              <w:jc w:val="right"/>
              <w:rPr>
                <w:rFonts w:ascii="Times New Roman" w:eastAsia="Times New Roman" w:hAnsi="Times New Roman" w:cs="Times New Roman"/>
                <w:sz w:val="20"/>
                <w:szCs w:val="20"/>
                <w:lang w:eastAsia="pt-BR"/>
              </w:rPr>
            </w:pPr>
          </w:p>
        </w:tc>
      </w:tr>
      <w:tr w:rsidR="00BD7093" w:rsidRPr="00BD7093" w14:paraId="193D8557" w14:textId="77777777" w:rsidTr="003072B4">
        <w:trPr>
          <w:trHeight w:val="20"/>
        </w:trPr>
        <w:tc>
          <w:tcPr>
            <w:tcW w:w="4679" w:type="dxa"/>
            <w:tcBorders>
              <w:top w:val="nil"/>
              <w:left w:val="nil"/>
              <w:bottom w:val="nil"/>
              <w:right w:val="nil"/>
            </w:tcBorders>
            <w:shd w:val="clear" w:color="auto" w:fill="auto"/>
            <w:noWrap/>
            <w:vAlign w:val="center"/>
            <w:hideMark/>
          </w:tcPr>
          <w:p w14:paraId="1C794101" w14:textId="23817ECF" w:rsidR="00BD7093" w:rsidRPr="00BD7093" w:rsidRDefault="00BD7093" w:rsidP="00BD7093">
            <w:pPr>
              <w:spacing w:after="0" w:line="240" w:lineRule="auto"/>
              <w:rPr>
                <w:rFonts w:ascii="Verdana" w:eastAsia="Times New Roman" w:hAnsi="Verdana" w:cs="Calibri"/>
                <w:b/>
                <w:bCs/>
                <w:color w:val="000000"/>
                <w:sz w:val="18"/>
                <w:szCs w:val="18"/>
                <w:lang w:eastAsia="pt-BR"/>
              </w:rPr>
            </w:pPr>
            <w:r>
              <w:rPr>
                <w:rFonts w:ascii="Verdana" w:eastAsia="Times New Roman" w:hAnsi="Verdana" w:cs="Calibri"/>
                <w:b/>
                <w:bCs/>
                <w:color w:val="000000"/>
                <w:sz w:val="18"/>
                <w:szCs w:val="18"/>
                <w:lang w:eastAsia="pt-BR"/>
              </w:rPr>
              <w:t xml:space="preserve">    </w:t>
            </w:r>
            <w:r w:rsidRPr="00BD7093">
              <w:rPr>
                <w:rFonts w:ascii="Verdana" w:eastAsia="Times New Roman" w:hAnsi="Verdana" w:cs="Calibri"/>
                <w:b/>
                <w:bCs/>
                <w:color w:val="000000"/>
                <w:sz w:val="18"/>
                <w:szCs w:val="18"/>
                <w:lang w:eastAsia="pt-BR"/>
              </w:rPr>
              <w:t>Resultado Financeiro</w:t>
            </w:r>
          </w:p>
        </w:tc>
        <w:tc>
          <w:tcPr>
            <w:tcW w:w="164" w:type="dxa"/>
            <w:tcBorders>
              <w:top w:val="nil"/>
              <w:left w:val="nil"/>
              <w:bottom w:val="nil"/>
              <w:right w:val="nil"/>
            </w:tcBorders>
            <w:shd w:val="clear" w:color="auto" w:fill="auto"/>
            <w:noWrap/>
            <w:vAlign w:val="center"/>
            <w:hideMark/>
          </w:tcPr>
          <w:p w14:paraId="72BF71D1" w14:textId="77777777" w:rsidR="00BD7093" w:rsidRPr="00BD7093" w:rsidRDefault="00BD7093" w:rsidP="00BD7093">
            <w:pPr>
              <w:spacing w:after="0" w:line="240" w:lineRule="auto"/>
              <w:rPr>
                <w:rFonts w:ascii="Verdana" w:eastAsia="Times New Roman" w:hAnsi="Verdana" w:cs="Calibri"/>
                <w:b/>
                <w:bCs/>
                <w:color w:val="000000"/>
                <w:sz w:val="18"/>
                <w:szCs w:val="18"/>
                <w:lang w:eastAsia="pt-BR"/>
              </w:rPr>
            </w:pPr>
          </w:p>
        </w:tc>
        <w:tc>
          <w:tcPr>
            <w:tcW w:w="1384" w:type="dxa"/>
            <w:tcBorders>
              <w:top w:val="single" w:sz="8" w:space="0" w:color="auto"/>
              <w:left w:val="nil"/>
              <w:bottom w:val="double" w:sz="6" w:space="0" w:color="auto"/>
              <w:right w:val="nil"/>
            </w:tcBorders>
            <w:shd w:val="clear" w:color="auto" w:fill="auto"/>
            <w:noWrap/>
            <w:vAlign w:val="center"/>
            <w:hideMark/>
          </w:tcPr>
          <w:p w14:paraId="357E5071" w14:textId="3A594EE8" w:rsidR="00BD7093" w:rsidRPr="00BD7093" w:rsidRDefault="00BD7093" w:rsidP="00BD7093">
            <w:pPr>
              <w:spacing w:after="0" w:line="240" w:lineRule="auto"/>
              <w:jc w:val="right"/>
              <w:rPr>
                <w:rFonts w:ascii="Verdana" w:eastAsia="Times New Roman" w:hAnsi="Verdana" w:cs="Calibri"/>
                <w:b/>
                <w:bCs/>
                <w:color w:val="000000"/>
                <w:sz w:val="18"/>
                <w:szCs w:val="18"/>
                <w:lang w:eastAsia="pt-BR"/>
              </w:rPr>
            </w:pPr>
            <w:r w:rsidRPr="00BD7093">
              <w:rPr>
                <w:rFonts w:ascii="Verdana" w:eastAsia="Times New Roman" w:hAnsi="Verdana" w:cs="Calibri"/>
                <w:b/>
                <w:bCs/>
                <w:color w:val="000000"/>
                <w:sz w:val="18"/>
                <w:szCs w:val="18"/>
                <w:lang w:eastAsia="pt-BR"/>
              </w:rPr>
              <w:t>123.383</w:t>
            </w:r>
          </w:p>
        </w:tc>
        <w:tc>
          <w:tcPr>
            <w:tcW w:w="174" w:type="dxa"/>
            <w:tcBorders>
              <w:top w:val="nil"/>
              <w:left w:val="nil"/>
              <w:bottom w:val="nil"/>
              <w:right w:val="nil"/>
            </w:tcBorders>
            <w:shd w:val="clear" w:color="auto" w:fill="auto"/>
            <w:noWrap/>
            <w:vAlign w:val="center"/>
            <w:hideMark/>
          </w:tcPr>
          <w:p w14:paraId="49E0E015" w14:textId="77777777" w:rsidR="00BD7093" w:rsidRPr="00BD7093" w:rsidRDefault="00BD7093" w:rsidP="00BD7093">
            <w:pPr>
              <w:spacing w:after="0" w:line="240" w:lineRule="auto"/>
              <w:jc w:val="right"/>
              <w:rPr>
                <w:rFonts w:ascii="Verdana" w:eastAsia="Times New Roman" w:hAnsi="Verdana" w:cs="Calibri"/>
                <w:b/>
                <w:bCs/>
                <w:color w:val="000000"/>
                <w:sz w:val="18"/>
                <w:szCs w:val="18"/>
                <w:lang w:eastAsia="pt-BR"/>
              </w:rPr>
            </w:pPr>
          </w:p>
        </w:tc>
        <w:tc>
          <w:tcPr>
            <w:tcW w:w="1397" w:type="dxa"/>
            <w:tcBorders>
              <w:top w:val="single" w:sz="8" w:space="0" w:color="auto"/>
              <w:left w:val="nil"/>
              <w:bottom w:val="double" w:sz="6" w:space="0" w:color="auto"/>
              <w:right w:val="nil"/>
            </w:tcBorders>
            <w:shd w:val="clear" w:color="auto" w:fill="auto"/>
            <w:noWrap/>
            <w:vAlign w:val="center"/>
            <w:hideMark/>
          </w:tcPr>
          <w:p w14:paraId="53016815" w14:textId="2B16E0B5" w:rsidR="00BD7093" w:rsidRPr="00BD7093" w:rsidRDefault="00BD7093" w:rsidP="00BD7093">
            <w:pPr>
              <w:spacing w:after="0" w:line="240" w:lineRule="auto"/>
              <w:jc w:val="right"/>
              <w:rPr>
                <w:rFonts w:ascii="Verdana" w:eastAsia="Times New Roman" w:hAnsi="Verdana" w:cs="Calibri"/>
                <w:b/>
                <w:bCs/>
                <w:color w:val="000000"/>
                <w:sz w:val="18"/>
                <w:szCs w:val="18"/>
                <w:lang w:eastAsia="pt-BR"/>
              </w:rPr>
            </w:pPr>
            <w:r w:rsidRPr="00BD7093">
              <w:rPr>
                <w:rFonts w:ascii="Verdana" w:eastAsia="Times New Roman" w:hAnsi="Verdana" w:cs="Calibri"/>
                <w:b/>
                <w:bCs/>
                <w:color w:val="000000"/>
                <w:sz w:val="18"/>
                <w:szCs w:val="18"/>
                <w:lang w:eastAsia="pt-BR"/>
              </w:rPr>
              <w:t>54.657</w:t>
            </w:r>
          </w:p>
        </w:tc>
        <w:tc>
          <w:tcPr>
            <w:tcW w:w="162" w:type="dxa"/>
            <w:tcBorders>
              <w:top w:val="nil"/>
              <w:left w:val="nil"/>
              <w:bottom w:val="nil"/>
              <w:right w:val="nil"/>
            </w:tcBorders>
            <w:shd w:val="clear" w:color="auto" w:fill="auto"/>
            <w:noWrap/>
            <w:vAlign w:val="bottom"/>
            <w:hideMark/>
          </w:tcPr>
          <w:p w14:paraId="7802E164" w14:textId="77777777" w:rsidR="00BD7093" w:rsidRPr="00BD7093" w:rsidRDefault="00BD7093" w:rsidP="00BD7093">
            <w:pPr>
              <w:spacing w:after="0" w:line="240" w:lineRule="auto"/>
              <w:jc w:val="right"/>
              <w:rPr>
                <w:rFonts w:ascii="Verdana" w:eastAsia="Times New Roman" w:hAnsi="Verdana" w:cs="Calibri"/>
                <w:b/>
                <w:bCs/>
                <w:color w:val="000000"/>
                <w:sz w:val="18"/>
                <w:szCs w:val="18"/>
                <w:lang w:eastAsia="pt-BR"/>
              </w:rPr>
            </w:pPr>
          </w:p>
        </w:tc>
        <w:tc>
          <w:tcPr>
            <w:tcW w:w="1273" w:type="dxa"/>
            <w:tcBorders>
              <w:top w:val="single" w:sz="8" w:space="0" w:color="auto"/>
              <w:left w:val="nil"/>
              <w:bottom w:val="double" w:sz="6" w:space="0" w:color="auto"/>
              <w:right w:val="nil"/>
            </w:tcBorders>
            <w:shd w:val="clear" w:color="auto" w:fill="auto"/>
            <w:noWrap/>
            <w:vAlign w:val="center"/>
            <w:hideMark/>
          </w:tcPr>
          <w:p w14:paraId="218DAB85" w14:textId="5405E3B1" w:rsidR="00BD7093" w:rsidRPr="00BD7093" w:rsidRDefault="00BD7093" w:rsidP="00BD7093">
            <w:pPr>
              <w:spacing w:after="0" w:line="240" w:lineRule="auto"/>
              <w:jc w:val="right"/>
              <w:rPr>
                <w:rFonts w:ascii="Verdana" w:eastAsia="Times New Roman" w:hAnsi="Verdana" w:cs="Calibri"/>
                <w:b/>
                <w:bCs/>
                <w:color w:val="000000"/>
                <w:sz w:val="18"/>
                <w:szCs w:val="18"/>
                <w:lang w:eastAsia="pt-BR"/>
              </w:rPr>
            </w:pPr>
            <w:r w:rsidRPr="00BD7093">
              <w:rPr>
                <w:rFonts w:ascii="Verdana" w:eastAsia="Times New Roman" w:hAnsi="Verdana" w:cs="Calibri"/>
                <w:b/>
                <w:bCs/>
                <w:color w:val="000000"/>
                <w:sz w:val="18"/>
                <w:szCs w:val="18"/>
                <w:lang w:eastAsia="pt-BR"/>
              </w:rPr>
              <w:t>74.725</w:t>
            </w:r>
          </w:p>
        </w:tc>
        <w:tc>
          <w:tcPr>
            <w:tcW w:w="174" w:type="dxa"/>
            <w:tcBorders>
              <w:top w:val="nil"/>
              <w:left w:val="nil"/>
              <w:bottom w:val="nil"/>
              <w:right w:val="nil"/>
            </w:tcBorders>
            <w:shd w:val="clear" w:color="auto" w:fill="auto"/>
            <w:noWrap/>
            <w:vAlign w:val="bottom"/>
            <w:hideMark/>
          </w:tcPr>
          <w:p w14:paraId="52F9E043" w14:textId="77777777" w:rsidR="00BD7093" w:rsidRPr="00BD7093" w:rsidRDefault="00BD7093" w:rsidP="00BD7093">
            <w:pPr>
              <w:spacing w:after="0" w:line="240" w:lineRule="auto"/>
              <w:jc w:val="right"/>
              <w:rPr>
                <w:rFonts w:ascii="Verdana" w:eastAsia="Times New Roman" w:hAnsi="Verdana" w:cs="Calibri"/>
                <w:b/>
                <w:bCs/>
                <w:color w:val="000000"/>
                <w:sz w:val="18"/>
                <w:szCs w:val="18"/>
                <w:lang w:eastAsia="pt-BR"/>
              </w:rPr>
            </w:pPr>
          </w:p>
        </w:tc>
        <w:tc>
          <w:tcPr>
            <w:tcW w:w="1274" w:type="dxa"/>
            <w:tcBorders>
              <w:top w:val="single" w:sz="8" w:space="0" w:color="auto"/>
              <w:left w:val="nil"/>
              <w:bottom w:val="double" w:sz="6" w:space="0" w:color="auto"/>
              <w:right w:val="nil"/>
            </w:tcBorders>
            <w:shd w:val="clear" w:color="auto" w:fill="auto"/>
            <w:noWrap/>
            <w:vAlign w:val="center"/>
            <w:hideMark/>
          </w:tcPr>
          <w:p w14:paraId="571D471A" w14:textId="179E0F58" w:rsidR="00BD7093" w:rsidRPr="00BD7093" w:rsidRDefault="00BD7093" w:rsidP="00BD7093">
            <w:pPr>
              <w:spacing w:after="0" w:line="240" w:lineRule="auto"/>
              <w:jc w:val="right"/>
              <w:rPr>
                <w:rFonts w:ascii="Verdana" w:eastAsia="Times New Roman" w:hAnsi="Verdana" w:cs="Calibri"/>
                <w:b/>
                <w:bCs/>
                <w:color w:val="000000"/>
                <w:sz w:val="18"/>
                <w:szCs w:val="18"/>
                <w:lang w:eastAsia="pt-BR"/>
              </w:rPr>
            </w:pPr>
            <w:r w:rsidRPr="00BD7093">
              <w:rPr>
                <w:rFonts w:ascii="Verdana" w:eastAsia="Times New Roman" w:hAnsi="Verdana" w:cs="Calibri"/>
                <w:b/>
                <w:bCs/>
                <w:color w:val="000000"/>
                <w:sz w:val="18"/>
                <w:szCs w:val="18"/>
                <w:lang w:eastAsia="pt-BR"/>
              </w:rPr>
              <w:t>5.999</w:t>
            </w:r>
          </w:p>
        </w:tc>
      </w:tr>
    </w:tbl>
    <w:p w14:paraId="47D4AFAB" w14:textId="1398E08C" w:rsidR="007B7A68" w:rsidRDefault="007B7A68" w:rsidP="00C144BB">
      <w:pPr>
        <w:spacing w:after="0"/>
        <w:rPr>
          <w:rFonts w:ascii="Verdana" w:hAnsi="Verdana" w:cstheme="minorHAnsi"/>
          <w:noProof/>
          <w:lang w:eastAsia="pt-BR"/>
        </w:rPr>
      </w:pPr>
    </w:p>
    <w:p w14:paraId="6AEB29C2" w14:textId="5AADDB94" w:rsidR="003072B4" w:rsidRDefault="003072B4" w:rsidP="00C144BB">
      <w:pPr>
        <w:spacing w:after="0"/>
        <w:rPr>
          <w:rFonts w:ascii="Verdana" w:hAnsi="Verdana" w:cstheme="minorHAnsi"/>
          <w:noProof/>
          <w:lang w:eastAsia="pt-BR"/>
        </w:rPr>
      </w:pPr>
    </w:p>
    <w:p w14:paraId="5ACDB061" w14:textId="1FF45D7F" w:rsidR="003072B4" w:rsidRDefault="003072B4" w:rsidP="00C144BB">
      <w:pPr>
        <w:spacing w:after="0"/>
        <w:rPr>
          <w:rFonts w:ascii="Verdana" w:hAnsi="Verdana" w:cstheme="minorHAnsi"/>
          <w:noProof/>
          <w:lang w:eastAsia="pt-BR"/>
        </w:rPr>
      </w:pPr>
    </w:p>
    <w:p w14:paraId="7CB385F5" w14:textId="0E270A62" w:rsidR="003072B4" w:rsidRDefault="003072B4" w:rsidP="00C144BB">
      <w:pPr>
        <w:spacing w:after="0"/>
        <w:rPr>
          <w:rFonts w:ascii="Verdana" w:hAnsi="Verdana" w:cstheme="minorHAnsi"/>
          <w:noProof/>
          <w:lang w:eastAsia="pt-BR"/>
        </w:rPr>
      </w:pPr>
    </w:p>
    <w:p w14:paraId="0AC6072E" w14:textId="6A0E1E50" w:rsidR="003072B4" w:rsidRDefault="003072B4" w:rsidP="00C144BB">
      <w:pPr>
        <w:spacing w:after="0"/>
        <w:rPr>
          <w:rFonts w:ascii="Verdana" w:hAnsi="Verdana" w:cstheme="minorHAnsi"/>
          <w:noProof/>
          <w:lang w:eastAsia="pt-BR"/>
        </w:rPr>
      </w:pPr>
    </w:p>
    <w:p w14:paraId="3AADE284" w14:textId="77777777" w:rsidR="003072B4" w:rsidRDefault="003072B4" w:rsidP="00C144BB">
      <w:pPr>
        <w:spacing w:after="0"/>
        <w:rPr>
          <w:rFonts w:ascii="Verdana" w:hAnsi="Verdana" w:cstheme="minorHAnsi"/>
          <w:noProof/>
          <w:lang w:eastAsia="pt-BR"/>
        </w:rPr>
      </w:pPr>
    </w:p>
    <w:p w14:paraId="45640FBC" w14:textId="77777777" w:rsidR="00667591" w:rsidRDefault="00581D1F">
      <w:pPr>
        <w:tabs>
          <w:tab w:val="left" w:pos="567"/>
          <w:tab w:val="left" w:pos="1134"/>
          <w:tab w:val="left" w:pos="1701"/>
          <w:tab w:val="left" w:pos="2268"/>
          <w:tab w:val="left" w:pos="2835"/>
        </w:tabs>
        <w:jc w:val="both"/>
        <w:outlineLvl w:val="0"/>
        <w:rPr>
          <w:rFonts w:ascii="Verdana" w:hAnsi="Verdana" w:cstheme="minorHAnsi"/>
          <w:b/>
        </w:rPr>
      </w:pPr>
      <w:r>
        <w:rPr>
          <w:rFonts w:ascii="Verdana" w:hAnsi="Verdana" w:cstheme="minorHAnsi"/>
          <w:b/>
        </w:rPr>
        <w:t>27</w:t>
      </w:r>
      <w:r w:rsidR="00F4139F" w:rsidRPr="00F7132F">
        <w:rPr>
          <w:rFonts w:ascii="Verdana" w:hAnsi="Verdana" w:cstheme="minorHAnsi"/>
          <w:b/>
        </w:rPr>
        <w:t xml:space="preserve"> </w:t>
      </w:r>
      <w:r w:rsidR="0015523C" w:rsidRPr="00F7132F">
        <w:rPr>
          <w:rFonts w:ascii="Verdana" w:hAnsi="Verdana" w:cstheme="minorHAnsi"/>
          <w:b/>
        </w:rPr>
        <w:t>–</w:t>
      </w:r>
      <w:r w:rsidR="00667591">
        <w:rPr>
          <w:rFonts w:ascii="Verdana" w:hAnsi="Verdana" w:cstheme="minorHAnsi"/>
          <w:b/>
        </w:rPr>
        <w:t xml:space="preserve"> OPERAÇÕES DE </w:t>
      </w:r>
      <w:r w:rsidR="00667591" w:rsidRPr="00F7132F">
        <w:rPr>
          <w:rFonts w:ascii="Verdana" w:hAnsi="Verdana" w:cstheme="minorHAnsi"/>
          <w:b/>
        </w:rPr>
        <w:t>COMERCIALIZAÇÃO DE ITAIPU</w:t>
      </w:r>
    </w:p>
    <w:tbl>
      <w:tblPr>
        <w:tblW w:w="9169" w:type="dxa"/>
        <w:tblCellMar>
          <w:left w:w="70" w:type="dxa"/>
          <w:right w:w="70" w:type="dxa"/>
        </w:tblCellMar>
        <w:tblLook w:val="04A0" w:firstRow="1" w:lastRow="0" w:firstColumn="1" w:lastColumn="0" w:noHBand="0" w:noVBand="1"/>
      </w:tblPr>
      <w:tblGrid>
        <w:gridCol w:w="7007"/>
        <w:gridCol w:w="2162"/>
      </w:tblGrid>
      <w:tr w:rsidR="007564AD" w:rsidRPr="007564AD" w14:paraId="0C0B43E9" w14:textId="77777777" w:rsidTr="00874448">
        <w:trPr>
          <w:trHeight w:val="222"/>
        </w:trPr>
        <w:tc>
          <w:tcPr>
            <w:tcW w:w="7007" w:type="dxa"/>
            <w:tcBorders>
              <w:top w:val="nil"/>
              <w:left w:val="nil"/>
              <w:bottom w:val="nil"/>
              <w:right w:val="nil"/>
            </w:tcBorders>
            <w:shd w:val="clear" w:color="auto" w:fill="auto"/>
            <w:noWrap/>
            <w:vAlign w:val="bottom"/>
            <w:hideMark/>
          </w:tcPr>
          <w:p w14:paraId="2ABC6641" w14:textId="77777777" w:rsidR="007564AD" w:rsidRPr="007564AD" w:rsidRDefault="007564AD" w:rsidP="007564AD">
            <w:pPr>
              <w:spacing w:after="0" w:line="240" w:lineRule="auto"/>
              <w:rPr>
                <w:rFonts w:ascii="Times New Roman" w:eastAsia="Times New Roman" w:hAnsi="Times New Roman" w:cs="Times New Roman"/>
                <w:sz w:val="24"/>
                <w:szCs w:val="24"/>
                <w:lang w:eastAsia="pt-BR"/>
              </w:rPr>
            </w:pPr>
          </w:p>
        </w:tc>
        <w:tc>
          <w:tcPr>
            <w:tcW w:w="2162" w:type="dxa"/>
            <w:tcBorders>
              <w:top w:val="nil"/>
              <w:left w:val="nil"/>
              <w:bottom w:val="single" w:sz="4" w:space="0" w:color="auto"/>
              <w:right w:val="nil"/>
            </w:tcBorders>
            <w:shd w:val="clear" w:color="auto" w:fill="auto"/>
            <w:noWrap/>
            <w:vAlign w:val="center"/>
            <w:hideMark/>
          </w:tcPr>
          <w:p w14:paraId="18ABA5FB" w14:textId="77777777" w:rsidR="007564AD" w:rsidRPr="007564AD" w:rsidRDefault="007564AD" w:rsidP="007564AD">
            <w:pPr>
              <w:spacing w:after="0" w:line="240" w:lineRule="auto"/>
              <w:rPr>
                <w:rFonts w:ascii="Verdana" w:eastAsia="Times New Roman" w:hAnsi="Verdana" w:cs="Calibri"/>
                <w:b/>
                <w:bCs/>
                <w:sz w:val="18"/>
                <w:szCs w:val="18"/>
                <w:lang w:eastAsia="pt-BR"/>
              </w:rPr>
            </w:pPr>
            <w:r w:rsidRPr="007564AD">
              <w:rPr>
                <w:rFonts w:ascii="Verdana" w:eastAsia="Times New Roman" w:hAnsi="Verdana" w:cs="Calibri"/>
                <w:b/>
                <w:bCs/>
                <w:sz w:val="18"/>
                <w:szCs w:val="18"/>
                <w:lang w:eastAsia="pt-BR"/>
              </w:rPr>
              <w:t>CONTROLADORA</w:t>
            </w:r>
          </w:p>
        </w:tc>
      </w:tr>
      <w:tr w:rsidR="007564AD" w:rsidRPr="007564AD" w14:paraId="4AEDF1FC" w14:textId="77777777" w:rsidTr="00874448">
        <w:trPr>
          <w:trHeight w:val="222"/>
        </w:trPr>
        <w:tc>
          <w:tcPr>
            <w:tcW w:w="7007" w:type="dxa"/>
            <w:tcBorders>
              <w:top w:val="nil"/>
              <w:left w:val="nil"/>
              <w:bottom w:val="nil"/>
              <w:right w:val="nil"/>
            </w:tcBorders>
            <w:shd w:val="clear" w:color="auto" w:fill="auto"/>
            <w:noWrap/>
            <w:vAlign w:val="bottom"/>
            <w:hideMark/>
          </w:tcPr>
          <w:p w14:paraId="2738FE30" w14:textId="77777777" w:rsidR="007564AD" w:rsidRPr="007564AD" w:rsidRDefault="007564AD" w:rsidP="007564AD">
            <w:pPr>
              <w:spacing w:after="0" w:line="240" w:lineRule="auto"/>
              <w:rPr>
                <w:rFonts w:ascii="Verdana" w:eastAsia="Times New Roman" w:hAnsi="Verdana" w:cs="Calibri"/>
                <w:b/>
                <w:bCs/>
                <w:sz w:val="18"/>
                <w:szCs w:val="18"/>
                <w:lang w:eastAsia="pt-BR"/>
              </w:rPr>
            </w:pPr>
          </w:p>
        </w:tc>
        <w:tc>
          <w:tcPr>
            <w:tcW w:w="2162" w:type="dxa"/>
            <w:tcBorders>
              <w:top w:val="nil"/>
              <w:left w:val="nil"/>
              <w:bottom w:val="single" w:sz="4" w:space="0" w:color="auto"/>
              <w:right w:val="nil"/>
            </w:tcBorders>
            <w:shd w:val="clear" w:color="auto" w:fill="auto"/>
            <w:vAlign w:val="center"/>
            <w:hideMark/>
          </w:tcPr>
          <w:p w14:paraId="507C4849" w14:textId="77777777" w:rsidR="007564AD" w:rsidRPr="007564AD" w:rsidRDefault="007564AD" w:rsidP="007564AD">
            <w:pPr>
              <w:spacing w:after="0" w:line="240" w:lineRule="auto"/>
              <w:jc w:val="center"/>
              <w:rPr>
                <w:rFonts w:ascii="Verdana" w:eastAsia="Times New Roman" w:hAnsi="Verdana" w:cs="Calibri"/>
                <w:b/>
                <w:bCs/>
                <w:sz w:val="18"/>
                <w:szCs w:val="18"/>
                <w:lang w:eastAsia="pt-BR"/>
              </w:rPr>
            </w:pPr>
            <w:r w:rsidRPr="007564AD">
              <w:rPr>
                <w:rFonts w:ascii="Verdana" w:eastAsia="Times New Roman" w:hAnsi="Verdana" w:cs="Calibri"/>
                <w:b/>
                <w:bCs/>
                <w:sz w:val="18"/>
                <w:szCs w:val="18"/>
                <w:lang w:eastAsia="pt-BR"/>
              </w:rPr>
              <w:t xml:space="preserve"> 30/06/2022 </w:t>
            </w:r>
          </w:p>
        </w:tc>
      </w:tr>
      <w:tr w:rsidR="007564AD" w:rsidRPr="007564AD" w14:paraId="33814662" w14:textId="77777777" w:rsidTr="00874448">
        <w:trPr>
          <w:trHeight w:val="222"/>
        </w:trPr>
        <w:tc>
          <w:tcPr>
            <w:tcW w:w="7007" w:type="dxa"/>
            <w:tcBorders>
              <w:top w:val="nil"/>
              <w:left w:val="nil"/>
              <w:bottom w:val="nil"/>
              <w:right w:val="nil"/>
            </w:tcBorders>
            <w:shd w:val="clear" w:color="auto" w:fill="auto"/>
            <w:noWrap/>
            <w:vAlign w:val="center"/>
            <w:hideMark/>
          </w:tcPr>
          <w:p w14:paraId="256925BE" w14:textId="77777777" w:rsidR="007564AD" w:rsidRPr="007564AD" w:rsidRDefault="00DE1EA6" w:rsidP="00164F8C">
            <w:pPr>
              <w:spacing w:after="0" w:line="240" w:lineRule="auto"/>
              <w:rPr>
                <w:rFonts w:ascii="Verdana" w:eastAsia="Times New Roman" w:hAnsi="Verdana" w:cs="Calibri"/>
                <w:sz w:val="18"/>
                <w:szCs w:val="18"/>
                <w:lang w:eastAsia="pt-BR"/>
              </w:rPr>
            </w:pPr>
            <w:r>
              <w:rPr>
                <w:rFonts w:ascii="Verdana" w:eastAsia="Times New Roman" w:hAnsi="Verdana" w:cs="Calibri"/>
                <w:sz w:val="18"/>
                <w:szCs w:val="18"/>
                <w:lang w:eastAsia="pt-BR"/>
              </w:rPr>
              <w:t xml:space="preserve">Transferência do </w:t>
            </w:r>
            <w:r w:rsidR="007564AD" w:rsidRPr="007564AD">
              <w:rPr>
                <w:rFonts w:ascii="Verdana" w:eastAsia="Times New Roman" w:hAnsi="Verdana" w:cs="Calibri"/>
                <w:sz w:val="18"/>
                <w:szCs w:val="18"/>
                <w:lang w:eastAsia="pt-BR"/>
              </w:rPr>
              <w:t>Resultado da Conta de Comercialização de Energia Elétrica Itaipu</w:t>
            </w:r>
            <w:r w:rsidR="00B07861">
              <w:rPr>
                <w:rFonts w:ascii="Verdana" w:eastAsia="Times New Roman" w:hAnsi="Verdana" w:cs="Calibri"/>
                <w:sz w:val="18"/>
                <w:szCs w:val="18"/>
                <w:lang w:eastAsia="pt-BR"/>
              </w:rPr>
              <w:t xml:space="preserve"> (a)</w:t>
            </w:r>
          </w:p>
        </w:tc>
        <w:tc>
          <w:tcPr>
            <w:tcW w:w="2162" w:type="dxa"/>
            <w:tcBorders>
              <w:top w:val="nil"/>
              <w:left w:val="nil"/>
              <w:bottom w:val="nil"/>
              <w:right w:val="nil"/>
            </w:tcBorders>
            <w:shd w:val="clear" w:color="auto" w:fill="auto"/>
            <w:noWrap/>
            <w:vAlign w:val="bottom"/>
            <w:hideMark/>
          </w:tcPr>
          <w:p w14:paraId="4DD9B1A8" w14:textId="77777777" w:rsidR="007564AD" w:rsidRPr="007564AD" w:rsidRDefault="00DE1EA6" w:rsidP="00874448">
            <w:pPr>
              <w:spacing w:after="0" w:line="240" w:lineRule="auto"/>
              <w:jc w:val="right"/>
              <w:rPr>
                <w:rFonts w:ascii="Verdana" w:eastAsia="Times New Roman" w:hAnsi="Verdana" w:cs="Calibri"/>
                <w:color w:val="000000"/>
                <w:sz w:val="18"/>
                <w:szCs w:val="18"/>
                <w:lang w:eastAsia="pt-BR"/>
              </w:rPr>
            </w:pPr>
            <w:r>
              <w:rPr>
                <w:rFonts w:ascii="Verdana" w:eastAsia="Times New Roman" w:hAnsi="Verdana" w:cs="Calibri"/>
                <w:color w:val="000000"/>
                <w:sz w:val="18"/>
                <w:szCs w:val="18"/>
                <w:lang w:eastAsia="pt-BR"/>
              </w:rPr>
              <w:t xml:space="preserve">                   </w:t>
            </w:r>
            <w:r w:rsidR="007564AD" w:rsidRPr="007564AD">
              <w:rPr>
                <w:rFonts w:ascii="Verdana" w:eastAsia="Times New Roman" w:hAnsi="Verdana" w:cs="Calibri"/>
                <w:color w:val="000000"/>
                <w:sz w:val="18"/>
                <w:szCs w:val="18"/>
                <w:lang w:eastAsia="pt-BR"/>
              </w:rPr>
              <w:t xml:space="preserve">38.878 </w:t>
            </w:r>
          </w:p>
        </w:tc>
      </w:tr>
      <w:tr w:rsidR="007564AD" w:rsidRPr="007564AD" w14:paraId="245EB276" w14:textId="77777777" w:rsidTr="00874448">
        <w:trPr>
          <w:trHeight w:val="222"/>
        </w:trPr>
        <w:tc>
          <w:tcPr>
            <w:tcW w:w="7007" w:type="dxa"/>
            <w:tcBorders>
              <w:top w:val="nil"/>
              <w:left w:val="nil"/>
              <w:bottom w:val="nil"/>
              <w:right w:val="nil"/>
            </w:tcBorders>
            <w:shd w:val="clear" w:color="auto" w:fill="auto"/>
            <w:noWrap/>
            <w:vAlign w:val="center"/>
            <w:hideMark/>
          </w:tcPr>
          <w:p w14:paraId="0175FAF7" w14:textId="77777777" w:rsidR="007564AD" w:rsidRPr="007564AD" w:rsidRDefault="007564AD" w:rsidP="007564AD">
            <w:pPr>
              <w:spacing w:after="0" w:line="240" w:lineRule="auto"/>
              <w:rPr>
                <w:rFonts w:ascii="Verdana" w:eastAsia="Times New Roman" w:hAnsi="Verdana" w:cs="Calibri"/>
                <w:sz w:val="18"/>
                <w:szCs w:val="18"/>
                <w:lang w:eastAsia="pt-BR"/>
              </w:rPr>
            </w:pPr>
            <w:r w:rsidRPr="007564AD">
              <w:rPr>
                <w:rFonts w:ascii="Verdana" w:eastAsia="Times New Roman" w:hAnsi="Verdana" w:cs="Calibri"/>
                <w:sz w:val="18"/>
                <w:szCs w:val="18"/>
                <w:lang w:eastAsia="pt-BR"/>
              </w:rPr>
              <w:t>Saldo 2021 - Diferimento da conta de comercialização</w:t>
            </w:r>
            <w:r w:rsidR="003316C8">
              <w:rPr>
                <w:rFonts w:ascii="Verdana" w:eastAsia="Times New Roman" w:hAnsi="Verdana" w:cs="Calibri"/>
                <w:sz w:val="18"/>
                <w:szCs w:val="18"/>
                <w:lang w:eastAsia="pt-BR"/>
              </w:rPr>
              <w:t xml:space="preserve"> (b)</w:t>
            </w:r>
          </w:p>
        </w:tc>
        <w:tc>
          <w:tcPr>
            <w:tcW w:w="2162" w:type="dxa"/>
            <w:tcBorders>
              <w:top w:val="nil"/>
              <w:left w:val="nil"/>
              <w:bottom w:val="single" w:sz="4" w:space="0" w:color="auto"/>
              <w:right w:val="nil"/>
            </w:tcBorders>
            <w:shd w:val="clear" w:color="auto" w:fill="auto"/>
            <w:noWrap/>
            <w:vAlign w:val="bottom"/>
            <w:hideMark/>
          </w:tcPr>
          <w:p w14:paraId="262995A5" w14:textId="77777777" w:rsidR="007564AD" w:rsidRPr="00874448" w:rsidRDefault="007564AD" w:rsidP="00DE1EA6">
            <w:pPr>
              <w:pStyle w:val="PargrafodaLista"/>
              <w:numPr>
                <w:ilvl w:val="1"/>
                <w:numId w:val="27"/>
              </w:numPr>
              <w:jc w:val="right"/>
              <w:rPr>
                <w:rFonts w:ascii="Verdana" w:hAnsi="Verdana" w:cs="Calibri"/>
                <w:color w:val="000000"/>
                <w:sz w:val="18"/>
                <w:szCs w:val="18"/>
              </w:rPr>
            </w:pPr>
          </w:p>
        </w:tc>
      </w:tr>
      <w:tr w:rsidR="007564AD" w:rsidRPr="007564AD" w14:paraId="2315CB67" w14:textId="77777777" w:rsidTr="00874448">
        <w:trPr>
          <w:trHeight w:val="222"/>
        </w:trPr>
        <w:tc>
          <w:tcPr>
            <w:tcW w:w="7007" w:type="dxa"/>
            <w:tcBorders>
              <w:top w:val="nil"/>
              <w:left w:val="nil"/>
              <w:bottom w:val="nil"/>
              <w:right w:val="nil"/>
            </w:tcBorders>
            <w:shd w:val="clear" w:color="auto" w:fill="auto"/>
            <w:noWrap/>
            <w:vAlign w:val="bottom"/>
            <w:hideMark/>
          </w:tcPr>
          <w:p w14:paraId="5FF11DD6" w14:textId="77777777" w:rsidR="007564AD" w:rsidRPr="007564AD" w:rsidRDefault="007564AD" w:rsidP="007564AD">
            <w:pPr>
              <w:spacing w:after="0" w:line="240" w:lineRule="auto"/>
              <w:rPr>
                <w:rFonts w:ascii="Verdana" w:eastAsia="Times New Roman" w:hAnsi="Verdana" w:cs="Calibri"/>
                <w:color w:val="000000"/>
                <w:sz w:val="18"/>
                <w:szCs w:val="18"/>
                <w:lang w:eastAsia="pt-BR"/>
              </w:rPr>
            </w:pPr>
          </w:p>
        </w:tc>
        <w:tc>
          <w:tcPr>
            <w:tcW w:w="2162" w:type="dxa"/>
            <w:tcBorders>
              <w:top w:val="nil"/>
              <w:left w:val="nil"/>
              <w:bottom w:val="nil"/>
              <w:right w:val="nil"/>
            </w:tcBorders>
            <w:shd w:val="clear" w:color="auto" w:fill="auto"/>
            <w:noWrap/>
            <w:vAlign w:val="bottom"/>
            <w:hideMark/>
          </w:tcPr>
          <w:p w14:paraId="40128F71" w14:textId="77777777" w:rsidR="007564AD" w:rsidRPr="00874448" w:rsidRDefault="00874448" w:rsidP="00874448">
            <w:pPr>
              <w:ind w:left="990"/>
              <w:jc w:val="right"/>
              <w:rPr>
                <w:rFonts w:ascii="Verdana" w:hAnsi="Verdana" w:cs="Calibri"/>
                <w:b/>
                <w:bCs/>
                <w:color w:val="000000"/>
                <w:sz w:val="18"/>
                <w:szCs w:val="18"/>
              </w:rPr>
            </w:pPr>
            <w:r>
              <w:rPr>
                <w:rFonts w:ascii="Verdana" w:hAnsi="Verdana" w:cs="Calibri"/>
                <w:b/>
                <w:bCs/>
                <w:color w:val="000000"/>
                <w:sz w:val="18"/>
                <w:szCs w:val="18"/>
              </w:rPr>
              <w:t>986.647</w:t>
            </w:r>
          </w:p>
        </w:tc>
      </w:tr>
    </w:tbl>
    <w:p w14:paraId="1628F0BB" w14:textId="77777777" w:rsidR="00B07861" w:rsidRPr="00C40278" w:rsidRDefault="00E407FE" w:rsidP="003316C8">
      <w:pPr>
        <w:pStyle w:val="PargrafodaLista"/>
        <w:numPr>
          <w:ilvl w:val="0"/>
          <w:numId w:val="23"/>
        </w:numPr>
        <w:rPr>
          <w:rFonts w:ascii="Verdana" w:hAnsi="Verdana" w:cstheme="minorHAnsi"/>
          <w:noProof/>
          <w:sz w:val="20"/>
          <w:szCs w:val="20"/>
        </w:rPr>
      </w:pPr>
      <w:r w:rsidRPr="00C40278">
        <w:rPr>
          <w:rFonts w:ascii="Verdana" w:hAnsi="Verdana" w:cstheme="minorHAnsi"/>
          <w:noProof/>
          <w:sz w:val="20"/>
          <w:szCs w:val="20"/>
        </w:rPr>
        <w:t>O saldo da conta de comercialização é apurado mensalmente, com base nas receitas e despesas decorrentes da conta de comercialização, c</w:t>
      </w:r>
      <w:r w:rsidR="00B07861" w:rsidRPr="00C40278">
        <w:rPr>
          <w:rFonts w:ascii="Verdana" w:hAnsi="Verdana" w:cstheme="minorHAnsi"/>
          <w:noProof/>
          <w:sz w:val="20"/>
          <w:szCs w:val="20"/>
        </w:rPr>
        <w:t>onforme Decreto nº 11.027 de 31 de março de 2022</w:t>
      </w:r>
      <w:r w:rsidRPr="00C40278">
        <w:rPr>
          <w:rFonts w:ascii="Verdana" w:hAnsi="Verdana" w:cstheme="minorHAnsi"/>
          <w:noProof/>
          <w:sz w:val="20"/>
          <w:szCs w:val="20"/>
        </w:rPr>
        <w:t xml:space="preserve">. O saldo anual dessa conta será destinado: </w:t>
      </w:r>
      <w:r w:rsidR="00874448" w:rsidRPr="00C40278">
        <w:rPr>
          <w:rFonts w:ascii="Verdana" w:hAnsi="Verdana" w:cstheme="minorHAnsi"/>
          <w:noProof/>
          <w:sz w:val="20"/>
          <w:szCs w:val="20"/>
        </w:rPr>
        <w:t xml:space="preserve">(i) </w:t>
      </w:r>
      <w:r w:rsidRPr="00C40278">
        <w:rPr>
          <w:rFonts w:ascii="Verdana" w:hAnsi="Verdana" w:cstheme="minorHAnsi"/>
          <w:noProof/>
          <w:sz w:val="20"/>
          <w:szCs w:val="20"/>
        </w:rPr>
        <w:t>se positivo</w:t>
      </w:r>
      <w:r w:rsidR="00874448" w:rsidRPr="00C40278">
        <w:rPr>
          <w:rFonts w:ascii="Verdana" w:hAnsi="Verdana" w:cstheme="minorHAnsi"/>
          <w:noProof/>
          <w:sz w:val="20"/>
          <w:szCs w:val="20"/>
        </w:rPr>
        <w:t>,</w:t>
      </w:r>
      <w:r w:rsidRPr="00C40278">
        <w:rPr>
          <w:rFonts w:ascii="Verdana" w:hAnsi="Verdana" w:cstheme="minorHAnsi"/>
          <w:noProof/>
          <w:sz w:val="20"/>
          <w:szCs w:val="20"/>
        </w:rPr>
        <w:t xml:space="preserve"> para rateio proporcional ao consumo individual e crédito de bonus nas contas de energia</w:t>
      </w:r>
      <w:r w:rsidR="00874448" w:rsidRPr="00C40278">
        <w:rPr>
          <w:rFonts w:ascii="Verdana" w:hAnsi="Verdana" w:cstheme="minorHAnsi"/>
          <w:noProof/>
          <w:sz w:val="20"/>
          <w:szCs w:val="20"/>
        </w:rPr>
        <w:t>;</w:t>
      </w:r>
      <w:r w:rsidRPr="00C40278">
        <w:rPr>
          <w:rFonts w:ascii="Verdana" w:hAnsi="Verdana" w:cstheme="minorHAnsi"/>
          <w:noProof/>
          <w:sz w:val="20"/>
          <w:szCs w:val="20"/>
        </w:rPr>
        <w:t xml:space="preserve"> e </w:t>
      </w:r>
      <w:r w:rsidR="00874448" w:rsidRPr="00C40278">
        <w:rPr>
          <w:rFonts w:ascii="Verdana" w:hAnsi="Verdana" w:cstheme="minorHAnsi"/>
          <w:noProof/>
          <w:sz w:val="20"/>
          <w:szCs w:val="20"/>
        </w:rPr>
        <w:t xml:space="preserve">(ii) </w:t>
      </w:r>
      <w:r w:rsidRPr="00C40278">
        <w:rPr>
          <w:rFonts w:ascii="Verdana" w:hAnsi="Verdana" w:cstheme="minorHAnsi"/>
          <w:noProof/>
          <w:sz w:val="20"/>
          <w:szCs w:val="20"/>
        </w:rPr>
        <w:t>se negativo</w:t>
      </w:r>
      <w:r w:rsidR="00874448" w:rsidRPr="00C40278">
        <w:rPr>
          <w:rFonts w:ascii="Verdana" w:hAnsi="Verdana" w:cstheme="minorHAnsi"/>
          <w:noProof/>
          <w:sz w:val="20"/>
          <w:szCs w:val="20"/>
        </w:rPr>
        <w:t>,</w:t>
      </w:r>
      <w:r w:rsidRPr="00C40278">
        <w:rPr>
          <w:rFonts w:ascii="Verdana" w:hAnsi="Verdana" w:cstheme="minorHAnsi"/>
          <w:noProof/>
          <w:sz w:val="20"/>
          <w:szCs w:val="20"/>
        </w:rPr>
        <w:t xml:space="preserve"> será incorporado pela ANEEL no cálculo da tarifa de repasse de </w:t>
      </w:r>
      <w:r w:rsidR="00A96774" w:rsidRPr="00C40278">
        <w:rPr>
          <w:rFonts w:ascii="Verdana" w:hAnsi="Verdana" w:cstheme="minorHAnsi"/>
          <w:noProof/>
          <w:sz w:val="20"/>
          <w:szCs w:val="20"/>
        </w:rPr>
        <w:t>potência;</w:t>
      </w:r>
    </w:p>
    <w:p w14:paraId="3BA80642" w14:textId="77777777" w:rsidR="00DE1EA6" w:rsidRPr="00C40278" w:rsidRDefault="00DE1EA6" w:rsidP="00DE1EA6">
      <w:pPr>
        <w:pStyle w:val="PargrafodaLista"/>
        <w:ind w:left="720"/>
        <w:rPr>
          <w:rFonts w:ascii="Verdana" w:hAnsi="Verdana" w:cstheme="minorHAnsi"/>
          <w:noProof/>
          <w:sz w:val="20"/>
          <w:szCs w:val="20"/>
        </w:rPr>
      </w:pPr>
    </w:p>
    <w:p w14:paraId="3804E107" w14:textId="77777777" w:rsidR="007B7A68" w:rsidRPr="00C40278" w:rsidRDefault="003316C8" w:rsidP="003316C8">
      <w:pPr>
        <w:pStyle w:val="PargrafodaLista"/>
        <w:numPr>
          <w:ilvl w:val="0"/>
          <w:numId w:val="23"/>
        </w:numPr>
        <w:rPr>
          <w:rFonts w:ascii="Verdana" w:hAnsi="Verdana" w:cstheme="minorHAnsi"/>
          <w:bCs/>
          <w:sz w:val="20"/>
          <w:szCs w:val="20"/>
        </w:rPr>
      </w:pPr>
      <w:r w:rsidRPr="00C40278">
        <w:rPr>
          <w:rFonts w:ascii="Verdana" w:hAnsi="Verdana" w:cstheme="minorHAnsi"/>
          <w:bCs/>
          <w:sz w:val="20"/>
          <w:szCs w:val="20"/>
        </w:rPr>
        <w:t>O valor de R$ 947 milhões será destinado as Distribuidoras pelo diferimento do saldo da Conta de Comercialização de Energia Elétrica de Itaipu de 2021 (Nota 34)</w:t>
      </w:r>
      <w:r w:rsidR="00A96774" w:rsidRPr="00C40278">
        <w:rPr>
          <w:rFonts w:ascii="Verdana" w:hAnsi="Verdana" w:cstheme="minorHAnsi"/>
          <w:bCs/>
          <w:sz w:val="20"/>
          <w:szCs w:val="20"/>
        </w:rPr>
        <w:t>.</w:t>
      </w:r>
    </w:p>
    <w:p w14:paraId="2E399539" w14:textId="6AB90CC0" w:rsidR="007622F9" w:rsidRDefault="007622F9">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type="page"/>
      </w:r>
    </w:p>
    <w:p w14:paraId="721E70B7" w14:textId="77777777" w:rsidR="0015523C" w:rsidRPr="003316C8" w:rsidRDefault="00581D1F" w:rsidP="00164F8C">
      <w:pPr>
        <w:tabs>
          <w:tab w:val="left" w:pos="567"/>
          <w:tab w:val="left" w:pos="1134"/>
          <w:tab w:val="left" w:pos="1701"/>
          <w:tab w:val="left" w:pos="2268"/>
          <w:tab w:val="left" w:pos="2835"/>
        </w:tabs>
        <w:jc w:val="both"/>
        <w:outlineLvl w:val="0"/>
        <w:rPr>
          <w:rFonts w:ascii="Verdana" w:hAnsi="Verdana" w:cstheme="minorHAnsi"/>
          <w:b/>
        </w:rPr>
      </w:pPr>
      <w:r>
        <w:rPr>
          <w:rFonts w:ascii="Verdana" w:hAnsi="Verdana" w:cstheme="minorHAnsi"/>
          <w:b/>
        </w:rPr>
        <w:lastRenderedPageBreak/>
        <w:t>28</w:t>
      </w:r>
      <w:r w:rsidR="003316C8">
        <w:rPr>
          <w:rFonts w:ascii="Verdana" w:hAnsi="Verdana" w:cstheme="minorHAnsi"/>
          <w:b/>
        </w:rPr>
        <w:t xml:space="preserve"> - </w:t>
      </w:r>
      <w:r w:rsidR="003316C8" w:rsidRPr="003072B4">
        <w:rPr>
          <w:rFonts w:ascii="Verdana" w:hAnsi="Verdana" w:cstheme="minorHAnsi"/>
          <w:b/>
        </w:rPr>
        <w:t>ABERTURA DO RESULTADO DA CONTROLADORA COM AS OPERAÇÕES DE COMERCIALIZAÇÃO</w:t>
      </w:r>
      <w:r w:rsidR="003316C8" w:rsidRPr="003072B4">
        <w:rPr>
          <w:rFonts w:ascii="Verdana" w:hAnsi="Verdana" w:cstheme="minorHAnsi"/>
        </w:rPr>
        <w:t xml:space="preserve"> </w:t>
      </w:r>
      <w:r w:rsidR="003316C8" w:rsidRPr="003072B4">
        <w:rPr>
          <w:rFonts w:ascii="Verdana" w:hAnsi="Verdana" w:cstheme="minorHAnsi"/>
          <w:b/>
        </w:rPr>
        <w:t>DE ITAIPU</w:t>
      </w:r>
    </w:p>
    <w:tbl>
      <w:tblPr>
        <w:tblW w:w="5001" w:type="pct"/>
        <w:tblLayout w:type="fixed"/>
        <w:tblCellMar>
          <w:left w:w="70" w:type="dxa"/>
          <w:right w:w="70" w:type="dxa"/>
        </w:tblCellMar>
        <w:tblLook w:val="04A0" w:firstRow="1" w:lastRow="0" w:firstColumn="1" w:lastColumn="0" w:noHBand="0" w:noVBand="1"/>
      </w:tblPr>
      <w:tblGrid>
        <w:gridCol w:w="5107"/>
        <w:gridCol w:w="1276"/>
        <w:gridCol w:w="195"/>
        <w:gridCol w:w="1222"/>
        <w:gridCol w:w="193"/>
        <w:gridCol w:w="1364"/>
      </w:tblGrid>
      <w:tr w:rsidR="00DD4AF6" w:rsidRPr="00A96774" w14:paraId="3EEAD707" w14:textId="77777777" w:rsidTr="00DD4AF6">
        <w:trPr>
          <w:trHeight w:val="20"/>
        </w:trPr>
        <w:tc>
          <w:tcPr>
            <w:tcW w:w="2729" w:type="pct"/>
            <w:tcBorders>
              <w:top w:val="nil"/>
              <w:left w:val="nil"/>
              <w:bottom w:val="nil"/>
              <w:right w:val="nil"/>
            </w:tcBorders>
            <w:shd w:val="clear" w:color="000000" w:fill="FFFFFF"/>
            <w:noWrap/>
            <w:vAlign w:val="center"/>
            <w:hideMark/>
          </w:tcPr>
          <w:p w14:paraId="14D7017D" w14:textId="77777777" w:rsidR="00A96774" w:rsidRPr="00A96774" w:rsidRDefault="00A96774" w:rsidP="00A96774">
            <w:pPr>
              <w:spacing w:after="0" w:line="240" w:lineRule="auto"/>
              <w:rPr>
                <w:rFonts w:ascii="Verdana" w:eastAsia="Times New Roman" w:hAnsi="Verdana" w:cs="Calibri"/>
                <w:color w:val="FF0000"/>
                <w:sz w:val="15"/>
                <w:szCs w:val="15"/>
                <w:lang w:eastAsia="pt-BR"/>
              </w:rPr>
            </w:pPr>
            <w:r w:rsidRPr="00A96774">
              <w:rPr>
                <w:rFonts w:ascii="Verdana" w:eastAsia="Times New Roman" w:hAnsi="Verdana" w:cs="Calibri"/>
                <w:color w:val="FF0000"/>
                <w:sz w:val="15"/>
                <w:szCs w:val="15"/>
                <w:lang w:eastAsia="pt-BR"/>
              </w:rPr>
              <w:t> </w:t>
            </w:r>
          </w:p>
        </w:tc>
        <w:tc>
          <w:tcPr>
            <w:tcW w:w="682" w:type="pct"/>
            <w:tcBorders>
              <w:top w:val="nil"/>
              <w:left w:val="nil"/>
              <w:bottom w:val="single" w:sz="4" w:space="0" w:color="auto"/>
              <w:right w:val="nil"/>
            </w:tcBorders>
            <w:shd w:val="clear" w:color="000000" w:fill="FFFFFF"/>
            <w:noWrap/>
            <w:vAlign w:val="center"/>
            <w:hideMark/>
          </w:tcPr>
          <w:p w14:paraId="1760C632" w14:textId="77777777" w:rsidR="00A96774" w:rsidRPr="00A96774" w:rsidRDefault="00A96774" w:rsidP="00A96774">
            <w:pPr>
              <w:spacing w:after="0" w:line="240" w:lineRule="auto"/>
              <w:jc w:val="center"/>
              <w:rPr>
                <w:rFonts w:ascii="Verdana" w:eastAsia="Times New Roman" w:hAnsi="Verdana" w:cs="Calibri"/>
                <w:b/>
                <w:bCs/>
                <w:sz w:val="15"/>
                <w:szCs w:val="15"/>
                <w:lang w:eastAsia="pt-BR"/>
              </w:rPr>
            </w:pPr>
            <w:r w:rsidRPr="00A96774">
              <w:rPr>
                <w:rFonts w:ascii="Verdana" w:eastAsia="Times New Roman" w:hAnsi="Verdana" w:cs="Calibri"/>
                <w:b/>
                <w:bCs/>
                <w:sz w:val="15"/>
                <w:szCs w:val="15"/>
                <w:lang w:eastAsia="pt-BR"/>
              </w:rPr>
              <w:t>ENBPAR</w:t>
            </w:r>
          </w:p>
        </w:tc>
        <w:tc>
          <w:tcPr>
            <w:tcW w:w="104" w:type="pct"/>
            <w:tcBorders>
              <w:top w:val="nil"/>
              <w:left w:val="nil"/>
              <w:bottom w:val="nil"/>
              <w:right w:val="nil"/>
            </w:tcBorders>
            <w:shd w:val="clear" w:color="000000" w:fill="FFFFFF"/>
            <w:noWrap/>
            <w:vAlign w:val="center"/>
            <w:hideMark/>
          </w:tcPr>
          <w:p w14:paraId="76A01EF6" w14:textId="77777777" w:rsidR="00A96774" w:rsidRPr="00A96774" w:rsidRDefault="00A96774" w:rsidP="00A96774">
            <w:pPr>
              <w:spacing w:after="0" w:line="240" w:lineRule="auto"/>
              <w:rPr>
                <w:rFonts w:ascii="Verdana" w:eastAsia="Times New Roman" w:hAnsi="Verdana" w:cs="Calibri"/>
                <w:color w:val="FF0000"/>
                <w:sz w:val="15"/>
                <w:szCs w:val="15"/>
                <w:lang w:eastAsia="pt-BR"/>
              </w:rPr>
            </w:pPr>
            <w:r w:rsidRPr="00A96774">
              <w:rPr>
                <w:rFonts w:ascii="Verdana" w:eastAsia="Times New Roman" w:hAnsi="Verdana" w:cs="Calibri"/>
                <w:color w:val="FF0000"/>
                <w:sz w:val="15"/>
                <w:szCs w:val="15"/>
                <w:lang w:eastAsia="pt-BR"/>
              </w:rPr>
              <w:t> </w:t>
            </w:r>
          </w:p>
        </w:tc>
        <w:tc>
          <w:tcPr>
            <w:tcW w:w="653" w:type="pct"/>
            <w:tcBorders>
              <w:top w:val="nil"/>
              <w:left w:val="nil"/>
              <w:bottom w:val="single" w:sz="4" w:space="0" w:color="auto"/>
              <w:right w:val="nil"/>
            </w:tcBorders>
            <w:shd w:val="clear" w:color="000000" w:fill="FFFFFF"/>
            <w:noWrap/>
            <w:vAlign w:val="center"/>
            <w:hideMark/>
          </w:tcPr>
          <w:p w14:paraId="77D0C969" w14:textId="77777777" w:rsidR="00A96774" w:rsidRPr="00A96774" w:rsidRDefault="00A96774" w:rsidP="00A96774">
            <w:pPr>
              <w:spacing w:after="0" w:line="240" w:lineRule="auto"/>
              <w:jc w:val="center"/>
              <w:rPr>
                <w:rFonts w:ascii="Verdana" w:eastAsia="Times New Roman" w:hAnsi="Verdana" w:cs="Calibri"/>
                <w:b/>
                <w:bCs/>
                <w:sz w:val="15"/>
                <w:szCs w:val="15"/>
                <w:lang w:eastAsia="pt-BR"/>
              </w:rPr>
            </w:pPr>
            <w:r w:rsidRPr="00A96774">
              <w:rPr>
                <w:rFonts w:ascii="Verdana" w:eastAsia="Times New Roman" w:hAnsi="Verdana" w:cs="Calibri"/>
                <w:b/>
                <w:bCs/>
                <w:sz w:val="15"/>
                <w:szCs w:val="15"/>
                <w:lang w:eastAsia="pt-BR"/>
              </w:rPr>
              <w:t>ITAIPU</w:t>
            </w:r>
          </w:p>
        </w:tc>
        <w:tc>
          <w:tcPr>
            <w:tcW w:w="103" w:type="pct"/>
            <w:tcBorders>
              <w:top w:val="nil"/>
              <w:left w:val="nil"/>
              <w:bottom w:val="nil"/>
              <w:right w:val="nil"/>
            </w:tcBorders>
            <w:shd w:val="clear" w:color="000000" w:fill="FFFFFF"/>
            <w:noWrap/>
            <w:vAlign w:val="center"/>
            <w:hideMark/>
          </w:tcPr>
          <w:p w14:paraId="1FCBBFB3" w14:textId="77777777" w:rsidR="00A96774" w:rsidRPr="00A96774" w:rsidRDefault="00A96774" w:rsidP="00A96774">
            <w:pPr>
              <w:spacing w:after="0" w:line="240" w:lineRule="auto"/>
              <w:jc w:val="center"/>
              <w:rPr>
                <w:rFonts w:ascii="Verdana" w:eastAsia="Times New Roman" w:hAnsi="Verdana" w:cs="Calibri"/>
                <w:b/>
                <w:bCs/>
                <w:sz w:val="15"/>
                <w:szCs w:val="15"/>
                <w:lang w:eastAsia="pt-BR"/>
              </w:rPr>
            </w:pPr>
            <w:r w:rsidRPr="00A96774">
              <w:rPr>
                <w:rFonts w:ascii="Verdana" w:eastAsia="Times New Roman" w:hAnsi="Verdana" w:cs="Calibri"/>
                <w:b/>
                <w:bCs/>
                <w:sz w:val="15"/>
                <w:szCs w:val="15"/>
                <w:lang w:eastAsia="pt-BR"/>
              </w:rPr>
              <w:t> </w:t>
            </w:r>
          </w:p>
        </w:tc>
        <w:tc>
          <w:tcPr>
            <w:tcW w:w="729" w:type="pct"/>
            <w:tcBorders>
              <w:top w:val="nil"/>
              <w:left w:val="nil"/>
              <w:bottom w:val="single" w:sz="4" w:space="0" w:color="auto"/>
              <w:right w:val="nil"/>
            </w:tcBorders>
            <w:shd w:val="clear" w:color="000000" w:fill="FFFFFF"/>
            <w:noWrap/>
            <w:vAlign w:val="center"/>
            <w:hideMark/>
          </w:tcPr>
          <w:p w14:paraId="668607EC" w14:textId="77777777" w:rsidR="00A96774" w:rsidRPr="00A96774" w:rsidRDefault="00A96774" w:rsidP="00A96774">
            <w:pPr>
              <w:spacing w:after="0" w:line="240" w:lineRule="auto"/>
              <w:jc w:val="center"/>
              <w:rPr>
                <w:rFonts w:ascii="Verdana" w:eastAsia="Times New Roman" w:hAnsi="Verdana" w:cs="Calibri"/>
                <w:b/>
                <w:bCs/>
                <w:sz w:val="15"/>
                <w:szCs w:val="15"/>
                <w:lang w:eastAsia="pt-BR"/>
              </w:rPr>
            </w:pPr>
            <w:r w:rsidRPr="00A96774">
              <w:rPr>
                <w:rFonts w:ascii="Verdana" w:eastAsia="Times New Roman" w:hAnsi="Verdana" w:cs="Calibri"/>
                <w:b/>
                <w:bCs/>
                <w:sz w:val="15"/>
                <w:szCs w:val="15"/>
                <w:lang w:eastAsia="pt-BR"/>
              </w:rPr>
              <w:t>ENBPAR + ITAIPU</w:t>
            </w:r>
          </w:p>
        </w:tc>
      </w:tr>
      <w:tr w:rsidR="00DD4AF6" w:rsidRPr="00A96774" w14:paraId="5574E878" w14:textId="77777777" w:rsidTr="00DD4AF6">
        <w:trPr>
          <w:trHeight w:val="20"/>
        </w:trPr>
        <w:tc>
          <w:tcPr>
            <w:tcW w:w="2729" w:type="pct"/>
            <w:tcBorders>
              <w:top w:val="nil"/>
              <w:left w:val="nil"/>
              <w:bottom w:val="nil"/>
              <w:right w:val="nil"/>
            </w:tcBorders>
            <w:shd w:val="clear" w:color="000000" w:fill="FFFFFF"/>
            <w:noWrap/>
            <w:vAlign w:val="center"/>
            <w:hideMark/>
          </w:tcPr>
          <w:p w14:paraId="52480FC4" w14:textId="77777777" w:rsidR="00A96774" w:rsidRPr="00A96774" w:rsidRDefault="00A96774" w:rsidP="00A96774">
            <w:pPr>
              <w:spacing w:after="0" w:line="240" w:lineRule="auto"/>
              <w:jc w:val="center"/>
              <w:rPr>
                <w:rFonts w:ascii="Verdana" w:eastAsia="Times New Roman" w:hAnsi="Verdana" w:cs="Calibri"/>
                <w:b/>
                <w:bCs/>
                <w:sz w:val="15"/>
                <w:szCs w:val="15"/>
                <w:lang w:eastAsia="pt-BR"/>
              </w:rPr>
            </w:pPr>
            <w:r w:rsidRPr="00A96774">
              <w:rPr>
                <w:rFonts w:ascii="Verdana" w:eastAsia="Times New Roman" w:hAnsi="Verdana" w:cs="Calibri"/>
                <w:b/>
                <w:bCs/>
                <w:sz w:val="15"/>
                <w:szCs w:val="15"/>
                <w:lang w:eastAsia="pt-BR"/>
              </w:rPr>
              <w:t> </w:t>
            </w:r>
          </w:p>
        </w:tc>
        <w:tc>
          <w:tcPr>
            <w:tcW w:w="682" w:type="pct"/>
            <w:tcBorders>
              <w:top w:val="nil"/>
              <w:left w:val="nil"/>
              <w:bottom w:val="single" w:sz="4" w:space="0" w:color="auto"/>
              <w:right w:val="nil"/>
            </w:tcBorders>
            <w:shd w:val="clear" w:color="000000" w:fill="FFFFFF"/>
            <w:vAlign w:val="center"/>
            <w:hideMark/>
          </w:tcPr>
          <w:p w14:paraId="3191C572" w14:textId="77777777" w:rsidR="00A96774" w:rsidRPr="00A96774" w:rsidRDefault="00A96774" w:rsidP="00A96774">
            <w:pPr>
              <w:spacing w:after="0" w:line="240" w:lineRule="auto"/>
              <w:jc w:val="center"/>
              <w:rPr>
                <w:rFonts w:ascii="Verdana" w:eastAsia="Times New Roman" w:hAnsi="Verdana" w:cs="Calibri"/>
                <w:b/>
                <w:bCs/>
                <w:sz w:val="15"/>
                <w:szCs w:val="15"/>
                <w:lang w:eastAsia="pt-BR"/>
              </w:rPr>
            </w:pPr>
            <w:r w:rsidRPr="00A96774">
              <w:rPr>
                <w:rFonts w:ascii="Verdana" w:eastAsia="Times New Roman" w:hAnsi="Verdana" w:cs="Calibri"/>
                <w:b/>
                <w:bCs/>
                <w:sz w:val="15"/>
                <w:szCs w:val="15"/>
                <w:lang w:eastAsia="pt-BR"/>
              </w:rPr>
              <w:t xml:space="preserve">30/06/2022 </w:t>
            </w:r>
          </w:p>
        </w:tc>
        <w:tc>
          <w:tcPr>
            <w:tcW w:w="104" w:type="pct"/>
            <w:tcBorders>
              <w:top w:val="nil"/>
              <w:left w:val="nil"/>
              <w:bottom w:val="nil"/>
              <w:right w:val="nil"/>
            </w:tcBorders>
            <w:shd w:val="clear" w:color="000000" w:fill="FFFFFF"/>
            <w:noWrap/>
            <w:vAlign w:val="center"/>
            <w:hideMark/>
          </w:tcPr>
          <w:p w14:paraId="405067D4" w14:textId="77777777" w:rsidR="00A96774" w:rsidRPr="00A96774" w:rsidRDefault="00A96774" w:rsidP="00A96774">
            <w:pPr>
              <w:spacing w:after="0" w:line="240" w:lineRule="auto"/>
              <w:jc w:val="center"/>
              <w:rPr>
                <w:rFonts w:ascii="Verdana" w:eastAsia="Times New Roman" w:hAnsi="Verdana" w:cs="Calibri"/>
                <w:b/>
                <w:bCs/>
                <w:sz w:val="15"/>
                <w:szCs w:val="15"/>
                <w:lang w:eastAsia="pt-BR"/>
              </w:rPr>
            </w:pPr>
            <w:r w:rsidRPr="00A96774">
              <w:rPr>
                <w:rFonts w:ascii="Verdana" w:eastAsia="Times New Roman" w:hAnsi="Verdana" w:cs="Calibri"/>
                <w:b/>
                <w:bCs/>
                <w:sz w:val="15"/>
                <w:szCs w:val="15"/>
                <w:lang w:eastAsia="pt-BR"/>
              </w:rPr>
              <w:t> </w:t>
            </w:r>
          </w:p>
        </w:tc>
        <w:tc>
          <w:tcPr>
            <w:tcW w:w="653" w:type="pct"/>
            <w:tcBorders>
              <w:top w:val="nil"/>
              <w:left w:val="nil"/>
              <w:bottom w:val="single" w:sz="4" w:space="0" w:color="auto"/>
              <w:right w:val="nil"/>
            </w:tcBorders>
            <w:shd w:val="clear" w:color="000000" w:fill="FFFFFF"/>
            <w:vAlign w:val="center"/>
            <w:hideMark/>
          </w:tcPr>
          <w:p w14:paraId="67ABF971" w14:textId="77777777" w:rsidR="00A96774" w:rsidRPr="00A96774" w:rsidRDefault="00A96774" w:rsidP="00A96774">
            <w:pPr>
              <w:spacing w:after="0" w:line="240" w:lineRule="auto"/>
              <w:jc w:val="center"/>
              <w:rPr>
                <w:rFonts w:ascii="Verdana" w:eastAsia="Times New Roman" w:hAnsi="Verdana" w:cs="Calibri"/>
                <w:b/>
                <w:bCs/>
                <w:sz w:val="15"/>
                <w:szCs w:val="15"/>
                <w:lang w:eastAsia="pt-BR"/>
              </w:rPr>
            </w:pPr>
            <w:r w:rsidRPr="00A96774">
              <w:rPr>
                <w:rFonts w:ascii="Verdana" w:eastAsia="Times New Roman" w:hAnsi="Verdana" w:cs="Calibri"/>
                <w:b/>
                <w:bCs/>
                <w:sz w:val="15"/>
                <w:szCs w:val="15"/>
                <w:lang w:eastAsia="pt-BR"/>
              </w:rPr>
              <w:t xml:space="preserve">30/06/2022 </w:t>
            </w:r>
          </w:p>
        </w:tc>
        <w:tc>
          <w:tcPr>
            <w:tcW w:w="103" w:type="pct"/>
            <w:tcBorders>
              <w:top w:val="nil"/>
              <w:left w:val="nil"/>
              <w:bottom w:val="nil"/>
              <w:right w:val="nil"/>
            </w:tcBorders>
            <w:shd w:val="clear" w:color="000000" w:fill="FFFFFF"/>
            <w:vAlign w:val="center"/>
            <w:hideMark/>
          </w:tcPr>
          <w:p w14:paraId="4B8D648D" w14:textId="77777777" w:rsidR="00A96774" w:rsidRPr="00A96774" w:rsidRDefault="00A96774" w:rsidP="00A96774">
            <w:pPr>
              <w:spacing w:after="0" w:line="240" w:lineRule="auto"/>
              <w:jc w:val="center"/>
              <w:rPr>
                <w:rFonts w:ascii="Verdana" w:eastAsia="Times New Roman" w:hAnsi="Verdana" w:cs="Calibri"/>
                <w:b/>
                <w:bCs/>
                <w:sz w:val="15"/>
                <w:szCs w:val="15"/>
                <w:lang w:eastAsia="pt-BR"/>
              </w:rPr>
            </w:pPr>
            <w:r w:rsidRPr="00A96774">
              <w:rPr>
                <w:rFonts w:ascii="Verdana" w:eastAsia="Times New Roman" w:hAnsi="Verdana" w:cs="Calibri"/>
                <w:b/>
                <w:bCs/>
                <w:sz w:val="15"/>
                <w:szCs w:val="15"/>
                <w:lang w:eastAsia="pt-BR"/>
              </w:rPr>
              <w:t> </w:t>
            </w:r>
          </w:p>
        </w:tc>
        <w:tc>
          <w:tcPr>
            <w:tcW w:w="729" w:type="pct"/>
            <w:tcBorders>
              <w:top w:val="nil"/>
              <w:left w:val="nil"/>
              <w:bottom w:val="single" w:sz="4" w:space="0" w:color="auto"/>
              <w:right w:val="nil"/>
            </w:tcBorders>
            <w:shd w:val="clear" w:color="000000" w:fill="FFFFFF"/>
            <w:vAlign w:val="center"/>
            <w:hideMark/>
          </w:tcPr>
          <w:p w14:paraId="0A5762C5" w14:textId="77777777" w:rsidR="00A96774" w:rsidRPr="00A96774" w:rsidRDefault="00A96774" w:rsidP="00A96774">
            <w:pPr>
              <w:spacing w:after="0" w:line="240" w:lineRule="auto"/>
              <w:jc w:val="center"/>
              <w:rPr>
                <w:rFonts w:ascii="Verdana" w:eastAsia="Times New Roman" w:hAnsi="Verdana" w:cs="Calibri"/>
                <w:b/>
                <w:bCs/>
                <w:sz w:val="15"/>
                <w:szCs w:val="15"/>
                <w:lang w:eastAsia="pt-BR"/>
              </w:rPr>
            </w:pPr>
            <w:r w:rsidRPr="00A96774">
              <w:rPr>
                <w:rFonts w:ascii="Verdana" w:eastAsia="Times New Roman" w:hAnsi="Verdana" w:cs="Calibri"/>
                <w:b/>
                <w:bCs/>
                <w:sz w:val="15"/>
                <w:szCs w:val="15"/>
                <w:lang w:eastAsia="pt-BR"/>
              </w:rPr>
              <w:t xml:space="preserve"> 30/06/2022 </w:t>
            </w:r>
          </w:p>
        </w:tc>
      </w:tr>
      <w:tr w:rsidR="00DD4AF6" w:rsidRPr="00A96774" w14:paraId="6D54C846" w14:textId="77777777" w:rsidTr="00DD4AF6">
        <w:trPr>
          <w:trHeight w:val="20"/>
        </w:trPr>
        <w:tc>
          <w:tcPr>
            <w:tcW w:w="2729" w:type="pct"/>
            <w:tcBorders>
              <w:top w:val="nil"/>
              <w:left w:val="nil"/>
              <w:bottom w:val="nil"/>
              <w:right w:val="nil"/>
            </w:tcBorders>
            <w:shd w:val="clear" w:color="000000" w:fill="FFFFFF"/>
            <w:noWrap/>
            <w:vAlign w:val="bottom"/>
            <w:hideMark/>
          </w:tcPr>
          <w:p w14:paraId="010739AF" w14:textId="77777777" w:rsidR="00A96774" w:rsidRPr="00A96774" w:rsidRDefault="00A96774" w:rsidP="00A96774">
            <w:pPr>
              <w:spacing w:after="0" w:line="240" w:lineRule="auto"/>
              <w:rPr>
                <w:rFonts w:ascii="Verdana" w:eastAsia="Times New Roman" w:hAnsi="Verdana" w:cs="Calibri"/>
                <w:color w:val="000000"/>
                <w:sz w:val="15"/>
                <w:szCs w:val="15"/>
                <w:lang w:eastAsia="pt-BR"/>
              </w:rPr>
            </w:pPr>
            <w:r w:rsidRPr="00A96774">
              <w:rPr>
                <w:rFonts w:ascii="Verdana" w:eastAsia="Times New Roman" w:hAnsi="Verdana" w:cs="Calibri"/>
                <w:color w:val="000000"/>
                <w:sz w:val="15"/>
                <w:szCs w:val="15"/>
                <w:lang w:eastAsia="pt-BR"/>
              </w:rPr>
              <w:t> </w:t>
            </w:r>
          </w:p>
        </w:tc>
        <w:tc>
          <w:tcPr>
            <w:tcW w:w="682" w:type="pct"/>
            <w:tcBorders>
              <w:top w:val="nil"/>
              <w:left w:val="nil"/>
              <w:bottom w:val="nil"/>
              <w:right w:val="nil"/>
            </w:tcBorders>
            <w:shd w:val="clear" w:color="auto" w:fill="auto"/>
            <w:noWrap/>
            <w:vAlign w:val="bottom"/>
            <w:hideMark/>
          </w:tcPr>
          <w:p w14:paraId="0D3CAC3E" w14:textId="77777777" w:rsidR="00A96774" w:rsidRPr="00A96774" w:rsidRDefault="00A96774" w:rsidP="00A96774">
            <w:pPr>
              <w:spacing w:after="0" w:line="240" w:lineRule="auto"/>
              <w:rPr>
                <w:rFonts w:ascii="Verdana" w:eastAsia="Times New Roman" w:hAnsi="Verdana" w:cs="Calibri"/>
                <w:color w:val="000000"/>
                <w:sz w:val="15"/>
                <w:szCs w:val="15"/>
                <w:lang w:eastAsia="pt-BR"/>
              </w:rPr>
            </w:pPr>
          </w:p>
        </w:tc>
        <w:tc>
          <w:tcPr>
            <w:tcW w:w="104" w:type="pct"/>
            <w:tcBorders>
              <w:top w:val="nil"/>
              <w:left w:val="nil"/>
              <w:bottom w:val="nil"/>
              <w:right w:val="nil"/>
            </w:tcBorders>
            <w:shd w:val="clear" w:color="000000" w:fill="FFFFFF"/>
            <w:noWrap/>
            <w:vAlign w:val="bottom"/>
            <w:hideMark/>
          </w:tcPr>
          <w:p w14:paraId="6BA88CCE" w14:textId="77777777" w:rsidR="00A96774" w:rsidRPr="00A96774" w:rsidRDefault="00A96774" w:rsidP="00A96774">
            <w:pPr>
              <w:spacing w:after="0" w:line="240" w:lineRule="auto"/>
              <w:rPr>
                <w:rFonts w:ascii="Verdana" w:eastAsia="Times New Roman" w:hAnsi="Verdana" w:cs="Calibri"/>
                <w:color w:val="000000"/>
                <w:sz w:val="15"/>
                <w:szCs w:val="15"/>
                <w:lang w:eastAsia="pt-BR"/>
              </w:rPr>
            </w:pPr>
            <w:r w:rsidRPr="00A96774">
              <w:rPr>
                <w:rFonts w:ascii="Verdana" w:eastAsia="Times New Roman" w:hAnsi="Verdana" w:cs="Calibri"/>
                <w:color w:val="000000"/>
                <w:sz w:val="15"/>
                <w:szCs w:val="15"/>
                <w:lang w:eastAsia="pt-BR"/>
              </w:rPr>
              <w:t> </w:t>
            </w:r>
          </w:p>
        </w:tc>
        <w:tc>
          <w:tcPr>
            <w:tcW w:w="653" w:type="pct"/>
            <w:tcBorders>
              <w:top w:val="nil"/>
              <w:left w:val="nil"/>
              <w:bottom w:val="nil"/>
              <w:right w:val="nil"/>
            </w:tcBorders>
            <w:shd w:val="clear" w:color="auto" w:fill="auto"/>
            <w:noWrap/>
            <w:vAlign w:val="bottom"/>
            <w:hideMark/>
          </w:tcPr>
          <w:p w14:paraId="3C2EAEB7" w14:textId="77777777" w:rsidR="00A96774" w:rsidRPr="00A96774" w:rsidRDefault="00A96774" w:rsidP="00A96774">
            <w:pPr>
              <w:spacing w:after="0" w:line="240" w:lineRule="auto"/>
              <w:rPr>
                <w:rFonts w:ascii="Verdana" w:eastAsia="Times New Roman" w:hAnsi="Verdana" w:cs="Calibri"/>
                <w:color w:val="000000"/>
                <w:sz w:val="15"/>
                <w:szCs w:val="15"/>
                <w:lang w:eastAsia="pt-BR"/>
              </w:rPr>
            </w:pPr>
          </w:p>
        </w:tc>
        <w:tc>
          <w:tcPr>
            <w:tcW w:w="103" w:type="pct"/>
            <w:tcBorders>
              <w:top w:val="nil"/>
              <w:left w:val="nil"/>
              <w:bottom w:val="nil"/>
              <w:right w:val="nil"/>
            </w:tcBorders>
            <w:shd w:val="clear" w:color="auto" w:fill="auto"/>
            <w:noWrap/>
            <w:vAlign w:val="bottom"/>
            <w:hideMark/>
          </w:tcPr>
          <w:p w14:paraId="65F165B0" w14:textId="77777777" w:rsidR="00A96774" w:rsidRPr="00A96774" w:rsidRDefault="00A96774" w:rsidP="00A96774">
            <w:pPr>
              <w:spacing w:after="0" w:line="240" w:lineRule="auto"/>
              <w:rPr>
                <w:rFonts w:ascii="Verdana" w:eastAsia="Times New Roman" w:hAnsi="Verdana" w:cs="Times New Roman"/>
                <w:sz w:val="15"/>
                <w:szCs w:val="15"/>
                <w:lang w:eastAsia="pt-BR"/>
              </w:rPr>
            </w:pPr>
          </w:p>
        </w:tc>
        <w:tc>
          <w:tcPr>
            <w:tcW w:w="729" w:type="pct"/>
            <w:tcBorders>
              <w:top w:val="nil"/>
              <w:left w:val="nil"/>
              <w:bottom w:val="nil"/>
              <w:right w:val="nil"/>
            </w:tcBorders>
            <w:shd w:val="clear" w:color="000000" w:fill="FFFFFF"/>
            <w:noWrap/>
            <w:vAlign w:val="bottom"/>
            <w:hideMark/>
          </w:tcPr>
          <w:p w14:paraId="78D70E84" w14:textId="77777777" w:rsidR="00A96774" w:rsidRPr="00A96774" w:rsidRDefault="00A96774" w:rsidP="00A96774">
            <w:pPr>
              <w:spacing w:after="0" w:line="240" w:lineRule="auto"/>
              <w:rPr>
                <w:rFonts w:ascii="Verdana" w:eastAsia="Times New Roman" w:hAnsi="Verdana" w:cs="Calibri"/>
                <w:color w:val="000000"/>
                <w:sz w:val="15"/>
                <w:szCs w:val="15"/>
                <w:lang w:eastAsia="pt-BR"/>
              </w:rPr>
            </w:pPr>
            <w:r w:rsidRPr="00A96774">
              <w:rPr>
                <w:rFonts w:ascii="Verdana" w:eastAsia="Times New Roman" w:hAnsi="Verdana" w:cs="Calibri"/>
                <w:color w:val="000000"/>
                <w:sz w:val="15"/>
                <w:szCs w:val="15"/>
                <w:lang w:eastAsia="pt-BR"/>
              </w:rPr>
              <w:t> </w:t>
            </w:r>
          </w:p>
        </w:tc>
      </w:tr>
      <w:tr w:rsidR="00DD4AF6" w:rsidRPr="00A96774" w14:paraId="12550517" w14:textId="77777777" w:rsidTr="00DD4AF6">
        <w:trPr>
          <w:trHeight w:val="20"/>
        </w:trPr>
        <w:tc>
          <w:tcPr>
            <w:tcW w:w="2729" w:type="pct"/>
            <w:tcBorders>
              <w:top w:val="nil"/>
              <w:left w:val="nil"/>
              <w:bottom w:val="nil"/>
              <w:right w:val="nil"/>
            </w:tcBorders>
            <w:shd w:val="clear" w:color="000000" w:fill="FFFFFF"/>
            <w:noWrap/>
            <w:vAlign w:val="center"/>
            <w:hideMark/>
          </w:tcPr>
          <w:p w14:paraId="68941C0A" w14:textId="77777777" w:rsidR="00A96774" w:rsidRPr="00A96774" w:rsidRDefault="00A96774" w:rsidP="00A96774">
            <w:pPr>
              <w:spacing w:after="0" w:line="240" w:lineRule="auto"/>
              <w:rPr>
                <w:rFonts w:ascii="Verdana" w:eastAsia="Times New Roman" w:hAnsi="Verdana" w:cs="Calibri"/>
                <w:b/>
                <w:bCs/>
                <w:color w:val="000000"/>
                <w:sz w:val="15"/>
                <w:szCs w:val="15"/>
                <w:lang w:eastAsia="pt-BR"/>
              </w:rPr>
            </w:pPr>
            <w:r w:rsidRPr="00A96774">
              <w:rPr>
                <w:rFonts w:ascii="Verdana" w:eastAsia="Times New Roman" w:hAnsi="Verdana" w:cs="Calibri"/>
                <w:b/>
                <w:bCs/>
                <w:color w:val="000000"/>
                <w:sz w:val="15"/>
                <w:szCs w:val="15"/>
                <w:lang w:eastAsia="pt-BR"/>
              </w:rPr>
              <w:t>RECEITAS OPERACIONAIS</w:t>
            </w:r>
          </w:p>
        </w:tc>
        <w:tc>
          <w:tcPr>
            <w:tcW w:w="682" w:type="pct"/>
            <w:tcBorders>
              <w:top w:val="nil"/>
              <w:left w:val="nil"/>
              <w:bottom w:val="nil"/>
              <w:right w:val="nil"/>
            </w:tcBorders>
            <w:shd w:val="clear" w:color="000000" w:fill="FFFFFF"/>
            <w:noWrap/>
            <w:vAlign w:val="bottom"/>
            <w:hideMark/>
          </w:tcPr>
          <w:p w14:paraId="15049A28" w14:textId="77777777" w:rsidR="00A96774" w:rsidRPr="00A96774" w:rsidRDefault="00A96774" w:rsidP="00A96774">
            <w:pPr>
              <w:spacing w:after="0" w:line="240" w:lineRule="auto"/>
              <w:rPr>
                <w:rFonts w:ascii="Verdana" w:eastAsia="Times New Roman" w:hAnsi="Verdana" w:cs="Calibri"/>
                <w:color w:val="000000"/>
                <w:sz w:val="15"/>
                <w:szCs w:val="15"/>
                <w:lang w:eastAsia="pt-BR"/>
              </w:rPr>
            </w:pPr>
          </w:p>
        </w:tc>
        <w:tc>
          <w:tcPr>
            <w:tcW w:w="104" w:type="pct"/>
            <w:tcBorders>
              <w:top w:val="nil"/>
              <w:left w:val="nil"/>
              <w:bottom w:val="nil"/>
              <w:right w:val="nil"/>
            </w:tcBorders>
            <w:shd w:val="clear" w:color="000000" w:fill="FFFFFF"/>
            <w:noWrap/>
            <w:vAlign w:val="center"/>
            <w:hideMark/>
          </w:tcPr>
          <w:p w14:paraId="6C9AA0EF" w14:textId="77777777" w:rsidR="00A96774" w:rsidRPr="00A96774" w:rsidRDefault="00A96774" w:rsidP="00A96774">
            <w:pPr>
              <w:spacing w:after="0" w:line="240" w:lineRule="auto"/>
              <w:rPr>
                <w:rFonts w:ascii="Verdana" w:eastAsia="Times New Roman" w:hAnsi="Verdana" w:cs="Calibri"/>
                <w:b/>
                <w:bCs/>
                <w:color w:val="000000"/>
                <w:sz w:val="15"/>
                <w:szCs w:val="15"/>
                <w:lang w:eastAsia="pt-BR"/>
              </w:rPr>
            </w:pPr>
          </w:p>
        </w:tc>
        <w:tc>
          <w:tcPr>
            <w:tcW w:w="653" w:type="pct"/>
            <w:tcBorders>
              <w:top w:val="nil"/>
              <w:left w:val="nil"/>
              <w:bottom w:val="nil"/>
              <w:right w:val="nil"/>
            </w:tcBorders>
            <w:shd w:val="clear" w:color="000000" w:fill="FFFFFF"/>
            <w:noWrap/>
            <w:vAlign w:val="bottom"/>
            <w:hideMark/>
          </w:tcPr>
          <w:p w14:paraId="031CD7B4" w14:textId="77777777" w:rsidR="00A96774" w:rsidRPr="00A96774" w:rsidRDefault="00A96774" w:rsidP="00A96774">
            <w:pPr>
              <w:spacing w:after="0" w:line="240" w:lineRule="auto"/>
              <w:rPr>
                <w:rFonts w:ascii="Verdana" w:eastAsia="Times New Roman" w:hAnsi="Verdana" w:cs="Calibri"/>
                <w:color w:val="000000"/>
                <w:sz w:val="15"/>
                <w:szCs w:val="15"/>
                <w:lang w:eastAsia="pt-BR"/>
              </w:rPr>
            </w:pPr>
          </w:p>
        </w:tc>
        <w:tc>
          <w:tcPr>
            <w:tcW w:w="103" w:type="pct"/>
            <w:tcBorders>
              <w:top w:val="nil"/>
              <w:left w:val="nil"/>
              <w:bottom w:val="nil"/>
              <w:right w:val="nil"/>
            </w:tcBorders>
            <w:shd w:val="clear" w:color="000000" w:fill="FFFFFF"/>
            <w:noWrap/>
            <w:vAlign w:val="bottom"/>
            <w:hideMark/>
          </w:tcPr>
          <w:p w14:paraId="048BD701" w14:textId="77777777" w:rsidR="00A96774" w:rsidRPr="00A96774" w:rsidRDefault="00A96774" w:rsidP="00A96774">
            <w:pPr>
              <w:spacing w:after="0" w:line="240" w:lineRule="auto"/>
              <w:rPr>
                <w:rFonts w:ascii="Verdana" w:eastAsia="Times New Roman" w:hAnsi="Verdana" w:cs="Calibri"/>
                <w:color w:val="000000"/>
                <w:sz w:val="15"/>
                <w:szCs w:val="15"/>
                <w:lang w:eastAsia="pt-BR"/>
              </w:rPr>
            </w:pPr>
          </w:p>
        </w:tc>
        <w:tc>
          <w:tcPr>
            <w:tcW w:w="729" w:type="pct"/>
            <w:tcBorders>
              <w:top w:val="nil"/>
              <w:left w:val="nil"/>
              <w:bottom w:val="nil"/>
              <w:right w:val="nil"/>
            </w:tcBorders>
            <w:shd w:val="clear" w:color="000000" w:fill="FFFFFF"/>
            <w:vAlign w:val="center"/>
            <w:hideMark/>
          </w:tcPr>
          <w:p w14:paraId="03C40734" w14:textId="77777777" w:rsidR="00A96774" w:rsidRPr="00A96774" w:rsidRDefault="00A96774" w:rsidP="00A96774">
            <w:pPr>
              <w:spacing w:after="0" w:line="240" w:lineRule="auto"/>
              <w:jc w:val="center"/>
              <w:rPr>
                <w:rFonts w:ascii="Verdana" w:eastAsia="Times New Roman" w:hAnsi="Verdana" w:cs="Calibri"/>
                <w:b/>
                <w:bCs/>
                <w:color w:val="000000"/>
                <w:sz w:val="15"/>
                <w:szCs w:val="15"/>
                <w:lang w:eastAsia="pt-BR"/>
              </w:rPr>
            </w:pPr>
          </w:p>
        </w:tc>
      </w:tr>
      <w:tr w:rsidR="00DD4AF6" w:rsidRPr="00A96774" w14:paraId="4EFB463F" w14:textId="77777777" w:rsidTr="00DD4AF6">
        <w:trPr>
          <w:trHeight w:val="20"/>
        </w:trPr>
        <w:tc>
          <w:tcPr>
            <w:tcW w:w="2729" w:type="pct"/>
            <w:tcBorders>
              <w:top w:val="nil"/>
              <w:left w:val="nil"/>
              <w:bottom w:val="nil"/>
              <w:right w:val="nil"/>
            </w:tcBorders>
            <w:shd w:val="clear" w:color="000000" w:fill="FFFFFF"/>
            <w:noWrap/>
            <w:vAlign w:val="center"/>
            <w:hideMark/>
          </w:tcPr>
          <w:p w14:paraId="62B0F835" w14:textId="77777777" w:rsidR="00A96774" w:rsidRPr="00A96774" w:rsidRDefault="00A96774" w:rsidP="00A96774">
            <w:pPr>
              <w:spacing w:after="0" w:line="240" w:lineRule="auto"/>
              <w:ind w:firstLineChars="200" w:firstLine="300"/>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Suprimento de energia Elétrica</w:t>
            </w:r>
          </w:p>
        </w:tc>
        <w:tc>
          <w:tcPr>
            <w:tcW w:w="682" w:type="pct"/>
            <w:tcBorders>
              <w:top w:val="nil"/>
              <w:left w:val="nil"/>
              <w:bottom w:val="nil"/>
              <w:right w:val="nil"/>
            </w:tcBorders>
            <w:shd w:val="clear" w:color="000000" w:fill="FFFFFF"/>
            <w:noWrap/>
            <w:vAlign w:val="bottom"/>
            <w:hideMark/>
          </w:tcPr>
          <w:p w14:paraId="3A2EECAF"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r w:rsidRPr="00A96774">
              <w:rPr>
                <w:rFonts w:ascii="Verdana" w:eastAsia="Times New Roman" w:hAnsi="Verdana" w:cs="Calibri"/>
                <w:color w:val="000000"/>
                <w:sz w:val="15"/>
                <w:szCs w:val="15"/>
                <w:lang w:eastAsia="pt-BR"/>
              </w:rPr>
              <w:t>-</w:t>
            </w:r>
          </w:p>
        </w:tc>
        <w:tc>
          <w:tcPr>
            <w:tcW w:w="104" w:type="pct"/>
            <w:tcBorders>
              <w:top w:val="nil"/>
              <w:left w:val="nil"/>
              <w:bottom w:val="nil"/>
              <w:right w:val="nil"/>
            </w:tcBorders>
            <w:shd w:val="clear" w:color="000000" w:fill="FFFFFF"/>
            <w:noWrap/>
            <w:vAlign w:val="center"/>
            <w:hideMark/>
          </w:tcPr>
          <w:p w14:paraId="353AD0D6" w14:textId="77777777" w:rsidR="00A96774" w:rsidRPr="00A96774" w:rsidRDefault="00A96774" w:rsidP="00A96774">
            <w:pPr>
              <w:spacing w:after="0" w:line="240" w:lineRule="auto"/>
              <w:ind w:firstLineChars="300" w:firstLine="450"/>
              <w:jc w:val="right"/>
              <w:rPr>
                <w:rFonts w:ascii="Verdana" w:eastAsia="Times New Roman" w:hAnsi="Verdana" w:cs="Calibri"/>
                <w:sz w:val="15"/>
                <w:szCs w:val="15"/>
                <w:lang w:eastAsia="pt-BR"/>
              </w:rPr>
            </w:pPr>
          </w:p>
        </w:tc>
        <w:tc>
          <w:tcPr>
            <w:tcW w:w="653" w:type="pct"/>
            <w:tcBorders>
              <w:top w:val="nil"/>
              <w:left w:val="nil"/>
              <w:bottom w:val="nil"/>
              <w:right w:val="nil"/>
            </w:tcBorders>
            <w:shd w:val="clear" w:color="000000" w:fill="FFFFFF"/>
            <w:noWrap/>
            <w:vAlign w:val="bottom"/>
            <w:hideMark/>
          </w:tcPr>
          <w:p w14:paraId="2C6A84B9"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r w:rsidRPr="00A96774">
              <w:rPr>
                <w:rFonts w:ascii="Verdana" w:eastAsia="Times New Roman" w:hAnsi="Verdana" w:cs="Calibri"/>
                <w:color w:val="000000"/>
                <w:sz w:val="15"/>
                <w:szCs w:val="15"/>
                <w:lang w:eastAsia="pt-BR"/>
              </w:rPr>
              <w:t>1.390.491</w:t>
            </w:r>
          </w:p>
        </w:tc>
        <w:tc>
          <w:tcPr>
            <w:tcW w:w="103" w:type="pct"/>
            <w:tcBorders>
              <w:top w:val="nil"/>
              <w:left w:val="nil"/>
              <w:bottom w:val="nil"/>
              <w:right w:val="nil"/>
            </w:tcBorders>
            <w:shd w:val="clear" w:color="000000" w:fill="FFFFFF"/>
            <w:noWrap/>
            <w:vAlign w:val="bottom"/>
            <w:hideMark/>
          </w:tcPr>
          <w:p w14:paraId="0D728507"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729" w:type="pct"/>
            <w:tcBorders>
              <w:top w:val="nil"/>
              <w:left w:val="nil"/>
              <w:bottom w:val="nil"/>
              <w:right w:val="nil"/>
            </w:tcBorders>
            <w:shd w:val="clear" w:color="000000" w:fill="FFFFFF"/>
            <w:vAlign w:val="center"/>
            <w:hideMark/>
          </w:tcPr>
          <w:p w14:paraId="7D660C85"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r w:rsidRPr="00A96774">
              <w:rPr>
                <w:rFonts w:ascii="Verdana" w:eastAsia="Times New Roman" w:hAnsi="Verdana" w:cs="Calibri"/>
                <w:color w:val="000000"/>
                <w:sz w:val="15"/>
                <w:szCs w:val="15"/>
                <w:lang w:eastAsia="pt-BR"/>
              </w:rPr>
              <w:t>1.390.491</w:t>
            </w:r>
          </w:p>
        </w:tc>
      </w:tr>
      <w:tr w:rsidR="00DD4AF6" w:rsidRPr="00A96774" w14:paraId="2FB85502" w14:textId="77777777" w:rsidTr="00DD4AF6">
        <w:trPr>
          <w:trHeight w:val="20"/>
        </w:trPr>
        <w:tc>
          <w:tcPr>
            <w:tcW w:w="2729" w:type="pct"/>
            <w:tcBorders>
              <w:top w:val="nil"/>
              <w:left w:val="nil"/>
              <w:bottom w:val="nil"/>
              <w:right w:val="nil"/>
            </w:tcBorders>
            <w:shd w:val="clear" w:color="000000" w:fill="FFFFFF"/>
            <w:noWrap/>
            <w:vAlign w:val="center"/>
            <w:hideMark/>
          </w:tcPr>
          <w:p w14:paraId="18C2C983" w14:textId="77777777" w:rsidR="00A96774" w:rsidRPr="00A96774" w:rsidRDefault="00A96774" w:rsidP="00A96774">
            <w:pPr>
              <w:spacing w:after="0" w:line="240" w:lineRule="auto"/>
              <w:ind w:firstLineChars="200" w:firstLine="300"/>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Outras Receitas</w:t>
            </w:r>
          </w:p>
        </w:tc>
        <w:tc>
          <w:tcPr>
            <w:tcW w:w="682" w:type="pct"/>
            <w:tcBorders>
              <w:top w:val="nil"/>
              <w:left w:val="nil"/>
              <w:bottom w:val="nil"/>
              <w:right w:val="nil"/>
            </w:tcBorders>
            <w:shd w:val="clear" w:color="000000" w:fill="FFFFFF"/>
            <w:noWrap/>
            <w:vAlign w:val="bottom"/>
            <w:hideMark/>
          </w:tcPr>
          <w:p w14:paraId="03B96C47"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r w:rsidRPr="00A96774">
              <w:rPr>
                <w:rFonts w:ascii="Verdana" w:eastAsia="Times New Roman" w:hAnsi="Verdana" w:cs="Calibri"/>
                <w:color w:val="000000"/>
                <w:sz w:val="15"/>
                <w:szCs w:val="15"/>
                <w:lang w:eastAsia="pt-BR"/>
              </w:rPr>
              <w:t>1.205</w:t>
            </w:r>
          </w:p>
        </w:tc>
        <w:tc>
          <w:tcPr>
            <w:tcW w:w="104" w:type="pct"/>
            <w:tcBorders>
              <w:top w:val="nil"/>
              <w:left w:val="nil"/>
              <w:bottom w:val="nil"/>
              <w:right w:val="nil"/>
            </w:tcBorders>
            <w:shd w:val="clear" w:color="000000" w:fill="FFFFFF"/>
            <w:noWrap/>
            <w:vAlign w:val="center"/>
            <w:hideMark/>
          </w:tcPr>
          <w:p w14:paraId="7B7B906B" w14:textId="77777777" w:rsidR="00A96774" w:rsidRPr="00A96774" w:rsidRDefault="00A96774" w:rsidP="00A96774">
            <w:pPr>
              <w:spacing w:after="0" w:line="240" w:lineRule="auto"/>
              <w:ind w:firstLineChars="300" w:firstLine="450"/>
              <w:jc w:val="right"/>
              <w:rPr>
                <w:rFonts w:ascii="Verdana" w:eastAsia="Times New Roman" w:hAnsi="Verdana" w:cs="Calibri"/>
                <w:sz w:val="15"/>
                <w:szCs w:val="15"/>
                <w:lang w:eastAsia="pt-BR"/>
              </w:rPr>
            </w:pPr>
          </w:p>
        </w:tc>
        <w:tc>
          <w:tcPr>
            <w:tcW w:w="653" w:type="pct"/>
            <w:tcBorders>
              <w:top w:val="nil"/>
              <w:left w:val="nil"/>
              <w:bottom w:val="nil"/>
              <w:right w:val="nil"/>
            </w:tcBorders>
            <w:shd w:val="clear" w:color="000000" w:fill="FFFFFF"/>
            <w:noWrap/>
            <w:vAlign w:val="bottom"/>
            <w:hideMark/>
          </w:tcPr>
          <w:p w14:paraId="4E6054A7"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r w:rsidRPr="00A96774">
              <w:rPr>
                <w:rFonts w:ascii="Verdana" w:eastAsia="Times New Roman" w:hAnsi="Verdana" w:cs="Calibri"/>
                <w:color w:val="000000"/>
                <w:sz w:val="15"/>
                <w:szCs w:val="15"/>
                <w:lang w:eastAsia="pt-BR"/>
              </w:rPr>
              <w:t>-</w:t>
            </w:r>
          </w:p>
        </w:tc>
        <w:tc>
          <w:tcPr>
            <w:tcW w:w="103" w:type="pct"/>
            <w:tcBorders>
              <w:top w:val="nil"/>
              <w:left w:val="nil"/>
              <w:bottom w:val="nil"/>
              <w:right w:val="nil"/>
            </w:tcBorders>
            <w:shd w:val="clear" w:color="000000" w:fill="FFFFFF"/>
            <w:noWrap/>
            <w:vAlign w:val="bottom"/>
            <w:hideMark/>
          </w:tcPr>
          <w:p w14:paraId="609C6734"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729" w:type="pct"/>
            <w:tcBorders>
              <w:top w:val="nil"/>
              <w:left w:val="nil"/>
              <w:bottom w:val="nil"/>
              <w:right w:val="nil"/>
            </w:tcBorders>
            <w:shd w:val="clear" w:color="000000" w:fill="FFFFFF"/>
            <w:vAlign w:val="center"/>
            <w:hideMark/>
          </w:tcPr>
          <w:p w14:paraId="6B301C3E"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r w:rsidRPr="00A96774">
              <w:rPr>
                <w:rFonts w:ascii="Verdana" w:eastAsia="Times New Roman" w:hAnsi="Verdana" w:cs="Calibri"/>
                <w:color w:val="000000"/>
                <w:sz w:val="15"/>
                <w:szCs w:val="15"/>
                <w:lang w:eastAsia="pt-BR"/>
              </w:rPr>
              <w:t>1.205</w:t>
            </w:r>
          </w:p>
        </w:tc>
      </w:tr>
      <w:tr w:rsidR="00DD4AF6" w:rsidRPr="00A96774" w14:paraId="613C196B" w14:textId="77777777" w:rsidTr="00DD4AF6">
        <w:trPr>
          <w:trHeight w:val="20"/>
        </w:trPr>
        <w:tc>
          <w:tcPr>
            <w:tcW w:w="2729" w:type="pct"/>
            <w:tcBorders>
              <w:top w:val="nil"/>
              <w:left w:val="nil"/>
              <w:bottom w:val="nil"/>
              <w:right w:val="nil"/>
            </w:tcBorders>
            <w:shd w:val="clear" w:color="000000" w:fill="FFFFFF"/>
            <w:noWrap/>
            <w:vAlign w:val="center"/>
            <w:hideMark/>
          </w:tcPr>
          <w:p w14:paraId="4DA20983" w14:textId="77777777" w:rsidR="00A96774" w:rsidRPr="00A96774" w:rsidRDefault="00A96774" w:rsidP="00A96774">
            <w:pPr>
              <w:spacing w:after="0" w:line="240" w:lineRule="auto"/>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 </w:t>
            </w:r>
          </w:p>
        </w:tc>
        <w:tc>
          <w:tcPr>
            <w:tcW w:w="682" w:type="pct"/>
            <w:tcBorders>
              <w:top w:val="nil"/>
              <w:left w:val="nil"/>
              <w:bottom w:val="nil"/>
              <w:right w:val="nil"/>
            </w:tcBorders>
            <w:shd w:val="clear" w:color="000000" w:fill="FFFFFF"/>
            <w:noWrap/>
            <w:vAlign w:val="bottom"/>
            <w:hideMark/>
          </w:tcPr>
          <w:p w14:paraId="5C53D3FC"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4" w:type="pct"/>
            <w:tcBorders>
              <w:top w:val="nil"/>
              <w:left w:val="nil"/>
              <w:bottom w:val="nil"/>
              <w:right w:val="nil"/>
            </w:tcBorders>
            <w:shd w:val="clear" w:color="000000" w:fill="FFFFFF"/>
            <w:noWrap/>
            <w:vAlign w:val="center"/>
            <w:hideMark/>
          </w:tcPr>
          <w:p w14:paraId="16F84BE2"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653" w:type="pct"/>
            <w:tcBorders>
              <w:top w:val="nil"/>
              <w:left w:val="nil"/>
              <w:bottom w:val="nil"/>
              <w:right w:val="nil"/>
            </w:tcBorders>
            <w:shd w:val="clear" w:color="000000" w:fill="FFFFFF"/>
            <w:noWrap/>
            <w:vAlign w:val="bottom"/>
            <w:hideMark/>
          </w:tcPr>
          <w:p w14:paraId="4E83CEB4"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3" w:type="pct"/>
            <w:tcBorders>
              <w:top w:val="nil"/>
              <w:left w:val="nil"/>
              <w:bottom w:val="nil"/>
              <w:right w:val="nil"/>
            </w:tcBorders>
            <w:shd w:val="clear" w:color="000000" w:fill="FFFFFF"/>
            <w:noWrap/>
            <w:vAlign w:val="bottom"/>
            <w:hideMark/>
          </w:tcPr>
          <w:p w14:paraId="319DB2AC"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729" w:type="pct"/>
            <w:tcBorders>
              <w:top w:val="nil"/>
              <w:left w:val="nil"/>
              <w:bottom w:val="nil"/>
              <w:right w:val="nil"/>
            </w:tcBorders>
            <w:shd w:val="clear" w:color="000000" w:fill="FFFFFF"/>
            <w:noWrap/>
            <w:vAlign w:val="center"/>
            <w:hideMark/>
          </w:tcPr>
          <w:p w14:paraId="09DC3DD0"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r>
      <w:tr w:rsidR="00DD4AF6" w:rsidRPr="00A96774" w14:paraId="7F8CA262" w14:textId="77777777" w:rsidTr="00DD4AF6">
        <w:trPr>
          <w:trHeight w:val="20"/>
        </w:trPr>
        <w:tc>
          <w:tcPr>
            <w:tcW w:w="2729" w:type="pct"/>
            <w:tcBorders>
              <w:top w:val="nil"/>
              <w:left w:val="nil"/>
              <w:bottom w:val="nil"/>
              <w:right w:val="nil"/>
            </w:tcBorders>
            <w:shd w:val="clear" w:color="000000" w:fill="FFFFFF"/>
            <w:noWrap/>
            <w:vAlign w:val="center"/>
            <w:hideMark/>
          </w:tcPr>
          <w:p w14:paraId="59A81B4D" w14:textId="77777777" w:rsidR="00A96774" w:rsidRPr="00A96774" w:rsidRDefault="00A96774" w:rsidP="00A96774">
            <w:pPr>
              <w:spacing w:after="0" w:line="240" w:lineRule="auto"/>
              <w:ind w:firstLineChars="200" w:firstLine="301"/>
              <w:rPr>
                <w:rFonts w:ascii="Verdana" w:eastAsia="Times New Roman" w:hAnsi="Verdana" w:cs="Calibri"/>
                <w:b/>
                <w:bCs/>
                <w:sz w:val="15"/>
                <w:szCs w:val="15"/>
                <w:u w:val="single"/>
                <w:lang w:eastAsia="pt-BR"/>
              </w:rPr>
            </w:pPr>
            <w:r w:rsidRPr="00A96774">
              <w:rPr>
                <w:rFonts w:ascii="Verdana" w:eastAsia="Times New Roman" w:hAnsi="Verdana" w:cs="Calibri"/>
                <w:b/>
                <w:bCs/>
                <w:sz w:val="15"/>
                <w:szCs w:val="15"/>
                <w:u w:val="single"/>
                <w:lang w:eastAsia="pt-BR"/>
              </w:rPr>
              <w:t>Deduções</w:t>
            </w:r>
          </w:p>
        </w:tc>
        <w:tc>
          <w:tcPr>
            <w:tcW w:w="682" w:type="pct"/>
            <w:tcBorders>
              <w:top w:val="nil"/>
              <w:left w:val="nil"/>
              <w:bottom w:val="nil"/>
              <w:right w:val="nil"/>
            </w:tcBorders>
            <w:shd w:val="clear" w:color="000000" w:fill="FFFFFF"/>
            <w:noWrap/>
            <w:vAlign w:val="bottom"/>
            <w:hideMark/>
          </w:tcPr>
          <w:p w14:paraId="212C355D"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4" w:type="pct"/>
            <w:tcBorders>
              <w:top w:val="nil"/>
              <w:left w:val="nil"/>
              <w:bottom w:val="nil"/>
              <w:right w:val="nil"/>
            </w:tcBorders>
            <w:shd w:val="clear" w:color="000000" w:fill="FFFFFF"/>
            <w:noWrap/>
            <w:vAlign w:val="center"/>
            <w:hideMark/>
          </w:tcPr>
          <w:p w14:paraId="3807E2D7" w14:textId="77777777" w:rsidR="00A96774" w:rsidRPr="00A96774" w:rsidRDefault="00A96774" w:rsidP="00A96774">
            <w:pPr>
              <w:spacing w:after="0" w:line="240" w:lineRule="auto"/>
              <w:ind w:firstLineChars="200" w:firstLine="301"/>
              <w:jc w:val="right"/>
              <w:rPr>
                <w:rFonts w:ascii="Verdana" w:eastAsia="Times New Roman" w:hAnsi="Verdana" w:cs="Calibri"/>
                <w:b/>
                <w:bCs/>
                <w:sz w:val="15"/>
                <w:szCs w:val="15"/>
                <w:u w:val="single"/>
                <w:lang w:eastAsia="pt-BR"/>
              </w:rPr>
            </w:pPr>
          </w:p>
        </w:tc>
        <w:tc>
          <w:tcPr>
            <w:tcW w:w="653" w:type="pct"/>
            <w:tcBorders>
              <w:top w:val="nil"/>
              <w:left w:val="nil"/>
              <w:bottom w:val="nil"/>
              <w:right w:val="nil"/>
            </w:tcBorders>
            <w:shd w:val="clear" w:color="000000" w:fill="FFFFFF"/>
            <w:noWrap/>
            <w:vAlign w:val="bottom"/>
            <w:hideMark/>
          </w:tcPr>
          <w:p w14:paraId="21961279"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3" w:type="pct"/>
            <w:tcBorders>
              <w:top w:val="nil"/>
              <w:left w:val="nil"/>
              <w:bottom w:val="nil"/>
              <w:right w:val="nil"/>
            </w:tcBorders>
            <w:shd w:val="clear" w:color="000000" w:fill="FFFFFF"/>
            <w:noWrap/>
            <w:vAlign w:val="bottom"/>
            <w:hideMark/>
          </w:tcPr>
          <w:p w14:paraId="154F608F"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729" w:type="pct"/>
            <w:tcBorders>
              <w:top w:val="nil"/>
              <w:left w:val="nil"/>
              <w:bottom w:val="nil"/>
              <w:right w:val="nil"/>
            </w:tcBorders>
            <w:shd w:val="clear" w:color="000000" w:fill="FFFFFF"/>
            <w:noWrap/>
            <w:vAlign w:val="center"/>
            <w:hideMark/>
          </w:tcPr>
          <w:p w14:paraId="2138150F"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r>
      <w:tr w:rsidR="00DD4AF6" w:rsidRPr="00A96774" w14:paraId="7CD613FC" w14:textId="77777777" w:rsidTr="00DD4AF6">
        <w:trPr>
          <w:trHeight w:val="20"/>
        </w:trPr>
        <w:tc>
          <w:tcPr>
            <w:tcW w:w="2729" w:type="pct"/>
            <w:tcBorders>
              <w:top w:val="nil"/>
              <w:left w:val="nil"/>
              <w:bottom w:val="nil"/>
              <w:right w:val="nil"/>
            </w:tcBorders>
            <w:shd w:val="clear" w:color="000000" w:fill="FFFFFF"/>
            <w:noWrap/>
            <w:vAlign w:val="center"/>
            <w:hideMark/>
          </w:tcPr>
          <w:p w14:paraId="513E83CF" w14:textId="77777777" w:rsidR="00A96774" w:rsidRPr="00A96774" w:rsidRDefault="00A96774" w:rsidP="00A96774">
            <w:pPr>
              <w:spacing w:after="0" w:line="240" w:lineRule="auto"/>
              <w:ind w:firstLineChars="100" w:firstLine="150"/>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 xml:space="preserve">    (-) Encargos setoriais e regulatórios</w:t>
            </w:r>
          </w:p>
        </w:tc>
        <w:tc>
          <w:tcPr>
            <w:tcW w:w="682" w:type="pct"/>
            <w:tcBorders>
              <w:top w:val="nil"/>
              <w:left w:val="nil"/>
              <w:bottom w:val="nil"/>
              <w:right w:val="nil"/>
            </w:tcBorders>
            <w:shd w:val="clear" w:color="000000" w:fill="FFFFFF"/>
            <w:noWrap/>
            <w:vAlign w:val="bottom"/>
            <w:hideMark/>
          </w:tcPr>
          <w:p w14:paraId="66537FED"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r w:rsidRPr="00A96774">
              <w:rPr>
                <w:rFonts w:ascii="Verdana" w:eastAsia="Times New Roman" w:hAnsi="Verdana" w:cs="Calibri"/>
                <w:color w:val="000000"/>
                <w:sz w:val="15"/>
                <w:szCs w:val="15"/>
                <w:lang w:eastAsia="pt-BR"/>
              </w:rPr>
              <w:t>-</w:t>
            </w:r>
          </w:p>
        </w:tc>
        <w:tc>
          <w:tcPr>
            <w:tcW w:w="104" w:type="pct"/>
            <w:tcBorders>
              <w:top w:val="nil"/>
              <w:left w:val="nil"/>
              <w:bottom w:val="nil"/>
              <w:right w:val="nil"/>
            </w:tcBorders>
            <w:shd w:val="clear" w:color="000000" w:fill="FFFFFF"/>
            <w:noWrap/>
            <w:vAlign w:val="center"/>
            <w:hideMark/>
          </w:tcPr>
          <w:p w14:paraId="2C5F9E3C"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653" w:type="pct"/>
            <w:tcBorders>
              <w:top w:val="nil"/>
              <w:left w:val="nil"/>
              <w:bottom w:val="nil"/>
              <w:right w:val="nil"/>
            </w:tcBorders>
            <w:shd w:val="clear" w:color="000000" w:fill="FFFFFF"/>
            <w:vAlign w:val="center"/>
            <w:hideMark/>
          </w:tcPr>
          <w:p w14:paraId="6B46364A"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r w:rsidRPr="00A96774">
              <w:rPr>
                <w:rFonts w:ascii="Verdana" w:eastAsia="Times New Roman" w:hAnsi="Verdana" w:cs="Calibri"/>
                <w:color w:val="000000"/>
                <w:sz w:val="15"/>
                <w:szCs w:val="15"/>
                <w:lang w:eastAsia="pt-BR"/>
              </w:rPr>
              <w:t>(199.623)</w:t>
            </w:r>
          </w:p>
        </w:tc>
        <w:tc>
          <w:tcPr>
            <w:tcW w:w="103" w:type="pct"/>
            <w:tcBorders>
              <w:top w:val="nil"/>
              <w:left w:val="nil"/>
              <w:bottom w:val="nil"/>
              <w:right w:val="nil"/>
            </w:tcBorders>
            <w:shd w:val="clear" w:color="000000" w:fill="FFFFFF"/>
            <w:noWrap/>
            <w:vAlign w:val="bottom"/>
            <w:hideMark/>
          </w:tcPr>
          <w:p w14:paraId="7F9DB48F"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729" w:type="pct"/>
            <w:tcBorders>
              <w:top w:val="nil"/>
              <w:left w:val="nil"/>
              <w:bottom w:val="nil"/>
              <w:right w:val="nil"/>
            </w:tcBorders>
            <w:shd w:val="clear" w:color="000000" w:fill="FFFFFF"/>
            <w:vAlign w:val="center"/>
            <w:hideMark/>
          </w:tcPr>
          <w:p w14:paraId="6024BF91"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r w:rsidRPr="00A96774">
              <w:rPr>
                <w:rFonts w:ascii="Verdana" w:eastAsia="Times New Roman" w:hAnsi="Verdana" w:cs="Calibri"/>
                <w:color w:val="000000"/>
                <w:sz w:val="15"/>
                <w:szCs w:val="15"/>
                <w:lang w:eastAsia="pt-BR"/>
              </w:rPr>
              <w:t>(199.623)</w:t>
            </w:r>
          </w:p>
        </w:tc>
      </w:tr>
      <w:tr w:rsidR="00DD4AF6" w:rsidRPr="00A96774" w14:paraId="00F06BD5" w14:textId="77777777" w:rsidTr="00DD4AF6">
        <w:trPr>
          <w:trHeight w:val="20"/>
        </w:trPr>
        <w:tc>
          <w:tcPr>
            <w:tcW w:w="2729" w:type="pct"/>
            <w:tcBorders>
              <w:top w:val="nil"/>
              <w:left w:val="nil"/>
              <w:bottom w:val="nil"/>
              <w:right w:val="nil"/>
            </w:tcBorders>
            <w:shd w:val="clear" w:color="000000" w:fill="FFFFFF"/>
            <w:noWrap/>
            <w:vAlign w:val="center"/>
            <w:hideMark/>
          </w:tcPr>
          <w:p w14:paraId="3BC9A37B" w14:textId="77777777" w:rsidR="00A96774" w:rsidRPr="00A96774" w:rsidRDefault="00A96774" w:rsidP="00A96774">
            <w:pPr>
              <w:spacing w:after="0" w:line="240" w:lineRule="auto"/>
              <w:ind w:firstLineChars="100" w:firstLine="150"/>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 xml:space="preserve">    (-) PASEP e COFINS</w:t>
            </w:r>
          </w:p>
        </w:tc>
        <w:tc>
          <w:tcPr>
            <w:tcW w:w="682" w:type="pct"/>
            <w:tcBorders>
              <w:top w:val="nil"/>
              <w:left w:val="nil"/>
              <w:bottom w:val="nil"/>
              <w:right w:val="nil"/>
            </w:tcBorders>
            <w:shd w:val="clear" w:color="000000" w:fill="FFFFFF"/>
            <w:vAlign w:val="center"/>
            <w:hideMark/>
          </w:tcPr>
          <w:p w14:paraId="4191861E" w14:textId="77777777" w:rsidR="00A96774" w:rsidRPr="00A96774" w:rsidRDefault="007B7A68" w:rsidP="00A96774">
            <w:pPr>
              <w:spacing w:after="0" w:line="240" w:lineRule="auto"/>
              <w:jc w:val="right"/>
              <w:rPr>
                <w:rFonts w:ascii="Verdana" w:eastAsia="Times New Roman" w:hAnsi="Verdana" w:cs="Calibri"/>
                <w:color w:val="000000"/>
                <w:sz w:val="15"/>
                <w:szCs w:val="15"/>
                <w:lang w:eastAsia="pt-BR"/>
              </w:rPr>
            </w:pPr>
            <w:r>
              <w:rPr>
                <w:rFonts w:ascii="Verdana" w:eastAsia="Times New Roman" w:hAnsi="Verdana" w:cs="Calibri"/>
                <w:color w:val="000000"/>
                <w:sz w:val="15"/>
                <w:szCs w:val="15"/>
                <w:lang w:eastAsia="pt-BR"/>
              </w:rPr>
              <w:t>(112</w:t>
            </w:r>
            <w:r w:rsidR="00A96774" w:rsidRPr="00A96774">
              <w:rPr>
                <w:rFonts w:ascii="Verdana" w:eastAsia="Times New Roman" w:hAnsi="Verdana" w:cs="Calibri"/>
                <w:color w:val="000000"/>
                <w:sz w:val="15"/>
                <w:szCs w:val="15"/>
                <w:lang w:eastAsia="pt-BR"/>
              </w:rPr>
              <w:t>)</w:t>
            </w:r>
          </w:p>
        </w:tc>
        <w:tc>
          <w:tcPr>
            <w:tcW w:w="104" w:type="pct"/>
            <w:tcBorders>
              <w:top w:val="nil"/>
              <w:left w:val="nil"/>
              <w:bottom w:val="nil"/>
              <w:right w:val="nil"/>
            </w:tcBorders>
            <w:shd w:val="clear" w:color="000000" w:fill="FFFFFF"/>
            <w:noWrap/>
            <w:vAlign w:val="center"/>
            <w:hideMark/>
          </w:tcPr>
          <w:p w14:paraId="06D2FDFA"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653" w:type="pct"/>
            <w:tcBorders>
              <w:top w:val="nil"/>
              <w:left w:val="nil"/>
              <w:bottom w:val="nil"/>
              <w:right w:val="nil"/>
            </w:tcBorders>
            <w:shd w:val="clear" w:color="000000" w:fill="FFFFFF"/>
            <w:vAlign w:val="center"/>
            <w:hideMark/>
          </w:tcPr>
          <w:p w14:paraId="67660176"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r w:rsidRPr="00A96774">
              <w:rPr>
                <w:rFonts w:ascii="Verdana" w:eastAsia="Times New Roman" w:hAnsi="Verdana" w:cs="Calibri"/>
                <w:color w:val="000000"/>
                <w:sz w:val="15"/>
                <w:szCs w:val="15"/>
                <w:lang w:eastAsia="pt-BR"/>
              </w:rPr>
              <w:t>(128.611)</w:t>
            </w:r>
          </w:p>
        </w:tc>
        <w:tc>
          <w:tcPr>
            <w:tcW w:w="103" w:type="pct"/>
            <w:tcBorders>
              <w:top w:val="nil"/>
              <w:left w:val="nil"/>
              <w:bottom w:val="nil"/>
              <w:right w:val="nil"/>
            </w:tcBorders>
            <w:shd w:val="clear" w:color="000000" w:fill="FFFFFF"/>
            <w:noWrap/>
            <w:vAlign w:val="bottom"/>
            <w:hideMark/>
          </w:tcPr>
          <w:p w14:paraId="4F52FB0F"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729" w:type="pct"/>
            <w:tcBorders>
              <w:top w:val="nil"/>
              <w:left w:val="nil"/>
              <w:bottom w:val="nil"/>
              <w:right w:val="nil"/>
            </w:tcBorders>
            <w:shd w:val="clear" w:color="000000" w:fill="FFFFFF"/>
            <w:vAlign w:val="center"/>
            <w:hideMark/>
          </w:tcPr>
          <w:p w14:paraId="3D765D91"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r w:rsidRPr="00A96774">
              <w:rPr>
                <w:rFonts w:ascii="Verdana" w:eastAsia="Times New Roman" w:hAnsi="Verdana" w:cs="Calibri"/>
                <w:color w:val="000000"/>
                <w:sz w:val="15"/>
                <w:szCs w:val="15"/>
                <w:lang w:eastAsia="pt-BR"/>
              </w:rPr>
              <w:t>(128.723)</w:t>
            </w:r>
          </w:p>
        </w:tc>
      </w:tr>
      <w:tr w:rsidR="00DD4AF6" w:rsidRPr="00A96774" w14:paraId="438387D1" w14:textId="77777777" w:rsidTr="00DD4AF6">
        <w:trPr>
          <w:trHeight w:val="20"/>
        </w:trPr>
        <w:tc>
          <w:tcPr>
            <w:tcW w:w="2729" w:type="pct"/>
            <w:tcBorders>
              <w:top w:val="nil"/>
              <w:left w:val="nil"/>
              <w:bottom w:val="nil"/>
              <w:right w:val="nil"/>
            </w:tcBorders>
            <w:shd w:val="clear" w:color="000000" w:fill="FFFFFF"/>
            <w:noWrap/>
            <w:vAlign w:val="center"/>
            <w:hideMark/>
          </w:tcPr>
          <w:p w14:paraId="226569ED" w14:textId="77777777" w:rsidR="00A96774" w:rsidRPr="00A96774" w:rsidRDefault="00A96774" w:rsidP="00A96774">
            <w:pPr>
              <w:spacing w:after="0" w:line="240" w:lineRule="auto"/>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 </w:t>
            </w:r>
          </w:p>
        </w:tc>
        <w:tc>
          <w:tcPr>
            <w:tcW w:w="682" w:type="pct"/>
            <w:tcBorders>
              <w:top w:val="nil"/>
              <w:left w:val="nil"/>
              <w:bottom w:val="nil"/>
              <w:right w:val="nil"/>
            </w:tcBorders>
            <w:shd w:val="clear" w:color="000000" w:fill="FFFFFF"/>
            <w:noWrap/>
            <w:vAlign w:val="bottom"/>
            <w:hideMark/>
          </w:tcPr>
          <w:p w14:paraId="279D6EA2"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4" w:type="pct"/>
            <w:tcBorders>
              <w:top w:val="nil"/>
              <w:left w:val="nil"/>
              <w:bottom w:val="nil"/>
              <w:right w:val="nil"/>
            </w:tcBorders>
            <w:shd w:val="clear" w:color="000000" w:fill="FFFFFF"/>
            <w:noWrap/>
            <w:vAlign w:val="center"/>
            <w:hideMark/>
          </w:tcPr>
          <w:p w14:paraId="5DAA1168"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653" w:type="pct"/>
            <w:tcBorders>
              <w:top w:val="nil"/>
              <w:left w:val="nil"/>
              <w:bottom w:val="nil"/>
              <w:right w:val="nil"/>
            </w:tcBorders>
            <w:shd w:val="clear" w:color="000000" w:fill="FFFFFF"/>
            <w:vAlign w:val="center"/>
            <w:hideMark/>
          </w:tcPr>
          <w:p w14:paraId="606AAF17"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3" w:type="pct"/>
            <w:tcBorders>
              <w:top w:val="nil"/>
              <w:left w:val="nil"/>
              <w:bottom w:val="nil"/>
              <w:right w:val="nil"/>
            </w:tcBorders>
            <w:shd w:val="clear" w:color="000000" w:fill="FFFFFF"/>
            <w:noWrap/>
            <w:vAlign w:val="bottom"/>
            <w:hideMark/>
          </w:tcPr>
          <w:p w14:paraId="77CBE184"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729" w:type="pct"/>
            <w:tcBorders>
              <w:top w:val="nil"/>
              <w:left w:val="nil"/>
              <w:bottom w:val="nil"/>
              <w:right w:val="nil"/>
            </w:tcBorders>
            <w:shd w:val="clear" w:color="000000" w:fill="FFFFFF"/>
            <w:noWrap/>
            <w:vAlign w:val="center"/>
            <w:hideMark/>
          </w:tcPr>
          <w:p w14:paraId="63976ED3"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r>
      <w:tr w:rsidR="00DD4AF6" w:rsidRPr="00A96774" w14:paraId="7A836FBF" w14:textId="77777777" w:rsidTr="00DD4AF6">
        <w:trPr>
          <w:trHeight w:val="20"/>
        </w:trPr>
        <w:tc>
          <w:tcPr>
            <w:tcW w:w="2729" w:type="pct"/>
            <w:tcBorders>
              <w:top w:val="nil"/>
              <w:left w:val="nil"/>
              <w:bottom w:val="nil"/>
              <w:right w:val="nil"/>
            </w:tcBorders>
            <w:shd w:val="clear" w:color="000000" w:fill="FFFFFF"/>
            <w:noWrap/>
            <w:vAlign w:val="center"/>
            <w:hideMark/>
          </w:tcPr>
          <w:p w14:paraId="27FE3DBC" w14:textId="77777777" w:rsidR="00A96774" w:rsidRPr="00A96774" w:rsidRDefault="00A96774" w:rsidP="00A96774">
            <w:pPr>
              <w:spacing w:after="0" w:line="240" w:lineRule="auto"/>
              <w:rPr>
                <w:rFonts w:ascii="Verdana" w:eastAsia="Times New Roman" w:hAnsi="Verdana" w:cs="Calibri"/>
                <w:b/>
                <w:bCs/>
                <w:color w:val="000000"/>
                <w:sz w:val="15"/>
                <w:szCs w:val="15"/>
                <w:lang w:eastAsia="pt-BR"/>
              </w:rPr>
            </w:pPr>
            <w:r w:rsidRPr="00A96774">
              <w:rPr>
                <w:rFonts w:ascii="Verdana" w:eastAsia="Times New Roman" w:hAnsi="Verdana" w:cs="Calibri"/>
                <w:b/>
                <w:bCs/>
                <w:color w:val="000000"/>
                <w:sz w:val="15"/>
                <w:szCs w:val="15"/>
                <w:lang w:eastAsia="pt-BR"/>
              </w:rPr>
              <w:t>Receita Operacional Líquida</w:t>
            </w:r>
          </w:p>
        </w:tc>
        <w:tc>
          <w:tcPr>
            <w:tcW w:w="682" w:type="pct"/>
            <w:tcBorders>
              <w:top w:val="single" w:sz="4" w:space="0" w:color="auto"/>
              <w:left w:val="nil"/>
              <w:bottom w:val="nil"/>
              <w:right w:val="nil"/>
            </w:tcBorders>
            <w:shd w:val="clear" w:color="000000" w:fill="FFFFFF"/>
            <w:noWrap/>
            <w:vAlign w:val="center"/>
            <w:hideMark/>
          </w:tcPr>
          <w:p w14:paraId="5F9322D9" w14:textId="77777777" w:rsidR="00A96774" w:rsidRPr="00A96774" w:rsidRDefault="00A96774" w:rsidP="00A96774">
            <w:pPr>
              <w:spacing w:after="0" w:line="240" w:lineRule="auto"/>
              <w:jc w:val="right"/>
              <w:rPr>
                <w:rFonts w:ascii="Verdana" w:eastAsia="Times New Roman" w:hAnsi="Verdana" w:cs="Calibri"/>
                <w:b/>
                <w:bCs/>
                <w:sz w:val="15"/>
                <w:szCs w:val="15"/>
                <w:lang w:eastAsia="pt-BR"/>
              </w:rPr>
            </w:pPr>
            <w:r w:rsidRPr="00A96774">
              <w:rPr>
                <w:rFonts w:ascii="Verdana" w:eastAsia="Times New Roman" w:hAnsi="Verdana" w:cs="Calibri"/>
                <w:b/>
                <w:bCs/>
                <w:sz w:val="15"/>
                <w:szCs w:val="15"/>
                <w:lang w:eastAsia="pt-BR"/>
              </w:rPr>
              <w:t>1.093</w:t>
            </w:r>
          </w:p>
        </w:tc>
        <w:tc>
          <w:tcPr>
            <w:tcW w:w="104" w:type="pct"/>
            <w:tcBorders>
              <w:top w:val="nil"/>
              <w:left w:val="nil"/>
              <w:bottom w:val="nil"/>
              <w:right w:val="nil"/>
            </w:tcBorders>
            <w:shd w:val="clear" w:color="000000" w:fill="FFFFFF"/>
            <w:noWrap/>
            <w:vAlign w:val="center"/>
            <w:hideMark/>
          </w:tcPr>
          <w:p w14:paraId="2AACB899" w14:textId="77777777" w:rsidR="00A96774" w:rsidRPr="00A96774" w:rsidRDefault="00A96774" w:rsidP="00A96774">
            <w:pPr>
              <w:spacing w:after="0" w:line="240" w:lineRule="auto"/>
              <w:jc w:val="right"/>
              <w:rPr>
                <w:rFonts w:ascii="Verdana" w:eastAsia="Times New Roman" w:hAnsi="Verdana" w:cs="Calibri"/>
                <w:b/>
                <w:bCs/>
                <w:color w:val="000000"/>
                <w:sz w:val="15"/>
                <w:szCs w:val="15"/>
                <w:lang w:eastAsia="pt-BR"/>
              </w:rPr>
            </w:pPr>
          </w:p>
        </w:tc>
        <w:tc>
          <w:tcPr>
            <w:tcW w:w="653" w:type="pct"/>
            <w:tcBorders>
              <w:top w:val="single" w:sz="4" w:space="0" w:color="auto"/>
              <w:left w:val="nil"/>
              <w:bottom w:val="nil"/>
              <w:right w:val="nil"/>
            </w:tcBorders>
            <w:shd w:val="clear" w:color="000000" w:fill="FFFFFF"/>
            <w:noWrap/>
            <w:vAlign w:val="center"/>
            <w:hideMark/>
          </w:tcPr>
          <w:p w14:paraId="3F329049" w14:textId="77777777" w:rsidR="00A96774" w:rsidRPr="00A96774" w:rsidRDefault="00A96774" w:rsidP="00A96774">
            <w:pPr>
              <w:spacing w:after="0" w:line="240" w:lineRule="auto"/>
              <w:jc w:val="right"/>
              <w:rPr>
                <w:rFonts w:ascii="Verdana" w:eastAsia="Times New Roman" w:hAnsi="Verdana" w:cs="Calibri"/>
                <w:b/>
                <w:bCs/>
                <w:sz w:val="15"/>
                <w:szCs w:val="15"/>
                <w:lang w:eastAsia="pt-BR"/>
              </w:rPr>
            </w:pPr>
            <w:r w:rsidRPr="00A96774">
              <w:rPr>
                <w:rFonts w:ascii="Verdana" w:eastAsia="Times New Roman" w:hAnsi="Verdana" w:cs="Calibri"/>
                <w:b/>
                <w:bCs/>
                <w:sz w:val="15"/>
                <w:szCs w:val="15"/>
                <w:lang w:eastAsia="pt-BR"/>
              </w:rPr>
              <w:t>1.062.25</w:t>
            </w:r>
            <w:r w:rsidR="00B61E2E">
              <w:rPr>
                <w:rFonts w:ascii="Verdana" w:eastAsia="Times New Roman" w:hAnsi="Verdana" w:cs="Calibri"/>
                <w:b/>
                <w:bCs/>
                <w:sz w:val="15"/>
                <w:szCs w:val="15"/>
                <w:lang w:eastAsia="pt-BR"/>
              </w:rPr>
              <w:t>7</w:t>
            </w:r>
          </w:p>
        </w:tc>
        <w:tc>
          <w:tcPr>
            <w:tcW w:w="103" w:type="pct"/>
            <w:tcBorders>
              <w:top w:val="nil"/>
              <w:left w:val="nil"/>
              <w:bottom w:val="nil"/>
              <w:right w:val="nil"/>
            </w:tcBorders>
            <w:shd w:val="clear" w:color="000000" w:fill="FFFFFF"/>
            <w:noWrap/>
            <w:vAlign w:val="center"/>
            <w:hideMark/>
          </w:tcPr>
          <w:p w14:paraId="11D61E08" w14:textId="77777777" w:rsidR="00A96774" w:rsidRPr="00A96774" w:rsidRDefault="00A96774" w:rsidP="00A96774">
            <w:pPr>
              <w:spacing w:after="0" w:line="240" w:lineRule="auto"/>
              <w:jc w:val="right"/>
              <w:rPr>
                <w:rFonts w:ascii="Verdana" w:eastAsia="Times New Roman" w:hAnsi="Verdana" w:cs="Calibri"/>
                <w:b/>
                <w:bCs/>
                <w:sz w:val="15"/>
                <w:szCs w:val="15"/>
                <w:lang w:eastAsia="pt-BR"/>
              </w:rPr>
            </w:pPr>
          </w:p>
        </w:tc>
        <w:tc>
          <w:tcPr>
            <w:tcW w:w="729" w:type="pct"/>
            <w:tcBorders>
              <w:top w:val="single" w:sz="4" w:space="0" w:color="auto"/>
              <w:left w:val="nil"/>
              <w:bottom w:val="nil"/>
              <w:right w:val="nil"/>
            </w:tcBorders>
            <w:shd w:val="clear" w:color="000000" w:fill="FFFFFF"/>
            <w:noWrap/>
            <w:vAlign w:val="center"/>
            <w:hideMark/>
          </w:tcPr>
          <w:p w14:paraId="5E4AE6C1" w14:textId="77777777" w:rsidR="00A96774" w:rsidRPr="00A96774" w:rsidRDefault="00A96774" w:rsidP="00A96774">
            <w:pPr>
              <w:spacing w:after="0" w:line="240" w:lineRule="auto"/>
              <w:jc w:val="right"/>
              <w:rPr>
                <w:rFonts w:ascii="Verdana" w:eastAsia="Times New Roman" w:hAnsi="Verdana" w:cs="Calibri"/>
                <w:b/>
                <w:bCs/>
                <w:sz w:val="15"/>
                <w:szCs w:val="15"/>
                <w:lang w:eastAsia="pt-BR"/>
              </w:rPr>
            </w:pPr>
            <w:r w:rsidRPr="00A96774">
              <w:rPr>
                <w:rFonts w:ascii="Verdana" w:eastAsia="Times New Roman" w:hAnsi="Verdana" w:cs="Calibri"/>
                <w:b/>
                <w:bCs/>
                <w:sz w:val="15"/>
                <w:szCs w:val="15"/>
                <w:lang w:eastAsia="pt-BR"/>
              </w:rPr>
              <w:t>1.063.350</w:t>
            </w:r>
          </w:p>
        </w:tc>
      </w:tr>
      <w:tr w:rsidR="00DD4AF6" w:rsidRPr="00A96774" w14:paraId="0BBC39CE" w14:textId="77777777" w:rsidTr="00DD4AF6">
        <w:trPr>
          <w:trHeight w:val="20"/>
        </w:trPr>
        <w:tc>
          <w:tcPr>
            <w:tcW w:w="2729" w:type="pct"/>
            <w:tcBorders>
              <w:top w:val="nil"/>
              <w:left w:val="nil"/>
              <w:bottom w:val="nil"/>
              <w:right w:val="nil"/>
            </w:tcBorders>
            <w:shd w:val="clear" w:color="000000" w:fill="FFFFFF"/>
            <w:noWrap/>
            <w:vAlign w:val="center"/>
            <w:hideMark/>
          </w:tcPr>
          <w:p w14:paraId="1F62F956" w14:textId="77777777" w:rsidR="00A96774" w:rsidRPr="00A96774" w:rsidRDefault="00A96774" w:rsidP="00A96774">
            <w:pPr>
              <w:spacing w:after="0" w:line="240" w:lineRule="auto"/>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 </w:t>
            </w:r>
          </w:p>
        </w:tc>
        <w:tc>
          <w:tcPr>
            <w:tcW w:w="682" w:type="pct"/>
            <w:tcBorders>
              <w:top w:val="nil"/>
              <w:left w:val="nil"/>
              <w:bottom w:val="nil"/>
              <w:right w:val="nil"/>
            </w:tcBorders>
            <w:shd w:val="clear" w:color="000000" w:fill="FFFFFF"/>
            <w:noWrap/>
            <w:vAlign w:val="bottom"/>
            <w:hideMark/>
          </w:tcPr>
          <w:p w14:paraId="330410F7"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4" w:type="pct"/>
            <w:tcBorders>
              <w:top w:val="nil"/>
              <w:left w:val="nil"/>
              <w:bottom w:val="nil"/>
              <w:right w:val="nil"/>
            </w:tcBorders>
            <w:shd w:val="clear" w:color="000000" w:fill="FFFFFF"/>
            <w:noWrap/>
            <w:vAlign w:val="center"/>
            <w:hideMark/>
          </w:tcPr>
          <w:p w14:paraId="3E0B9A77"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653" w:type="pct"/>
            <w:tcBorders>
              <w:top w:val="nil"/>
              <w:left w:val="nil"/>
              <w:bottom w:val="nil"/>
              <w:right w:val="nil"/>
            </w:tcBorders>
            <w:shd w:val="clear" w:color="000000" w:fill="FFFFFF"/>
            <w:noWrap/>
            <w:vAlign w:val="bottom"/>
            <w:hideMark/>
          </w:tcPr>
          <w:p w14:paraId="5E318CB0"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3" w:type="pct"/>
            <w:tcBorders>
              <w:top w:val="nil"/>
              <w:left w:val="nil"/>
              <w:bottom w:val="nil"/>
              <w:right w:val="nil"/>
            </w:tcBorders>
            <w:shd w:val="clear" w:color="000000" w:fill="FFFFFF"/>
            <w:noWrap/>
            <w:vAlign w:val="bottom"/>
            <w:hideMark/>
          </w:tcPr>
          <w:p w14:paraId="2DEF2464"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729" w:type="pct"/>
            <w:tcBorders>
              <w:top w:val="nil"/>
              <w:left w:val="nil"/>
              <w:bottom w:val="nil"/>
              <w:right w:val="nil"/>
            </w:tcBorders>
            <w:shd w:val="clear" w:color="000000" w:fill="FFFFFF"/>
            <w:noWrap/>
            <w:vAlign w:val="center"/>
            <w:hideMark/>
          </w:tcPr>
          <w:p w14:paraId="4A53CBBF"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r>
      <w:tr w:rsidR="00DD4AF6" w:rsidRPr="00A96774" w14:paraId="7503DF8C" w14:textId="77777777" w:rsidTr="00DD4AF6">
        <w:trPr>
          <w:trHeight w:val="20"/>
        </w:trPr>
        <w:tc>
          <w:tcPr>
            <w:tcW w:w="2729" w:type="pct"/>
            <w:tcBorders>
              <w:top w:val="nil"/>
              <w:left w:val="nil"/>
              <w:bottom w:val="nil"/>
              <w:right w:val="nil"/>
            </w:tcBorders>
            <w:shd w:val="clear" w:color="000000" w:fill="FFFFFF"/>
            <w:noWrap/>
            <w:vAlign w:val="center"/>
            <w:hideMark/>
          </w:tcPr>
          <w:p w14:paraId="4F023807" w14:textId="77777777" w:rsidR="00A96774" w:rsidRPr="00A96774" w:rsidRDefault="00A96774" w:rsidP="00A96774">
            <w:pPr>
              <w:spacing w:after="0" w:line="240" w:lineRule="auto"/>
              <w:rPr>
                <w:rFonts w:ascii="Verdana" w:eastAsia="Times New Roman" w:hAnsi="Verdana" w:cs="Calibri"/>
                <w:b/>
                <w:bCs/>
                <w:color w:val="000000"/>
                <w:sz w:val="15"/>
                <w:szCs w:val="15"/>
                <w:lang w:eastAsia="pt-BR"/>
              </w:rPr>
            </w:pPr>
            <w:r w:rsidRPr="00A96774">
              <w:rPr>
                <w:rFonts w:ascii="Verdana" w:eastAsia="Times New Roman" w:hAnsi="Verdana" w:cs="Calibri"/>
                <w:b/>
                <w:bCs/>
                <w:color w:val="000000"/>
                <w:sz w:val="15"/>
                <w:szCs w:val="15"/>
                <w:lang w:eastAsia="pt-BR"/>
              </w:rPr>
              <w:t>CUSTOS OPERACIONAIS</w:t>
            </w:r>
          </w:p>
        </w:tc>
        <w:tc>
          <w:tcPr>
            <w:tcW w:w="682" w:type="pct"/>
            <w:tcBorders>
              <w:top w:val="nil"/>
              <w:left w:val="nil"/>
              <w:bottom w:val="nil"/>
              <w:right w:val="nil"/>
            </w:tcBorders>
            <w:shd w:val="clear" w:color="000000" w:fill="FFFFFF"/>
            <w:noWrap/>
            <w:vAlign w:val="bottom"/>
            <w:hideMark/>
          </w:tcPr>
          <w:p w14:paraId="232C341E"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4" w:type="pct"/>
            <w:tcBorders>
              <w:top w:val="nil"/>
              <w:left w:val="nil"/>
              <w:bottom w:val="nil"/>
              <w:right w:val="nil"/>
            </w:tcBorders>
            <w:shd w:val="clear" w:color="000000" w:fill="FFFFFF"/>
            <w:noWrap/>
            <w:vAlign w:val="center"/>
            <w:hideMark/>
          </w:tcPr>
          <w:p w14:paraId="71D838FD" w14:textId="77777777" w:rsidR="00A96774" w:rsidRPr="00A96774" w:rsidRDefault="00A96774" w:rsidP="00A96774">
            <w:pPr>
              <w:spacing w:after="0" w:line="240" w:lineRule="auto"/>
              <w:jc w:val="right"/>
              <w:rPr>
                <w:rFonts w:ascii="Verdana" w:eastAsia="Times New Roman" w:hAnsi="Verdana" w:cs="Calibri"/>
                <w:b/>
                <w:bCs/>
                <w:color w:val="000000"/>
                <w:sz w:val="15"/>
                <w:szCs w:val="15"/>
                <w:lang w:eastAsia="pt-BR"/>
              </w:rPr>
            </w:pPr>
          </w:p>
        </w:tc>
        <w:tc>
          <w:tcPr>
            <w:tcW w:w="653" w:type="pct"/>
            <w:tcBorders>
              <w:top w:val="nil"/>
              <w:left w:val="nil"/>
              <w:bottom w:val="nil"/>
              <w:right w:val="nil"/>
            </w:tcBorders>
            <w:shd w:val="clear" w:color="000000" w:fill="FFFFFF"/>
            <w:noWrap/>
            <w:vAlign w:val="bottom"/>
            <w:hideMark/>
          </w:tcPr>
          <w:p w14:paraId="0F0F36CD"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3" w:type="pct"/>
            <w:tcBorders>
              <w:top w:val="nil"/>
              <w:left w:val="nil"/>
              <w:bottom w:val="nil"/>
              <w:right w:val="nil"/>
            </w:tcBorders>
            <w:shd w:val="clear" w:color="000000" w:fill="FFFFFF"/>
            <w:noWrap/>
            <w:vAlign w:val="bottom"/>
            <w:hideMark/>
          </w:tcPr>
          <w:p w14:paraId="55B617BC"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729" w:type="pct"/>
            <w:tcBorders>
              <w:top w:val="nil"/>
              <w:left w:val="nil"/>
              <w:bottom w:val="nil"/>
              <w:right w:val="nil"/>
            </w:tcBorders>
            <w:shd w:val="clear" w:color="000000" w:fill="FFFFFF"/>
            <w:noWrap/>
            <w:vAlign w:val="center"/>
            <w:hideMark/>
          </w:tcPr>
          <w:p w14:paraId="45B96927"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r>
      <w:tr w:rsidR="00DD4AF6" w:rsidRPr="00A96774" w14:paraId="62956FCD" w14:textId="77777777" w:rsidTr="00DD4AF6">
        <w:trPr>
          <w:trHeight w:val="20"/>
        </w:trPr>
        <w:tc>
          <w:tcPr>
            <w:tcW w:w="2729" w:type="pct"/>
            <w:tcBorders>
              <w:top w:val="nil"/>
              <w:left w:val="nil"/>
              <w:bottom w:val="nil"/>
              <w:right w:val="nil"/>
            </w:tcBorders>
            <w:shd w:val="clear" w:color="000000" w:fill="FFFFFF"/>
            <w:noWrap/>
            <w:vAlign w:val="center"/>
            <w:hideMark/>
          </w:tcPr>
          <w:p w14:paraId="30A3EAA8" w14:textId="77777777" w:rsidR="00A96774" w:rsidRPr="00A96774" w:rsidRDefault="00A96774" w:rsidP="00A96774">
            <w:pPr>
              <w:spacing w:after="0" w:line="240" w:lineRule="auto"/>
              <w:rPr>
                <w:rFonts w:ascii="Verdana" w:eastAsia="Times New Roman" w:hAnsi="Verdana" w:cs="Calibri"/>
                <w:color w:val="000000"/>
                <w:sz w:val="15"/>
                <w:szCs w:val="15"/>
                <w:lang w:eastAsia="pt-BR"/>
              </w:rPr>
            </w:pPr>
            <w:r w:rsidRPr="00A96774">
              <w:rPr>
                <w:rFonts w:ascii="Verdana" w:eastAsia="Times New Roman" w:hAnsi="Verdana" w:cs="Calibri"/>
                <w:color w:val="000000"/>
                <w:sz w:val="15"/>
                <w:szCs w:val="15"/>
                <w:lang w:eastAsia="pt-BR"/>
              </w:rPr>
              <w:t xml:space="preserve">    Energia Comprada Para Revenda</w:t>
            </w:r>
          </w:p>
        </w:tc>
        <w:tc>
          <w:tcPr>
            <w:tcW w:w="682" w:type="pct"/>
            <w:tcBorders>
              <w:top w:val="nil"/>
              <w:left w:val="nil"/>
              <w:bottom w:val="nil"/>
              <w:right w:val="nil"/>
            </w:tcBorders>
            <w:shd w:val="clear" w:color="000000" w:fill="FFFFFF"/>
            <w:noWrap/>
            <w:vAlign w:val="center"/>
            <w:hideMark/>
          </w:tcPr>
          <w:p w14:paraId="1B6DFEFB"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r w:rsidRPr="00A96774">
              <w:rPr>
                <w:rFonts w:ascii="Verdana" w:eastAsia="Times New Roman" w:hAnsi="Verdana" w:cs="Calibri"/>
                <w:color w:val="000000"/>
                <w:sz w:val="15"/>
                <w:szCs w:val="15"/>
                <w:lang w:eastAsia="pt-BR"/>
              </w:rPr>
              <w:t>-</w:t>
            </w:r>
          </w:p>
        </w:tc>
        <w:tc>
          <w:tcPr>
            <w:tcW w:w="104" w:type="pct"/>
            <w:tcBorders>
              <w:top w:val="nil"/>
              <w:left w:val="nil"/>
              <w:bottom w:val="nil"/>
              <w:right w:val="nil"/>
            </w:tcBorders>
            <w:shd w:val="clear" w:color="000000" w:fill="FFFFFF"/>
            <w:vAlign w:val="center"/>
            <w:hideMark/>
          </w:tcPr>
          <w:p w14:paraId="65DBB5C1"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653" w:type="pct"/>
            <w:tcBorders>
              <w:top w:val="nil"/>
              <w:left w:val="nil"/>
              <w:bottom w:val="nil"/>
              <w:right w:val="nil"/>
            </w:tcBorders>
            <w:shd w:val="clear" w:color="000000" w:fill="FFFFFF"/>
            <w:vAlign w:val="center"/>
            <w:hideMark/>
          </w:tcPr>
          <w:p w14:paraId="38D88D66"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r w:rsidRPr="00A96774">
              <w:rPr>
                <w:rFonts w:ascii="Verdana" w:eastAsia="Times New Roman" w:hAnsi="Verdana" w:cs="Calibri"/>
                <w:color w:val="000000"/>
                <w:sz w:val="15"/>
                <w:szCs w:val="15"/>
                <w:lang w:eastAsia="pt-BR"/>
              </w:rPr>
              <w:t>(1.030.279)</w:t>
            </w:r>
          </w:p>
        </w:tc>
        <w:tc>
          <w:tcPr>
            <w:tcW w:w="103" w:type="pct"/>
            <w:tcBorders>
              <w:top w:val="nil"/>
              <w:left w:val="nil"/>
              <w:bottom w:val="nil"/>
              <w:right w:val="nil"/>
            </w:tcBorders>
            <w:shd w:val="clear" w:color="000000" w:fill="FFFFFF"/>
            <w:vAlign w:val="center"/>
            <w:hideMark/>
          </w:tcPr>
          <w:p w14:paraId="66B54530"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729" w:type="pct"/>
            <w:tcBorders>
              <w:top w:val="nil"/>
              <w:left w:val="nil"/>
              <w:bottom w:val="nil"/>
              <w:right w:val="nil"/>
            </w:tcBorders>
            <w:shd w:val="clear" w:color="000000" w:fill="FFFFFF"/>
            <w:vAlign w:val="center"/>
            <w:hideMark/>
          </w:tcPr>
          <w:p w14:paraId="532C390C"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r w:rsidRPr="00A96774">
              <w:rPr>
                <w:rFonts w:ascii="Verdana" w:eastAsia="Times New Roman" w:hAnsi="Verdana" w:cs="Calibri"/>
                <w:color w:val="000000"/>
                <w:sz w:val="15"/>
                <w:szCs w:val="15"/>
                <w:lang w:eastAsia="pt-BR"/>
              </w:rPr>
              <w:t>(1.030.279)</w:t>
            </w:r>
          </w:p>
        </w:tc>
      </w:tr>
      <w:tr w:rsidR="00DD4AF6" w:rsidRPr="00A96774" w14:paraId="0CE4A5AA" w14:textId="77777777" w:rsidTr="00DD4AF6">
        <w:trPr>
          <w:trHeight w:val="20"/>
        </w:trPr>
        <w:tc>
          <w:tcPr>
            <w:tcW w:w="2729" w:type="pct"/>
            <w:tcBorders>
              <w:top w:val="nil"/>
              <w:left w:val="nil"/>
              <w:bottom w:val="nil"/>
              <w:right w:val="nil"/>
            </w:tcBorders>
            <w:shd w:val="clear" w:color="000000" w:fill="FFFFFF"/>
            <w:noWrap/>
            <w:vAlign w:val="center"/>
            <w:hideMark/>
          </w:tcPr>
          <w:p w14:paraId="19EF01A3" w14:textId="77777777" w:rsidR="00A96774" w:rsidRPr="00A96774" w:rsidRDefault="00A96774" w:rsidP="00A96774">
            <w:pPr>
              <w:spacing w:after="0" w:line="240" w:lineRule="auto"/>
              <w:rPr>
                <w:rFonts w:ascii="Verdana" w:eastAsia="Times New Roman" w:hAnsi="Verdana" w:cs="Calibri"/>
                <w:b/>
                <w:bCs/>
                <w:color w:val="000000"/>
                <w:sz w:val="15"/>
                <w:szCs w:val="15"/>
                <w:lang w:eastAsia="pt-BR"/>
              </w:rPr>
            </w:pPr>
            <w:r w:rsidRPr="00A96774">
              <w:rPr>
                <w:rFonts w:ascii="Verdana" w:eastAsia="Times New Roman" w:hAnsi="Verdana" w:cs="Calibri"/>
                <w:b/>
                <w:bCs/>
                <w:color w:val="000000"/>
                <w:sz w:val="15"/>
                <w:szCs w:val="15"/>
                <w:lang w:eastAsia="pt-BR"/>
              </w:rPr>
              <w:t> </w:t>
            </w:r>
          </w:p>
        </w:tc>
        <w:tc>
          <w:tcPr>
            <w:tcW w:w="682" w:type="pct"/>
            <w:tcBorders>
              <w:top w:val="nil"/>
              <w:left w:val="nil"/>
              <w:bottom w:val="nil"/>
              <w:right w:val="nil"/>
            </w:tcBorders>
            <w:shd w:val="clear" w:color="000000" w:fill="FFFFFF"/>
            <w:noWrap/>
            <w:vAlign w:val="bottom"/>
            <w:hideMark/>
          </w:tcPr>
          <w:p w14:paraId="011E8EDA"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4" w:type="pct"/>
            <w:tcBorders>
              <w:top w:val="nil"/>
              <w:left w:val="nil"/>
              <w:bottom w:val="nil"/>
              <w:right w:val="nil"/>
            </w:tcBorders>
            <w:shd w:val="clear" w:color="000000" w:fill="FFFFFF"/>
            <w:noWrap/>
            <w:vAlign w:val="center"/>
            <w:hideMark/>
          </w:tcPr>
          <w:p w14:paraId="0C5B035C" w14:textId="77777777" w:rsidR="00A96774" w:rsidRPr="00A96774" w:rsidRDefault="00A96774" w:rsidP="00A96774">
            <w:pPr>
              <w:spacing w:after="0" w:line="240" w:lineRule="auto"/>
              <w:jc w:val="right"/>
              <w:rPr>
                <w:rFonts w:ascii="Verdana" w:eastAsia="Times New Roman" w:hAnsi="Verdana" w:cs="Calibri"/>
                <w:b/>
                <w:bCs/>
                <w:color w:val="000000"/>
                <w:sz w:val="15"/>
                <w:szCs w:val="15"/>
                <w:lang w:eastAsia="pt-BR"/>
              </w:rPr>
            </w:pPr>
          </w:p>
        </w:tc>
        <w:tc>
          <w:tcPr>
            <w:tcW w:w="653" w:type="pct"/>
            <w:tcBorders>
              <w:top w:val="nil"/>
              <w:left w:val="nil"/>
              <w:bottom w:val="nil"/>
              <w:right w:val="nil"/>
            </w:tcBorders>
            <w:shd w:val="clear" w:color="000000" w:fill="FFFFFF"/>
            <w:noWrap/>
            <w:vAlign w:val="bottom"/>
            <w:hideMark/>
          </w:tcPr>
          <w:p w14:paraId="1A9CA2D0"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3" w:type="pct"/>
            <w:tcBorders>
              <w:top w:val="nil"/>
              <w:left w:val="nil"/>
              <w:bottom w:val="nil"/>
              <w:right w:val="nil"/>
            </w:tcBorders>
            <w:shd w:val="clear" w:color="000000" w:fill="FFFFFF"/>
            <w:noWrap/>
            <w:vAlign w:val="bottom"/>
            <w:hideMark/>
          </w:tcPr>
          <w:p w14:paraId="061EC1FF"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729" w:type="pct"/>
            <w:tcBorders>
              <w:top w:val="nil"/>
              <w:left w:val="nil"/>
              <w:bottom w:val="nil"/>
              <w:right w:val="nil"/>
            </w:tcBorders>
            <w:shd w:val="clear" w:color="000000" w:fill="FFFFFF"/>
            <w:noWrap/>
            <w:vAlign w:val="center"/>
            <w:hideMark/>
          </w:tcPr>
          <w:p w14:paraId="650506D9"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r>
      <w:tr w:rsidR="00DD4AF6" w:rsidRPr="00A96774" w14:paraId="188EF173" w14:textId="77777777" w:rsidTr="00DD4AF6">
        <w:trPr>
          <w:trHeight w:val="20"/>
        </w:trPr>
        <w:tc>
          <w:tcPr>
            <w:tcW w:w="2729" w:type="pct"/>
            <w:tcBorders>
              <w:top w:val="nil"/>
              <w:left w:val="nil"/>
              <w:bottom w:val="nil"/>
              <w:right w:val="nil"/>
            </w:tcBorders>
            <w:shd w:val="clear" w:color="000000" w:fill="FFFFFF"/>
            <w:noWrap/>
            <w:vAlign w:val="center"/>
            <w:hideMark/>
          </w:tcPr>
          <w:p w14:paraId="3AB41910" w14:textId="77777777" w:rsidR="00A96774" w:rsidRPr="00A96774" w:rsidRDefault="00A96774" w:rsidP="00A96774">
            <w:pPr>
              <w:spacing w:after="0" w:line="240" w:lineRule="auto"/>
              <w:rPr>
                <w:rFonts w:ascii="Verdana" w:eastAsia="Times New Roman" w:hAnsi="Verdana" w:cs="Calibri"/>
                <w:b/>
                <w:bCs/>
                <w:color w:val="000000"/>
                <w:sz w:val="15"/>
                <w:szCs w:val="15"/>
                <w:lang w:eastAsia="pt-BR"/>
              </w:rPr>
            </w:pPr>
            <w:r w:rsidRPr="00A96774">
              <w:rPr>
                <w:rFonts w:ascii="Verdana" w:eastAsia="Times New Roman" w:hAnsi="Verdana" w:cs="Calibri"/>
                <w:b/>
                <w:bCs/>
                <w:color w:val="000000"/>
                <w:sz w:val="15"/>
                <w:szCs w:val="15"/>
                <w:lang w:eastAsia="pt-BR"/>
              </w:rPr>
              <w:t>RESULTADO BRUTO</w:t>
            </w:r>
          </w:p>
        </w:tc>
        <w:tc>
          <w:tcPr>
            <w:tcW w:w="682" w:type="pct"/>
            <w:tcBorders>
              <w:top w:val="single" w:sz="4" w:space="0" w:color="auto"/>
              <w:left w:val="nil"/>
              <w:bottom w:val="single" w:sz="4" w:space="0" w:color="auto"/>
              <w:right w:val="nil"/>
            </w:tcBorders>
            <w:shd w:val="clear" w:color="000000" w:fill="FFFFFF"/>
            <w:noWrap/>
            <w:vAlign w:val="center"/>
            <w:hideMark/>
          </w:tcPr>
          <w:p w14:paraId="2A325E65" w14:textId="77777777" w:rsidR="00A96774" w:rsidRPr="00A96774" w:rsidRDefault="00A96774" w:rsidP="00A96774">
            <w:pPr>
              <w:spacing w:after="0" w:line="240" w:lineRule="auto"/>
              <w:jc w:val="right"/>
              <w:rPr>
                <w:rFonts w:ascii="Verdana" w:eastAsia="Times New Roman" w:hAnsi="Verdana" w:cs="Calibri"/>
                <w:b/>
                <w:bCs/>
                <w:sz w:val="15"/>
                <w:szCs w:val="15"/>
                <w:lang w:eastAsia="pt-BR"/>
              </w:rPr>
            </w:pPr>
            <w:r w:rsidRPr="00A96774">
              <w:rPr>
                <w:rFonts w:ascii="Verdana" w:eastAsia="Times New Roman" w:hAnsi="Verdana" w:cs="Calibri"/>
                <w:b/>
                <w:bCs/>
                <w:sz w:val="15"/>
                <w:szCs w:val="15"/>
                <w:lang w:eastAsia="pt-BR"/>
              </w:rPr>
              <w:t>1.093</w:t>
            </w:r>
          </w:p>
        </w:tc>
        <w:tc>
          <w:tcPr>
            <w:tcW w:w="104" w:type="pct"/>
            <w:tcBorders>
              <w:top w:val="nil"/>
              <w:left w:val="nil"/>
              <w:bottom w:val="nil"/>
              <w:right w:val="nil"/>
            </w:tcBorders>
            <w:shd w:val="clear" w:color="000000" w:fill="FFFFFF"/>
            <w:noWrap/>
            <w:vAlign w:val="center"/>
            <w:hideMark/>
          </w:tcPr>
          <w:p w14:paraId="695C0B86" w14:textId="77777777" w:rsidR="00A96774" w:rsidRPr="00A96774" w:rsidRDefault="00A96774" w:rsidP="00A96774">
            <w:pPr>
              <w:spacing w:after="0" w:line="240" w:lineRule="auto"/>
              <w:jc w:val="right"/>
              <w:rPr>
                <w:rFonts w:ascii="Verdana" w:eastAsia="Times New Roman" w:hAnsi="Verdana" w:cs="Calibri"/>
                <w:b/>
                <w:bCs/>
                <w:color w:val="000000"/>
                <w:sz w:val="15"/>
                <w:szCs w:val="15"/>
                <w:lang w:eastAsia="pt-BR"/>
              </w:rPr>
            </w:pPr>
          </w:p>
        </w:tc>
        <w:tc>
          <w:tcPr>
            <w:tcW w:w="653" w:type="pct"/>
            <w:tcBorders>
              <w:top w:val="single" w:sz="4" w:space="0" w:color="auto"/>
              <w:left w:val="nil"/>
              <w:bottom w:val="single" w:sz="4" w:space="0" w:color="auto"/>
              <w:right w:val="nil"/>
            </w:tcBorders>
            <w:shd w:val="clear" w:color="000000" w:fill="FFFFFF"/>
            <w:noWrap/>
            <w:vAlign w:val="center"/>
            <w:hideMark/>
          </w:tcPr>
          <w:p w14:paraId="0B3314C9" w14:textId="77777777" w:rsidR="00A96774" w:rsidRPr="00A96774" w:rsidRDefault="00A96774" w:rsidP="00A96774">
            <w:pPr>
              <w:spacing w:after="0" w:line="240" w:lineRule="auto"/>
              <w:jc w:val="right"/>
              <w:rPr>
                <w:rFonts w:ascii="Verdana" w:eastAsia="Times New Roman" w:hAnsi="Verdana" w:cs="Calibri"/>
                <w:b/>
                <w:bCs/>
                <w:sz w:val="15"/>
                <w:szCs w:val="15"/>
                <w:lang w:eastAsia="pt-BR"/>
              </w:rPr>
            </w:pPr>
            <w:r w:rsidRPr="00A96774">
              <w:rPr>
                <w:rFonts w:ascii="Verdana" w:eastAsia="Times New Roman" w:hAnsi="Verdana" w:cs="Calibri"/>
                <w:b/>
                <w:bCs/>
                <w:sz w:val="15"/>
                <w:szCs w:val="15"/>
                <w:lang w:eastAsia="pt-BR"/>
              </w:rPr>
              <w:t>31.978</w:t>
            </w:r>
          </w:p>
        </w:tc>
        <w:tc>
          <w:tcPr>
            <w:tcW w:w="103" w:type="pct"/>
            <w:tcBorders>
              <w:top w:val="nil"/>
              <w:left w:val="nil"/>
              <w:bottom w:val="nil"/>
              <w:right w:val="nil"/>
            </w:tcBorders>
            <w:shd w:val="clear" w:color="000000" w:fill="FFFFFF"/>
            <w:noWrap/>
            <w:vAlign w:val="center"/>
            <w:hideMark/>
          </w:tcPr>
          <w:p w14:paraId="41B11539" w14:textId="77777777" w:rsidR="00A96774" w:rsidRPr="00A96774" w:rsidRDefault="00A96774" w:rsidP="00A96774">
            <w:pPr>
              <w:spacing w:after="0" w:line="240" w:lineRule="auto"/>
              <w:jc w:val="right"/>
              <w:rPr>
                <w:rFonts w:ascii="Verdana" w:eastAsia="Times New Roman" w:hAnsi="Verdana" w:cs="Calibri"/>
                <w:b/>
                <w:bCs/>
                <w:sz w:val="15"/>
                <w:szCs w:val="15"/>
                <w:lang w:eastAsia="pt-BR"/>
              </w:rPr>
            </w:pPr>
          </w:p>
        </w:tc>
        <w:tc>
          <w:tcPr>
            <w:tcW w:w="729" w:type="pct"/>
            <w:tcBorders>
              <w:top w:val="single" w:sz="4" w:space="0" w:color="auto"/>
              <w:left w:val="nil"/>
              <w:bottom w:val="single" w:sz="4" w:space="0" w:color="auto"/>
              <w:right w:val="nil"/>
            </w:tcBorders>
            <w:shd w:val="clear" w:color="000000" w:fill="FFFFFF"/>
            <w:noWrap/>
            <w:vAlign w:val="center"/>
            <w:hideMark/>
          </w:tcPr>
          <w:p w14:paraId="4187FA02" w14:textId="77777777" w:rsidR="00A96774" w:rsidRPr="00A96774" w:rsidRDefault="00A96774" w:rsidP="00A96774">
            <w:pPr>
              <w:spacing w:after="0" w:line="240" w:lineRule="auto"/>
              <w:jc w:val="right"/>
              <w:rPr>
                <w:rFonts w:ascii="Verdana" w:eastAsia="Times New Roman" w:hAnsi="Verdana" w:cs="Calibri"/>
                <w:b/>
                <w:bCs/>
                <w:sz w:val="15"/>
                <w:szCs w:val="15"/>
                <w:lang w:eastAsia="pt-BR"/>
              </w:rPr>
            </w:pPr>
            <w:r w:rsidRPr="00A96774">
              <w:rPr>
                <w:rFonts w:ascii="Verdana" w:eastAsia="Times New Roman" w:hAnsi="Verdana" w:cs="Calibri"/>
                <w:b/>
                <w:bCs/>
                <w:sz w:val="15"/>
                <w:szCs w:val="15"/>
                <w:lang w:eastAsia="pt-BR"/>
              </w:rPr>
              <w:t>33.071</w:t>
            </w:r>
          </w:p>
        </w:tc>
      </w:tr>
      <w:tr w:rsidR="00DD4AF6" w:rsidRPr="00A96774" w14:paraId="230E24C2" w14:textId="77777777" w:rsidTr="00DD4AF6">
        <w:trPr>
          <w:trHeight w:val="20"/>
        </w:trPr>
        <w:tc>
          <w:tcPr>
            <w:tcW w:w="2729" w:type="pct"/>
            <w:tcBorders>
              <w:top w:val="nil"/>
              <w:left w:val="nil"/>
              <w:bottom w:val="nil"/>
              <w:right w:val="nil"/>
            </w:tcBorders>
            <w:shd w:val="clear" w:color="000000" w:fill="FFFFFF"/>
            <w:noWrap/>
            <w:vAlign w:val="center"/>
            <w:hideMark/>
          </w:tcPr>
          <w:p w14:paraId="3ED190A2" w14:textId="77777777" w:rsidR="00A96774" w:rsidRPr="00A96774" w:rsidRDefault="00A96774" w:rsidP="00A96774">
            <w:pPr>
              <w:spacing w:after="0" w:line="240" w:lineRule="auto"/>
              <w:rPr>
                <w:rFonts w:ascii="Verdana" w:eastAsia="Times New Roman" w:hAnsi="Verdana" w:cs="Calibri"/>
                <w:b/>
                <w:bCs/>
                <w:color w:val="000000"/>
                <w:sz w:val="15"/>
                <w:szCs w:val="15"/>
                <w:lang w:eastAsia="pt-BR"/>
              </w:rPr>
            </w:pPr>
            <w:r w:rsidRPr="00A96774">
              <w:rPr>
                <w:rFonts w:ascii="Verdana" w:eastAsia="Times New Roman" w:hAnsi="Verdana" w:cs="Calibri"/>
                <w:b/>
                <w:bCs/>
                <w:color w:val="000000"/>
                <w:sz w:val="15"/>
                <w:szCs w:val="15"/>
                <w:lang w:eastAsia="pt-BR"/>
              </w:rPr>
              <w:t> </w:t>
            </w:r>
          </w:p>
        </w:tc>
        <w:tc>
          <w:tcPr>
            <w:tcW w:w="682" w:type="pct"/>
            <w:tcBorders>
              <w:top w:val="nil"/>
              <w:left w:val="nil"/>
              <w:bottom w:val="nil"/>
              <w:right w:val="nil"/>
            </w:tcBorders>
            <w:shd w:val="clear" w:color="000000" w:fill="FFFFFF"/>
            <w:noWrap/>
            <w:vAlign w:val="bottom"/>
            <w:hideMark/>
          </w:tcPr>
          <w:p w14:paraId="08A6781D"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4" w:type="pct"/>
            <w:tcBorders>
              <w:top w:val="nil"/>
              <w:left w:val="nil"/>
              <w:bottom w:val="nil"/>
              <w:right w:val="nil"/>
            </w:tcBorders>
            <w:shd w:val="clear" w:color="000000" w:fill="FFFFFF"/>
            <w:noWrap/>
            <w:vAlign w:val="center"/>
            <w:hideMark/>
          </w:tcPr>
          <w:p w14:paraId="755A9B2B" w14:textId="77777777" w:rsidR="00A96774" w:rsidRPr="00A96774" w:rsidRDefault="00A96774" w:rsidP="00A96774">
            <w:pPr>
              <w:spacing w:after="0" w:line="240" w:lineRule="auto"/>
              <w:jc w:val="right"/>
              <w:rPr>
                <w:rFonts w:ascii="Verdana" w:eastAsia="Times New Roman" w:hAnsi="Verdana" w:cs="Calibri"/>
                <w:b/>
                <w:bCs/>
                <w:color w:val="000000"/>
                <w:sz w:val="15"/>
                <w:szCs w:val="15"/>
                <w:lang w:eastAsia="pt-BR"/>
              </w:rPr>
            </w:pPr>
          </w:p>
        </w:tc>
        <w:tc>
          <w:tcPr>
            <w:tcW w:w="653" w:type="pct"/>
            <w:tcBorders>
              <w:top w:val="nil"/>
              <w:left w:val="nil"/>
              <w:bottom w:val="nil"/>
              <w:right w:val="nil"/>
            </w:tcBorders>
            <w:shd w:val="clear" w:color="000000" w:fill="FFFFFF"/>
            <w:noWrap/>
            <w:vAlign w:val="bottom"/>
            <w:hideMark/>
          </w:tcPr>
          <w:p w14:paraId="2FFFA806"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3" w:type="pct"/>
            <w:tcBorders>
              <w:top w:val="nil"/>
              <w:left w:val="nil"/>
              <w:bottom w:val="nil"/>
              <w:right w:val="nil"/>
            </w:tcBorders>
            <w:shd w:val="clear" w:color="000000" w:fill="FFFFFF"/>
            <w:noWrap/>
            <w:vAlign w:val="bottom"/>
            <w:hideMark/>
          </w:tcPr>
          <w:p w14:paraId="7DDDBB21"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729" w:type="pct"/>
            <w:tcBorders>
              <w:top w:val="nil"/>
              <w:left w:val="nil"/>
              <w:bottom w:val="nil"/>
              <w:right w:val="nil"/>
            </w:tcBorders>
            <w:shd w:val="clear" w:color="000000" w:fill="FFFFFF"/>
            <w:noWrap/>
            <w:vAlign w:val="center"/>
            <w:hideMark/>
          </w:tcPr>
          <w:p w14:paraId="3E60CFBC"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r>
      <w:tr w:rsidR="00DD4AF6" w:rsidRPr="00A96774" w14:paraId="784B0FE8" w14:textId="77777777" w:rsidTr="00DD4AF6">
        <w:trPr>
          <w:trHeight w:val="20"/>
        </w:trPr>
        <w:tc>
          <w:tcPr>
            <w:tcW w:w="2729" w:type="pct"/>
            <w:tcBorders>
              <w:top w:val="nil"/>
              <w:left w:val="nil"/>
              <w:bottom w:val="nil"/>
              <w:right w:val="nil"/>
            </w:tcBorders>
            <w:shd w:val="clear" w:color="000000" w:fill="FFFFFF"/>
            <w:noWrap/>
            <w:vAlign w:val="center"/>
            <w:hideMark/>
          </w:tcPr>
          <w:p w14:paraId="70A4E890" w14:textId="77777777" w:rsidR="00A96774" w:rsidRPr="00A96774" w:rsidRDefault="00A96774" w:rsidP="00A96774">
            <w:pPr>
              <w:spacing w:after="0" w:line="240" w:lineRule="auto"/>
              <w:rPr>
                <w:rFonts w:ascii="Verdana" w:eastAsia="Times New Roman" w:hAnsi="Verdana" w:cs="Calibri"/>
                <w:b/>
                <w:bCs/>
                <w:color w:val="000000"/>
                <w:sz w:val="15"/>
                <w:szCs w:val="15"/>
                <w:lang w:eastAsia="pt-BR"/>
              </w:rPr>
            </w:pPr>
            <w:r w:rsidRPr="00A96774">
              <w:rPr>
                <w:rFonts w:ascii="Verdana" w:eastAsia="Times New Roman" w:hAnsi="Verdana" w:cs="Calibri"/>
                <w:b/>
                <w:bCs/>
                <w:color w:val="000000"/>
                <w:sz w:val="15"/>
                <w:szCs w:val="15"/>
                <w:lang w:eastAsia="pt-BR"/>
              </w:rPr>
              <w:t>DESPESAS OPERACIONAIS</w:t>
            </w:r>
          </w:p>
        </w:tc>
        <w:tc>
          <w:tcPr>
            <w:tcW w:w="682" w:type="pct"/>
            <w:tcBorders>
              <w:top w:val="nil"/>
              <w:left w:val="nil"/>
              <w:bottom w:val="nil"/>
              <w:right w:val="nil"/>
            </w:tcBorders>
            <w:shd w:val="clear" w:color="000000" w:fill="FFFFFF"/>
            <w:noWrap/>
            <w:vAlign w:val="bottom"/>
            <w:hideMark/>
          </w:tcPr>
          <w:p w14:paraId="017ABE19"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4" w:type="pct"/>
            <w:tcBorders>
              <w:top w:val="nil"/>
              <w:left w:val="nil"/>
              <w:bottom w:val="nil"/>
              <w:right w:val="nil"/>
            </w:tcBorders>
            <w:shd w:val="clear" w:color="000000" w:fill="FFFFFF"/>
            <w:noWrap/>
            <w:vAlign w:val="center"/>
            <w:hideMark/>
          </w:tcPr>
          <w:p w14:paraId="5CDB7A34" w14:textId="77777777" w:rsidR="00A96774" w:rsidRPr="00A96774" w:rsidRDefault="00A96774" w:rsidP="00A96774">
            <w:pPr>
              <w:spacing w:after="0" w:line="240" w:lineRule="auto"/>
              <w:jc w:val="right"/>
              <w:rPr>
                <w:rFonts w:ascii="Verdana" w:eastAsia="Times New Roman" w:hAnsi="Verdana" w:cs="Calibri"/>
                <w:b/>
                <w:bCs/>
                <w:color w:val="000000"/>
                <w:sz w:val="15"/>
                <w:szCs w:val="15"/>
                <w:lang w:eastAsia="pt-BR"/>
              </w:rPr>
            </w:pPr>
          </w:p>
        </w:tc>
        <w:tc>
          <w:tcPr>
            <w:tcW w:w="653" w:type="pct"/>
            <w:tcBorders>
              <w:top w:val="nil"/>
              <w:left w:val="nil"/>
              <w:bottom w:val="nil"/>
              <w:right w:val="nil"/>
            </w:tcBorders>
            <w:shd w:val="clear" w:color="000000" w:fill="FFFFFF"/>
            <w:noWrap/>
            <w:vAlign w:val="bottom"/>
            <w:hideMark/>
          </w:tcPr>
          <w:p w14:paraId="6AEC14C6"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3" w:type="pct"/>
            <w:tcBorders>
              <w:top w:val="nil"/>
              <w:left w:val="nil"/>
              <w:bottom w:val="nil"/>
              <w:right w:val="nil"/>
            </w:tcBorders>
            <w:shd w:val="clear" w:color="000000" w:fill="FFFFFF"/>
            <w:noWrap/>
            <w:vAlign w:val="bottom"/>
            <w:hideMark/>
          </w:tcPr>
          <w:p w14:paraId="7DE5ED35"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729" w:type="pct"/>
            <w:tcBorders>
              <w:top w:val="nil"/>
              <w:left w:val="nil"/>
              <w:bottom w:val="nil"/>
              <w:right w:val="nil"/>
            </w:tcBorders>
            <w:shd w:val="clear" w:color="000000" w:fill="FFFFFF"/>
            <w:noWrap/>
            <w:vAlign w:val="center"/>
            <w:hideMark/>
          </w:tcPr>
          <w:p w14:paraId="78C9FF10"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r>
      <w:tr w:rsidR="00DD4AF6" w:rsidRPr="00A96774" w14:paraId="499E2617" w14:textId="77777777" w:rsidTr="00DD4AF6">
        <w:trPr>
          <w:trHeight w:val="20"/>
        </w:trPr>
        <w:tc>
          <w:tcPr>
            <w:tcW w:w="2729" w:type="pct"/>
            <w:tcBorders>
              <w:top w:val="nil"/>
              <w:left w:val="nil"/>
              <w:bottom w:val="nil"/>
              <w:right w:val="nil"/>
            </w:tcBorders>
            <w:shd w:val="clear" w:color="000000" w:fill="FFFFFF"/>
            <w:noWrap/>
            <w:vAlign w:val="center"/>
            <w:hideMark/>
          </w:tcPr>
          <w:p w14:paraId="72AE244D" w14:textId="77777777" w:rsidR="00A96774" w:rsidRPr="00A96774" w:rsidRDefault="00A96774" w:rsidP="00A96774">
            <w:pPr>
              <w:spacing w:after="0" w:line="240" w:lineRule="auto"/>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 </w:t>
            </w:r>
          </w:p>
        </w:tc>
        <w:tc>
          <w:tcPr>
            <w:tcW w:w="682" w:type="pct"/>
            <w:tcBorders>
              <w:top w:val="nil"/>
              <w:left w:val="nil"/>
              <w:bottom w:val="nil"/>
              <w:right w:val="nil"/>
            </w:tcBorders>
            <w:shd w:val="clear" w:color="000000" w:fill="FFFFFF"/>
            <w:noWrap/>
            <w:vAlign w:val="bottom"/>
            <w:hideMark/>
          </w:tcPr>
          <w:p w14:paraId="1DB382E7"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4" w:type="pct"/>
            <w:tcBorders>
              <w:top w:val="nil"/>
              <w:left w:val="nil"/>
              <w:bottom w:val="nil"/>
              <w:right w:val="nil"/>
            </w:tcBorders>
            <w:shd w:val="clear" w:color="000000" w:fill="FFFFFF"/>
            <w:noWrap/>
            <w:vAlign w:val="center"/>
            <w:hideMark/>
          </w:tcPr>
          <w:p w14:paraId="0AB1A52C"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653" w:type="pct"/>
            <w:tcBorders>
              <w:top w:val="nil"/>
              <w:left w:val="nil"/>
              <w:bottom w:val="nil"/>
              <w:right w:val="nil"/>
            </w:tcBorders>
            <w:shd w:val="clear" w:color="000000" w:fill="FFFFFF"/>
            <w:noWrap/>
            <w:vAlign w:val="bottom"/>
            <w:hideMark/>
          </w:tcPr>
          <w:p w14:paraId="5C1A46E0"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3" w:type="pct"/>
            <w:tcBorders>
              <w:top w:val="nil"/>
              <w:left w:val="nil"/>
              <w:bottom w:val="nil"/>
              <w:right w:val="nil"/>
            </w:tcBorders>
            <w:shd w:val="clear" w:color="000000" w:fill="FFFFFF"/>
            <w:noWrap/>
            <w:vAlign w:val="bottom"/>
            <w:hideMark/>
          </w:tcPr>
          <w:p w14:paraId="771DDA8F"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729" w:type="pct"/>
            <w:tcBorders>
              <w:top w:val="nil"/>
              <w:left w:val="nil"/>
              <w:bottom w:val="nil"/>
              <w:right w:val="nil"/>
            </w:tcBorders>
            <w:shd w:val="clear" w:color="000000" w:fill="FFFFFF"/>
            <w:noWrap/>
            <w:vAlign w:val="center"/>
            <w:hideMark/>
          </w:tcPr>
          <w:p w14:paraId="4F56A253"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r>
      <w:tr w:rsidR="00DD4AF6" w:rsidRPr="00A96774" w14:paraId="13BB6D17" w14:textId="77777777" w:rsidTr="00DD4AF6">
        <w:trPr>
          <w:trHeight w:val="20"/>
        </w:trPr>
        <w:tc>
          <w:tcPr>
            <w:tcW w:w="2729" w:type="pct"/>
            <w:tcBorders>
              <w:top w:val="nil"/>
              <w:left w:val="nil"/>
              <w:bottom w:val="nil"/>
              <w:right w:val="nil"/>
            </w:tcBorders>
            <w:shd w:val="clear" w:color="000000" w:fill="FFFFFF"/>
            <w:noWrap/>
            <w:vAlign w:val="center"/>
            <w:hideMark/>
          </w:tcPr>
          <w:p w14:paraId="53281553" w14:textId="77777777" w:rsidR="00A96774" w:rsidRPr="00A96774" w:rsidRDefault="00A96774" w:rsidP="00A96774">
            <w:pPr>
              <w:spacing w:after="0" w:line="240" w:lineRule="auto"/>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 xml:space="preserve">    Pessoal, Material e Serviços</w:t>
            </w:r>
          </w:p>
        </w:tc>
        <w:tc>
          <w:tcPr>
            <w:tcW w:w="682" w:type="pct"/>
            <w:tcBorders>
              <w:top w:val="nil"/>
              <w:left w:val="nil"/>
              <w:bottom w:val="nil"/>
              <w:right w:val="nil"/>
            </w:tcBorders>
            <w:shd w:val="clear" w:color="000000" w:fill="FFFFFF"/>
            <w:noWrap/>
            <w:vAlign w:val="center"/>
            <w:hideMark/>
          </w:tcPr>
          <w:p w14:paraId="43C6EA3E" w14:textId="77777777" w:rsidR="00A96774" w:rsidRPr="00A96774" w:rsidRDefault="00A96774" w:rsidP="00A96774">
            <w:pPr>
              <w:spacing w:after="0" w:line="240" w:lineRule="auto"/>
              <w:jc w:val="right"/>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(4.423)</w:t>
            </w:r>
          </w:p>
        </w:tc>
        <w:tc>
          <w:tcPr>
            <w:tcW w:w="104" w:type="pct"/>
            <w:tcBorders>
              <w:top w:val="nil"/>
              <w:left w:val="nil"/>
              <w:bottom w:val="nil"/>
              <w:right w:val="nil"/>
            </w:tcBorders>
            <w:shd w:val="clear" w:color="000000" w:fill="FFFFFF"/>
            <w:noWrap/>
            <w:vAlign w:val="center"/>
            <w:hideMark/>
          </w:tcPr>
          <w:p w14:paraId="4115253D"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653" w:type="pct"/>
            <w:tcBorders>
              <w:top w:val="nil"/>
              <w:left w:val="nil"/>
              <w:bottom w:val="nil"/>
              <w:right w:val="nil"/>
            </w:tcBorders>
            <w:shd w:val="clear" w:color="000000" w:fill="FFFFFF"/>
            <w:noWrap/>
            <w:vAlign w:val="bottom"/>
            <w:hideMark/>
          </w:tcPr>
          <w:p w14:paraId="63427165"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r w:rsidRPr="00A96774">
              <w:rPr>
                <w:rFonts w:ascii="Verdana" w:eastAsia="Times New Roman" w:hAnsi="Verdana" w:cs="Calibri"/>
                <w:color w:val="000000"/>
                <w:sz w:val="15"/>
                <w:szCs w:val="15"/>
                <w:lang w:eastAsia="pt-BR"/>
              </w:rPr>
              <w:t>-</w:t>
            </w:r>
          </w:p>
        </w:tc>
        <w:tc>
          <w:tcPr>
            <w:tcW w:w="103" w:type="pct"/>
            <w:tcBorders>
              <w:top w:val="nil"/>
              <w:left w:val="nil"/>
              <w:bottom w:val="nil"/>
              <w:right w:val="nil"/>
            </w:tcBorders>
            <w:shd w:val="clear" w:color="000000" w:fill="FFFFFF"/>
            <w:noWrap/>
            <w:vAlign w:val="center"/>
            <w:hideMark/>
          </w:tcPr>
          <w:p w14:paraId="0705208A"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729" w:type="pct"/>
            <w:tcBorders>
              <w:top w:val="nil"/>
              <w:left w:val="nil"/>
              <w:bottom w:val="nil"/>
              <w:right w:val="nil"/>
            </w:tcBorders>
            <w:shd w:val="clear" w:color="000000" w:fill="FFFFFF"/>
            <w:noWrap/>
            <w:vAlign w:val="center"/>
            <w:hideMark/>
          </w:tcPr>
          <w:p w14:paraId="6ABDF05F" w14:textId="77777777" w:rsidR="00A96774" w:rsidRPr="00A96774" w:rsidRDefault="00A96774" w:rsidP="00A96774">
            <w:pPr>
              <w:spacing w:after="0" w:line="240" w:lineRule="auto"/>
              <w:jc w:val="right"/>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(4.423)</w:t>
            </w:r>
          </w:p>
        </w:tc>
      </w:tr>
      <w:tr w:rsidR="00DD4AF6" w:rsidRPr="00A96774" w14:paraId="70AAF208" w14:textId="77777777" w:rsidTr="00DD4AF6">
        <w:trPr>
          <w:trHeight w:val="20"/>
        </w:trPr>
        <w:tc>
          <w:tcPr>
            <w:tcW w:w="2729" w:type="pct"/>
            <w:tcBorders>
              <w:top w:val="nil"/>
              <w:left w:val="nil"/>
              <w:bottom w:val="nil"/>
              <w:right w:val="nil"/>
            </w:tcBorders>
            <w:shd w:val="clear" w:color="000000" w:fill="FFFFFF"/>
            <w:noWrap/>
            <w:vAlign w:val="center"/>
            <w:hideMark/>
          </w:tcPr>
          <w:p w14:paraId="1854D982" w14:textId="77777777" w:rsidR="00A96774" w:rsidRPr="00A96774" w:rsidRDefault="00A96774" w:rsidP="00A96774">
            <w:pPr>
              <w:spacing w:after="0" w:line="240" w:lineRule="auto"/>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 xml:space="preserve">    Equivalência patrimonial</w:t>
            </w:r>
          </w:p>
        </w:tc>
        <w:tc>
          <w:tcPr>
            <w:tcW w:w="682" w:type="pct"/>
            <w:tcBorders>
              <w:top w:val="nil"/>
              <w:left w:val="nil"/>
              <w:bottom w:val="nil"/>
              <w:right w:val="nil"/>
            </w:tcBorders>
            <w:shd w:val="clear" w:color="000000" w:fill="FFFFFF"/>
            <w:noWrap/>
            <w:vAlign w:val="center"/>
            <w:hideMark/>
          </w:tcPr>
          <w:p w14:paraId="0A291504" w14:textId="77777777" w:rsidR="00A96774" w:rsidRPr="00A96774" w:rsidRDefault="00A96774" w:rsidP="00A96774">
            <w:pPr>
              <w:spacing w:after="0" w:line="240" w:lineRule="auto"/>
              <w:jc w:val="right"/>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(7.757)</w:t>
            </w:r>
          </w:p>
        </w:tc>
        <w:tc>
          <w:tcPr>
            <w:tcW w:w="104" w:type="pct"/>
            <w:tcBorders>
              <w:top w:val="nil"/>
              <w:left w:val="nil"/>
              <w:bottom w:val="nil"/>
              <w:right w:val="nil"/>
            </w:tcBorders>
            <w:shd w:val="clear" w:color="000000" w:fill="FFFFFF"/>
            <w:noWrap/>
            <w:vAlign w:val="center"/>
            <w:hideMark/>
          </w:tcPr>
          <w:p w14:paraId="6517E430"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653" w:type="pct"/>
            <w:tcBorders>
              <w:top w:val="nil"/>
              <w:left w:val="nil"/>
              <w:bottom w:val="nil"/>
              <w:right w:val="nil"/>
            </w:tcBorders>
            <w:shd w:val="clear" w:color="000000" w:fill="FFFFFF"/>
            <w:noWrap/>
            <w:vAlign w:val="bottom"/>
            <w:hideMark/>
          </w:tcPr>
          <w:p w14:paraId="6099E5F2"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r w:rsidRPr="00A96774">
              <w:rPr>
                <w:rFonts w:ascii="Verdana" w:eastAsia="Times New Roman" w:hAnsi="Verdana" w:cs="Calibri"/>
                <w:color w:val="000000"/>
                <w:sz w:val="15"/>
                <w:szCs w:val="15"/>
                <w:lang w:eastAsia="pt-BR"/>
              </w:rPr>
              <w:t>-</w:t>
            </w:r>
          </w:p>
        </w:tc>
        <w:tc>
          <w:tcPr>
            <w:tcW w:w="103" w:type="pct"/>
            <w:tcBorders>
              <w:top w:val="nil"/>
              <w:left w:val="nil"/>
              <w:bottom w:val="nil"/>
              <w:right w:val="nil"/>
            </w:tcBorders>
            <w:shd w:val="clear" w:color="000000" w:fill="FFFFFF"/>
            <w:noWrap/>
            <w:vAlign w:val="center"/>
            <w:hideMark/>
          </w:tcPr>
          <w:p w14:paraId="0B174CF5"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729" w:type="pct"/>
            <w:tcBorders>
              <w:top w:val="nil"/>
              <w:left w:val="nil"/>
              <w:bottom w:val="nil"/>
              <w:right w:val="nil"/>
            </w:tcBorders>
            <w:shd w:val="clear" w:color="000000" w:fill="FFFFFF"/>
            <w:noWrap/>
            <w:vAlign w:val="center"/>
            <w:hideMark/>
          </w:tcPr>
          <w:p w14:paraId="17F016E4" w14:textId="77777777" w:rsidR="00A96774" w:rsidRPr="00A96774" w:rsidRDefault="00A96774" w:rsidP="00A96774">
            <w:pPr>
              <w:spacing w:after="0" w:line="240" w:lineRule="auto"/>
              <w:jc w:val="right"/>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(7.757)</w:t>
            </w:r>
          </w:p>
        </w:tc>
      </w:tr>
      <w:tr w:rsidR="00DD4AF6" w:rsidRPr="00A96774" w14:paraId="6CF89F64" w14:textId="77777777" w:rsidTr="00DD4AF6">
        <w:trPr>
          <w:trHeight w:val="20"/>
        </w:trPr>
        <w:tc>
          <w:tcPr>
            <w:tcW w:w="2729" w:type="pct"/>
            <w:tcBorders>
              <w:top w:val="nil"/>
              <w:left w:val="nil"/>
              <w:bottom w:val="nil"/>
              <w:right w:val="nil"/>
            </w:tcBorders>
            <w:shd w:val="clear" w:color="000000" w:fill="FFFFFF"/>
            <w:noWrap/>
            <w:vAlign w:val="center"/>
            <w:hideMark/>
          </w:tcPr>
          <w:p w14:paraId="69140880" w14:textId="77777777" w:rsidR="00A96774" w:rsidRPr="00A96774" w:rsidRDefault="00A96774" w:rsidP="00A96774">
            <w:pPr>
              <w:spacing w:after="0" w:line="240" w:lineRule="auto"/>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 xml:space="preserve">    Outras receitas e (despesas) líquidas</w:t>
            </w:r>
          </w:p>
        </w:tc>
        <w:tc>
          <w:tcPr>
            <w:tcW w:w="682" w:type="pct"/>
            <w:tcBorders>
              <w:top w:val="nil"/>
              <w:left w:val="nil"/>
              <w:bottom w:val="nil"/>
              <w:right w:val="nil"/>
            </w:tcBorders>
            <w:shd w:val="clear" w:color="000000" w:fill="FFFFFF"/>
            <w:noWrap/>
            <w:vAlign w:val="center"/>
            <w:hideMark/>
          </w:tcPr>
          <w:p w14:paraId="40971069" w14:textId="77777777" w:rsidR="00A96774" w:rsidRPr="00A96774" w:rsidRDefault="00A96774" w:rsidP="00A96774">
            <w:pPr>
              <w:spacing w:after="0" w:line="240" w:lineRule="auto"/>
              <w:jc w:val="right"/>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1.168</w:t>
            </w:r>
          </w:p>
        </w:tc>
        <w:tc>
          <w:tcPr>
            <w:tcW w:w="104" w:type="pct"/>
            <w:tcBorders>
              <w:top w:val="nil"/>
              <w:left w:val="nil"/>
              <w:bottom w:val="nil"/>
              <w:right w:val="nil"/>
            </w:tcBorders>
            <w:shd w:val="clear" w:color="000000" w:fill="FFFFFF"/>
            <w:noWrap/>
            <w:vAlign w:val="center"/>
            <w:hideMark/>
          </w:tcPr>
          <w:p w14:paraId="7E5D53EC"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653" w:type="pct"/>
            <w:tcBorders>
              <w:top w:val="nil"/>
              <w:left w:val="nil"/>
              <w:bottom w:val="nil"/>
              <w:right w:val="nil"/>
            </w:tcBorders>
            <w:shd w:val="clear" w:color="000000" w:fill="FFFFFF"/>
            <w:noWrap/>
            <w:vAlign w:val="bottom"/>
            <w:hideMark/>
          </w:tcPr>
          <w:p w14:paraId="5D698563"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r w:rsidRPr="00A96774">
              <w:rPr>
                <w:rFonts w:ascii="Verdana" w:eastAsia="Times New Roman" w:hAnsi="Verdana" w:cs="Calibri"/>
                <w:color w:val="000000"/>
                <w:sz w:val="15"/>
                <w:szCs w:val="15"/>
                <w:lang w:eastAsia="pt-BR"/>
              </w:rPr>
              <w:t>-</w:t>
            </w:r>
          </w:p>
        </w:tc>
        <w:tc>
          <w:tcPr>
            <w:tcW w:w="103" w:type="pct"/>
            <w:tcBorders>
              <w:top w:val="nil"/>
              <w:left w:val="nil"/>
              <w:bottom w:val="nil"/>
              <w:right w:val="nil"/>
            </w:tcBorders>
            <w:shd w:val="clear" w:color="000000" w:fill="FFFFFF"/>
            <w:noWrap/>
            <w:vAlign w:val="center"/>
            <w:hideMark/>
          </w:tcPr>
          <w:p w14:paraId="342EFC29"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729" w:type="pct"/>
            <w:tcBorders>
              <w:top w:val="nil"/>
              <w:left w:val="nil"/>
              <w:bottom w:val="nil"/>
              <w:right w:val="nil"/>
            </w:tcBorders>
            <w:shd w:val="clear" w:color="000000" w:fill="FFFFFF"/>
            <w:noWrap/>
            <w:vAlign w:val="center"/>
            <w:hideMark/>
          </w:tcPr>
          <w:p w14:paraId="098C7888" w14:textId="77777777" w:rsidR="00A96774" w:rsidRPr="00A96774" w:rsidRDefault="00A96774" w:rsidP="00A96774">
            <w:pPr>
              <w:spacing w:after="0" w:line="240" w:lineRule="auto"/>
              <w:jc w:val="right"/>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1.168</w:t>
            </w:r>
          </w:p>
        </w:tc>
      </w:tr>
      <w:tr w:rsidR="00DD4AF6" w:rsidRPr="00A96774" w14:paraId="77E981E5" w14:textId="77777777" w:rsidTr="00DD4AF6">
        <w:trPr>
          <w:trHeight w:val="20"/>
        </w:trPr>
        <w:tc>
          <w:tcPr>
            <w:tcW w:w="2729" w:type="pct"/>
            <w:tcBorders>
              <w:top w:val="nil"/>
              <w:left w:val="nil"/>
              <w:bottom w:val="nil"/>
              <w:right w:val="nil"/>
            </w:tcBorders>
            <w:shd w:val="clear" w:color="000000" w:fill="FFFFFF"/>
            <w:noWrap/>
            <w:vAlign w:val="center"/>
            <w:hideMark/>
          </w:tcPr>
          <w:p w14:paraId="1907C30E" w14:textId="77777777" w:rsidR="00A96774" w:rsidRPr="00A96774" w:rsidRDefault="00A96774" w:rsidP="00A96774">
            <w:pPr>
              <w:spacing w:after="0" w:line="240" w:lineRule="auto"/>
              <w:rPr>
                <w:rFonts w:ascii="Verdana" w:eastAsia="Times New Roman" w:hAnsi="Verdana" w:cs="Calibri"/>
                <w:color w:val="000000"/>
                <w:sz w:val="15"/>
                <w:szCs w:val="15"/>
                <w:lang w:eastAsia="pt-BR"/>
              </w:rPr>
            </w:pPr>
            <w:r w:rsidRPr="00A96774">
              <w:rPr>
                <w:rFonts w:ascii="Verdana" w:eastAsia="Times New Roman" w:hAnsi="Verdana" w:cs="Calibri"/>
                <w:color w:val="000000"/>
                <w:sz w:val="15"/>
                <w:szCs w:val="15"/>
                <w:lang w:eastAsia="pt-BR"/>
              </w:rPr>
              <w:t> </w:t>
            </w:r>
          </w:p>
        </w:tc>
        <w:tc>
          <w:tcPr>
            <w:tcW w:w="682" w:type="pct"/>
            <w:tcBorders>
              <w:top w:val="single" w:sz="4" w:space="0" w:color="auto"/>
              <w:left w:val="nil"/>
              <w:bottom w:val="nil"/>
              <w:right w:val="nil"/>
            </w:tcBorders>
            <w:shd w:val="clear" w:color="000000" w:fill="FFFFFF"/>
            <w:noWrap/>
            <w:vAlign w:val="center"/>
            <w:hideMark/>
          </w:tcPr>
          <w:p w14:paraId="59D2B026" w14:textId="77777777" w:rsidR="00A96774" w:rsidRPr="00A96774" w:rsidRDefault="00A96774" w:rsidP="00A96774">
            <w:pPr>
              <w:spacing w:after="0" w:line="240" w:lineRule="auto"/>
              <w:jc w:val="right"/>
              <w:rPr>
                <w:rFonts w:ascii="Verdana" w:eastAsia="Times New Roman" w:hAnsi="Verdana" w:cs="Calibri"/>
                <w:b/>
                <w:bCs/>
                <w:sz w:val="15"/>
                <w:szCs w:val="15"/>
                <w:lang w:eastAsia="pt-BR"/>
              </w:rPr>
            </w:pPr>
            <w:r w:rsidRPr="00A96774">
              <w:rPr>
                <w:rFonts w:ascii="Verdana" w:eastAsia="Times New Roman" w:hAnsi="Verdana" w:cs="Calibri"/>
                <w:b/>
                <w:bCs/>
                <w:sz w:val="15"/>
                <w:szCs w:val="15"/>
                <w:lang w:eastAsia="pt-BR"/>
              </w:rPr>
              <w:t>(11.012)</w:t>
            </w:r>
          </w:p>
        </w:tc>
        <w:tc>
          <w:tcPr>
            <w:tcW w:w="104" w:type="pct"/>
            <w:tcBorders>
              <w:top w:val="nil"/>
              <w:left w:val="nil"/>
              <w:bottom w:val="nil"/>
              <w:right w:val="nil"/>
            </w:tcBorders>
            <w:shd w:val="clear" w:color="000000" w:fill="FFFFFF"/>
            <w:noWrap/>
            <w:vAlign w:val="center"/>
            <w:hideMark/>
          </w:tcPr>
          <w:p w14:paraId="02BC8743" w14:textId="77777777" w:rsidR="00A96774" w:rsidRPr="00A96774" w:rsidRDefault="00A96774" w:rsidP="00A96774">
            <w:pPr>
              <w:spacing w:after="0" w:line="240" w:lineRule="auto"/>
              <w:jc w:val="right"/>
              <w:rPr>
                <w:rFonts w:ascii="Verdana" w:eastAsia="Times New Roman" w:hAnsi="Verdana" w:cs="Calibri"/>
                <w:b/>
                <w:bCs/>
                <w:color w:val="000000"/>
                <w:sz w:val="15"/>
                <w:szCs w:val="15"/>
                <w:lang w:eastAsia="pt-BR"/>
              </w:rPr>
            </w:pPr>
          </w:p>
        </w:tc>
        <w:tc>
          <w:tcPr>
            <w:tcW w:w="653" w:type="pct"/>
            <w:tcBorders>
              <w:top w:val="single" w:sz="4" w:space="0" w:color="auto"/>
              <w:left w:val="nil"/>
              <w:bottom w:val="nil"/>
              <w:right w:val="nil"/>
            </w:tcBorders>
            <w:shd w:val="clear" w:color="000000" w:fill="FFFFFF"/>
            <w:noWrap/>
            <w:vAlign w:val="center"/>
            <w:hideMark/>
          </w:tcPr>
          <w:p w14:paraId="159DC692" w14:textId="77777777" w:rsidR="00A96774" w:rsidRPr="00A96774" w:rsidRDefault="00A96774" w:rsidP="00A96774">
            <w:pPr>
              <w:spacing w:after="0" w:line="240" w:lineRule="auto"/>
              <w:jc w:val="right"/>
              <w:rPr>
                <w:rFonts w:ascii="Verdana" w:eastAsia="Times New Roman" w:hAnsi="Verdana" w:cs="Calibri"/>
                <w:b/>
                <w:bCs/>
                <w:sz w:val="15"/>
                <w:szCs w:val="15"/>
                <w:lang w:eastAsia="pt-BR"/>
              </w:rPr>
            </w:pPr>
            <w:r w:rsidRPr="00A96774">
              <w:rPr>
                <w:rFonts w:ascii="Verdana" w:eastAsia="Times New Roman" w:hAnsi="Verdana" w:cs="Calibri"/>
                <w:b/>
                <w:bCs/>
                <w:sz w:val="15"/>
                <w:szCs w:val="15"/>
                <w:lang w:eastAsia="pt-BR"/>
              </w:rPr>
              <w:t>-</w:t>
            </w:r>
          </w:p>
        </w:tc>
        <w:tc>
          <w:tcPr>
            <w:tcW w:w="103" w:type="pct"/>
            <w:tcBorders>
              <w:top w:val="nil"/>
              <w:left w:val="nil"/>
              <w:bottom w:val="nil"/>
              <w:right w:val="nil"/>
            </w:tcBorders>
            <w:shd w:val="clear" w:color="000000" w:fill="FFFFFF"/>
            <w:noWrap/>
            <w:vAlign w:val="center"/>
            <w:hideMark/>
          </w:tcPr>
          <w:p w14:paraId="60D78F7A" w14:textId="77777777" w:rsidR="00A96774" w:rsidRPr="00A96774" w:rsidRDefault="00A96774" w:rsidP="00A96774">
            <w:pPr>
              <w:spacing w:after="0" w:line="240" w:lineRule="auto"/>
              <w:jc w:val="right"/>
              <w:rPr>
                <w:rFonts w:ascii="Verdana" w:eastAsia="Times New Roman" w:hAnsi="Verdana" w:cs="Calibri"/>
                <w:b/>
                <w:bCs/>
                <w:sz w:val="15"/>
                <w:szCs w:val="15"/>
                <w:lang w:eastAsia="pt-BR"/>
              </w:rPr>
            </w:pPr>
          </w:p>
        </w:tc>
        <w:tc>
          <w:tcPr>
            <w:tcW w:w="729" w:type="pct"/>
            <w:tcBorders>
              <w:top w:val="single" w:sz="4" w:space="0" w:color="auto"/>
              <w:left w:val="nil"/>
              <w:bottom w:val="nil"/>
              <w:right w:val="nil"/>
            </w:tcBorders>
            <w:shd w:val="clear" w:color="000000" w:fill="FFFFFF"/>
            <w:noWrap/>
            <w:vAlign w:val="center"/>
            <w:hideMark/>
          </w:tcPr>
          <w:p w14:paraId="48A83441" w14:textId="77777777" w:rsidR="00A96774" w:rsidRPr="00A96774" w:rsidRDefault="00A96774" w:rsidP="00A96774">
            <w:pPr>
              <w:spacing w:after="0" w:line="240" w:lineRule="auto"/>
              <w:jc w:val="right"/>
              <w:rPr>
                <w:rFonts w:ascii="Verdana" w:eastAsia="Times New Roman" w:hAnsi="Verdana" w:cs="Calibri"/>
                <w:b/>
                <w:bCs/>
                <w:sz w:val="15"/>
                <w:szCs w:val="15"/>
                <w:lang w:eastAsia="pt-BR"/>
              </w:rPr>
            </w:pPr>
            <w:r w:rsidRPr="00A96774">
              <w:rPr>
                <w:rFonts w:ascii="Verdana" w:eastAsia="Times New Roman" w:hAnsi="Verdana" w:cs="Calibri"/>
                <w:b/>
                <w:bCs/>
                <w:sz w:val="15"/>
                <w:szCs w:val="15"/>
                <w:lang w:eastAsia="pt-BR"/>
              </w:rPr>
              <w:t>(11.012)</w:t>
            </w:r>
          </w:p>
        </w:tc>
      </w:tr>
      <w:tr w:rsidR="00DD4AF6" w:rsidRPr="00A96774" w14:paraId="4274314F" w14:textId="77777777" w:rsidTr="00DD4AF6">
        <w:trPr>
          <w:trHeight w:val="20"/>
        </w:trPr>
        <w:tc>
          <w:tcPr>
            <w:tcW w:w="2729" w:type="pct"/>
            <w:tcBorders>
              <w:top w:val="nil"/>
              <w:left w:val="nil"/>
              <w:bottom w:val="nil"/>
              <w:right w:val="nil"/>
            </w:tcBorders>
            <w:shd w:val="clear" w:color="000000" w:fill="FFFFFF"/>
            <w:noWrap/>
            <w:vAlign w:val="center"/>
            <w:hideMark/>
          </w:tcPr>
          <w:p w14:paraId="542917B1" w14:textId="77777777" w:rsidR="00A96774" w:rsidRPr="00A96774" w:rsidRDefault="00A96774" w:rsidP="00A96774">
            <w:pPr>
              <w:spacing w:after="0" w:line="240" w:lineRule="auto"/>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 </w:t>
            </w:r>
          </w:p>
        </w:tc>
        <w:tc>
          <w:tcPr>
            <w:tcW w:w="682" w:type="pct"/>
            <w:tcBorders>
              <w:top w:val="nil"/>
              <w:left w:val="nil"/>
              <w:bottom w:val="nil"/>
              <w:right w:val="nil"/>
            </w:tcBorders>
            <w:shd w:val="clear" w:color="000000" w:fill="FFFFFF"/>
            <w:noWrap/>
            <w:vAlign w:val="bottom"/>
            <w:hideMark/>
          </w:tcPr>
          <w:p w14:paraId="477EB18D"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4" w:type="pct"/>
            <w:tcBorders>
              <w:top w:val="nil"/>
              <w:left w:val="nil"/>
              <w:bottom w:val="nil"/>
              <w:right w:val="nil"/>
            </w:tcBorders>
            <w:shd w:val="clear" w:color="000000" w:fill="FFFFFF"/>
            <w:noWrap/>
            <w:vAlign w:val="center"/>
            <w:hideMark/>
          </w:tcPr>
          <w:p w14:paraId="626E364D"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653" w:type="pct"/>
            <w:tcBorders>
              <w:top w:val="nil"/>
              <w:left w:val="nil"/>
              <w:bottom w:val="nil"/>
              <w:right w:val="nil"/>
            </w:tcBorders>
            <w:shd w:val="clear" w:color="000000" w:fill="FFFFFF"/>
            <w:noWrap/>
            <w:vAlign w:val="bottom"/>
            <w:hideMark/>
          </w:tcPr>
          <w:p w14:paraId="39261E23"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3" w:type="pct"/>
            <w:tcBorders>
              <w:top w:val="nil"/>
              <w:left w:val="nil"/>
              <w:bottom w:val="nil"/>
              <w:right w:val="nil"/>
            </w:tcBorders>
            <w:shd w:val="clear" w:color="000000" w:fill="FFFFFF"/>
            <w:noWrap/>
            <w:vAlign w:val="bottom"/>
            <w:hideMark/>
          </w:tcPr>
          <w:p w14:paraId="065EE95A"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729" w:type="pct"/>
            <w:tcBorders>
              <w:top w:val="nil"/>
              <w:left w:val="nil"/>
              <w:bottom w:val="nil"/>
              <w:right w:val="nil"/>
            </w:tcBorders>
            <w:shd w:val="clear" w:color="000000" w:fill="FFFFFF"/>
            <w:noWrap/>
            <w:vAlign w:val="center"/>
            <w:hideMark/>
          </w:tcPr>
          <w:p w14:paraId="022AE3DC"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r>
      <w:tr w:rsidR="00DD4AF6" w:rsidRPr="00A96774" w14:paraId="5F86F91E" w14:textId="77777777" w:rsidTr="00DD4AF6">
        <w:trPr>
          <w:trHeight w:val="20"/>
        </w:trPr>
        <w:tc>
          <w:tcPr>
            <w:tcW w:w="2729" w:type="pct"/>
            <w:tcBorders>
              <w:top w:val="nil"/>
              <w:left w:val="nil"/>
              <w:bottom w:val="nil"/>
              <w:right w:val="nil"/>
            </w:tcBorders>
            <w:shd w:val="clear" w:color="000000" w:fill="FFFFFF"/>
            <w:vAlign w:val="center"/>
            <w:hideMark/>
          </w:tcPr>
          <w:p w14:paraId="7E947AFD" w14:textId="77777777" w:rsidR="00A96774" w:rsidRPr="00A96774" w:rsidRDefault="00A96774" w:rsidP="00A96774">
            <w:pPr>
              <w:spacing w:after="0" w:line="240" w:lineRule="auto"/>
              <w:rPr>
                <w:rFonts w:ascii="Verdana" w:eastAsia="Times New Roman" w:hAnsi="Verdana" w:cs="Calibri"/>
                <w:b/>
                <w:bCs/>
                <w:sz w:val="15"/>
                <w:szCs w:val="15"/>
                <w:lang w:eastAsia="pt-BR"/>
              </w:rPr>
            </w:pPr>
            <w:r w:rsidRPr="00A96774">
              <w:rPr>
                <w:rFonts w:ascii="Verdana" w:eastAsia="Times New Roman" w:hAnsi="Verdana" w:cs="Calibri"/>
                <w:b/>
                <w:bCs/>
                <w:sz w:val="15"/>
                <w:szCs w:val="15"/>
                <w:lang w:eastAsia="pt-BR"/>
              </w:rPr>
              <w:t>RESULTADO OPERACIONAL ANTES DO RESULTADO FINANCEIRO</w:t>
            </w:r>
          </w:p>
        </w:tc>
        <w:tc>
          <w:tcPr>
            <w:tcW w:w="682" w:type="pct"/>
            <w:tcBorders>
              <w:top w:val="single" w:sz="4" w:space="0" w:color="auto"/>
              <w:left w:val="nil"/>
              <w:bottom w:val="single" w:sz="4" w:space="0" w:color="auto"/>
              <w:right w:val="nil"/>
            </w:tcBorders>
            <w:shd w:val="clear" w:color="000000" w:fill="FFFFFF"/>
            <w:noWrap/>
            <w:vAlign w:val="center"/>
            <w:hideMark/>
          </w:tcPr>
          <w:p w14:paraId="213F4435" w14:textId="77777777" w:rsidR="00A96774" w:rsidRPr="00A96774" w:rsidRDefault="00A96774" w:rsidP="00A96774">
            <w:pPr>
              <w:spacing w:after="0" w:line="240" w:lineRule="auto"/>
              <w:jc w:val="right"/>
              <w:rPr>
                <w:rFonts w:ascii="Verdana" w:eastAsia="Times New Roman" w:hAnsi="Verdana" w:cs="Calibri"/>
                <w:b/>
                <w:bCs/>
                <w:sz w:val="15"/>
                <w:szCs w:val="15"/>
                <w:lang w:eastAsia="pt-BR"/>
              </w:rPr>
            </w:pPr>
            <w:r w:rsidRPr="00A96774">
              <w:rPr>
                <w:rFonts w:ascii="Verdana" w:eastAsia="Times New Roman" w:hAnsi="Verdana" w:cs="Calibri"/>
                <w:b/>
                <w:bCs/>
                <w:sz w:val="15"/>
                <w:szCs w:val="15"/>
                <w:lang w:eastAsia="pt-BR"/>
              </w:rPr>
              <w:t>(9.919)</w:t>
            </w:r>
          </w:p>
        </w:tc>
        <w:tc>
          <w:tcPr>
            <w:tcW w:w="104" w:type="pct"/>
            <w:tcBorders>
              <w:top w:val="nil"/>
              <w:left w:val="nil"/>
              <w:bottom w:val="nil"/>
              <w:right w:val="nil"/>
            </w:tcBorders>
            <w:shd w:val="clear" w:color="000000" w:fill="FFFFFF"/>
            <w:vAlign w:val="center"/>
            <w:hideMark/>
          </w:tcPr>
          <w:p w14:paraId="13286851" w14:textId="77777777" w:rsidR="00A96774" w:rsidRPr="00A96774" w:rsidRDefault="00A96774" w:rsidP="00A96774">
            <w:pPr>
              <w:spacing w:after="0" w:line="240" w:lineRule="auto"/>
              <w:jc w:val="right"/>
              <w:rPr>
                <w:rFonts w:ascii="Verdana" w:eastAsia="Times New Roman" w:hAnsi="Verdana" w:cs="Calibri"/>
                <w:b/>
                <w:bCs/>
                <w:sz w:val="15"/>
                <w:szCs w:val="15"/>
                <w:lang w:eastAsia="pt-BR"/>
              </w:rPr>
            </w:pPr>
          </w:p>
        </w:tc>
        <w:tc>
          <w:tcPr>
            <w:tcW w:w="653" w:type="pct"/>
            <w:tcBorders>
              <w:top w:val="single" w:sz="4" w:space="0" w:color="auto"/>
              <w:left w:val="nil"/>
              <w:bottom w:val="single" w:sz="4" w:space="0" w:color="auto"/>
              <w:right w:val="nil"/>
            </w:tcBorders>
            <w:shd w:val="clear" w:color="000000" w:fill="FFFFFF"/>
            <w:noWrap/>
            <w:vAlign w:val="center"/>
            <w:hideMark/>
          </w:tcPr>
          <w:p w14:paraId="1036B4B5" w14:textId="77777777" w:rsidR="00A96774" w:rsidRPr="00A96774" w:rsidRDefault="00A96774" w:rsidP="00A96774">
            <w:pPr>
              <w:spacing w:after="0" w:line="240" w:lineRule="auto"/>
              <w:jc w:val="right"/>
              <w:rPr>
                <w:rFonts w:ascii="Verdana" w:eastAsia="Times New Roman" w:hAnsi="Verdana" w:cs="Calibri"/>
                <w:b/>
                <w:bCs/>
                <w:sz w:val="15"/>
                <w:szCs w:val="15"/>
                <w:lang w:eastAsia="pt-BR"/>
              </w:rPr>
            </w:pPr>
            <w:r w:rsidRPr="00A96774">
              <w:rPr>
                <w:rFonts w:ascii="Verdana" w:eastAsia="Times New Roman" w:hAnsi="Verdana" w:cs="Calibri"/>
                <w:b/>
                <w:bCs/>
                <w:sz w:val="15"/>
                <w:szCs w:val="15"/>
                <w:lang w:eastAsia="pt-BR"/>
              </w:rPr>
              <w:t>31.978</w:t>
            </w:r>
          </w:p>
        </w:tc>
        <w:tc>
          <w:tcPr>
            <w:tcW w:w="103" w:type="pct"/>
            <w:tcBorders>
              <w:top w:val="nil"/>
              <w:left w:val="nil"/>
              <w:bottom w:val="nil"/>
              <w:right w:val="nil"/>
            </w:tcBorders>
            <w:shd w:val="clear" w:color="000000" w:fill="FFFFFF"/>
            <w:noWrap/>
            <w:vAlign w:val="center"/>
            <w:hideMark/>
          </w:tcPr>
          <w:p w14:paraId="1DBF4FF5" w14:textId="77777777" w:rsidR="00A96774" w:rsidRPr="00A96774" w:rsidRDefault="00A96774" w:rsidP="00A96774">
            <w:pPr>
              <w:spacing w:after="0" w:line="240" w:lineRule="auto"/>
              <w:jc w:val="right"/>
              <w:rPr>
                <w:rFonts w:ascii="Verdana" w:eastAsia="Times New Roman" w:hAnsi="Verdana" w:cs="Calibri"/>
                <w:b/>
                <w:bCs/>
                <w:sz w:val="15"/>
                <w:szCs w:val="15"/>
                <w:lang w:eastAsia="pt-BR"/>
              </w:rPr>
            </w:pPr>
          </w:p>
        </w:tc>
        <w:tc>
          <w:tcPr>
            <w:tcW w:w="729" w:type="pct"/>
            <w:tcBorders>
              <w:top w:val="single" w:sz="4" w:space="0" w:color="auto"/>
              <w:left w:val="nil"/>
              <w:bottom w:val="single" w:sz="4" w:space="0" w:color="auto"/>
              <w:right w:val="nil"/>
            </w:tcBorders>
            <w:shd w:val="clear" w:color="000000" w:fill="FFFFFF"/>
            <w:noWrap/>
            <w:vAlign w:val="center"/>
            <w:hideMark/>
          </w:tcPr>
          <w:p w14:paraId="4F6B396D" w14:textId="77777777" w:rsidR="00A96774" w:rsidRPr="00A96774" w:rsidRDefault="00A96774" w:rsidP="00A96774">
            <w:pPr>
              <w:spacing w:after="0" w:line="240" w:lineRule="auto"/>
              <w:jc w:val="right"/>
              <w:rPr>
                <w:rFonts w:ascii="Verdana" w:eastAsia="Times New Roman" w:hAnsi="Verdana" w:cs="Calibri"/>
                <w:b/>
                <w:bCs/>
                <w:sz w:val="15"/>
                <w:szCs w:val="15"/>
                <w:lang w:eastAsia="pt-BR"/>
              </w:rPr>
            </w:pPr>
            <w:r w:rsidRPr="00A96774">
              <w:rPr>
                <w:rFonts w:ascii="Verdana" w:eastAsia="Times New Roman" w:hAnsi="Verdana" w:cs="Calibri"/>
                <w:b/>
                <w:bCs/>
                <w:sz w:val="15"/>
                <w:szCs w:val="15"/>
                <w:lang w:eastAsia="pt-BR"/>
              </w:rPr>
              <w:t>22.059</w:t>
            </w:r>
          </w:p>
        </w:tc>
      </w:tr>
      <w:tr w:rsidR="00DD4AF6" w:rsidRPr="00A96774" w14:paraId="6565E95E" w14:textId="77777777" w:rsidTr="00DD4AF6">
        <w:trPr>
          <w:trHeight w:val="20"/>
        </w:trPr>
        <w:tc>
          <w:tcPr>
            <w:tcW w:w="2729" w:type="pct"/>
            <w:tcBorders>
              <w:top w:val="nil"/>
              <w:left w:val="nil"/>
              <w:bottom w:val="nil"/>
              <w:right w:val="nil"/>
            </w:tcBorders>
            <w:shd w:val="clear" w:color="000000" w:fill="FFFFFF"/>
            <w:noWrap/>
            <w:vAlign w:val="center"/>
            <w:hideMark/>
          </w:tcPr>
          <w:p w14:paraId="580FCAAA" w14:textId="77777777" w:rsidR="00A96774" w:rsidRPr="00A96774" w:rsidRDefault="00A96774" w:rsidP="00A96774">
            <w:pPr>
              <w:spacing w:after="0" w:line="240" w:lineRule="auto"/>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 </w:t>
            </w:r>
          </w:p>
        </w:tc>
        <w:tc>
          <w:tcPr>
            <w:tcW w:w="682" w:type="pct"/>
            <w:tcBorders>
              <w:top w:val="nil"/>
              <w:left w:val="nil"/>
              <w:bottom w:val="nil"/>
              <w:right w:val="nil"/>
            </w:tcBorders>
            <w:shd w:val="clear" w:color="000000" w:fill="FFFFFF"/>
            <w:noWrap/>
            <w:vAlign w:val="bottom"/>
            <w:hideMark/>
          </w:tcPr>
          <w:p w14:paraId="70DEC2A2"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4" w:type="pct"/>
            <w:tcBorders>
              <w:top w:val="nil"/>
              <w:left w:val="nil"/>
              <w:bottom w:val="nil"/>
              <w:right w:val="nil"/>
            </w:tcBorders>
            <w:shd w:val="clear" w:color="000000" w:fill="FFFFFF"/>
            <w:noWrap/>
            <w:vAlign w:val="center"/>
            <w:hideMark/>
          </w:tcPr>
          <w:p w14:paraId="2CDDA9C1"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653" w:type="pct"/>
            <w:tcBorders>
              <w:top w:val="nil"/>
              <w:left w:val="nil"/>
              <w:bottom w:val="nil"/>
              <w:right w:val="nil"/>
            </w:tcBorders>
            <w:shd w:val="clear" w:color="000000" w:fill="FFFFFF"/>
            <w:noWrap/>
            <w:vAlign w:val="bottom"/>
            <w:hideMark/>
          </w:tcPr>
          <w:p w14:paraId="4EC60FFA"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3" w:type="pct"/>
            <w:tcBorders>
              <w:top w:val="nil"/>
              <w:left w:val="nil"/>
              <w:bottom w:val="nil"/>
              <w:right w:val="nil"/>
            </w:tcBorders>
            <w:shd w:val="clear" w:color="000000" w:fill="FFFFFF"/>
            <w:noWrap/>
            <w:vAlign w:val="bottom"/>
            <w:hideMark/>
          </w:tcPr>
          <w:p w14:paraId="1F5FD2DF"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729" w:type="pct"/>
            <w:tcBorders>
              <w:top w:val="nil"/>
              <w:left w:val="nil"/>
              <w:bottom w:val="nil"/>
              <w:right w:val="nil"/>
            </w:tcBorders>
            <w:shd w:val="clear" w:color="000000" w:fill="FFFFFF"/>
            <w:noWrap/>
            <w:vAlign w:val="center"/>
            <w:hideMark/>
          </w:tcPr>
          <w:p w14:paraId="3A2981D0"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r>
      <w:tr w:rsidR="00DD4AF6" w:rsidRPr="00A96774" w14:paraId="135E3A94" w14:textId="77777777" w:rsidTr="00DD4AF6">
        <w:trPr>
          <w:trHeight w:val="20"/>
        </w:trPr>
        <w:tc>
          <w:tcPr>
            <w:tcW w:w="2729" w:type="pct"/>
            <w:tcBorders>
              <w:top w:val="nil"/>
              <w:left w:val="nil"/>
              <w:bottom w:val="nil"/>
              <w:right w:val="nil"/>
            </w:tcBorders>
            <w:shd w:val="clear" w:color="000000" w:fill="FFFFFF"/>
            <w:noWrap/>
            <w:vAlign w:val="center"/>
            <w:hideMark/>
          </w:tcPr>
          <w:p w14:paraId="11B6AF11" w14:textId="77777777" w:rsidR="00A96774" w:rsidRPr="00A96774" w:rsidRDefault="00A96774" w:rsidP="00A96774">
            <w:pPr>
              <w:spacing w:after="0" w:line="240" w:lineRule="auto"/>
              <w:rPr>
                <w:rFonts w:ascii="Verdana" w:eastAsia="Times New Roman" w:hAnsi="Verdana" w:cs="Calibri"/>
                <w:b/>
                <w:bCs/>
                <w:color w:val="000000"/>
                <w:sz w:val="15"/>
                <w:szCs w:val="15"/>
                <w:lang w:eastAsia="pt-BR"/>
              </w:rPr>
            </w:pPr>
            <w:r w:rsidRPr="00A96774">
              <w:rPr>
                <w:rFonts w:ascii="Verdana" w:eastAsia="Times New Roman" w:hAnsi="Verdana" w:cs="Calibri"/>
                <w:b/>
                <w:bCs/>
                <w:color w:val="000000"/>
                <w:sz w:val="15"/>
                <w:szCs w:val="15"/>
                <w:lang w:eastAsia="pt-BR"/>
              </w:rPr>
              <w:t>RESULTADO FINANCEIRO</w:t>
            </w:r>
          </w:p>
        </w:tc>
        <w:tc>
          <w:tcPr>
            <w:tcW w:w="682" w:type="pct"/>
            <w:tcBorders>
              <w:top w:val="nil"/>
              <w:left w:val="nil"/>
              <w:bottom w:val="nil"/>
              <w:right w:val="nil"/>
            </w:tcBorders>
            <w:shd w:val="clear" w:color="000000" w:fill="FFFFFF"/>
            <w:noWrap/>
            <w:vAlign w:val="bottom"/>
            <w:hideMark/>
          </w:tcPr>
          <w:p w14:paraId="2866D294"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4" w:type="pct"/>
            <w:tcBorders>
              <w:top w:val="nil"/>
              <w:left w:val="nil"/>
              <w:bottom w:val="nil"/>
              <w:right w:val="nil"/>
            </w:tcBorders>
            <w:shd w:val="clear" w:color="000000" w:fill="FFFFFF"/>
            <w:noWrap/>
            <w:vAlign w:val="center"/>
            <w:hideMark/>
          </w:tcPr>
          <w:p w14:paraId="0BA94279" w14:textId="77777777" w:rsidR="00A96774" w:rsidRPr="00A96774" w:rsidRDefault="00A96774" w:rsidP="00A96774">
            <w:pPr>
              <w:spacing w:after="0" w:line="240" w:lineRule="auto"/>
              <w:jc w:val="right"/>
              <w:rPr>
                <w:rFonts w:ascii="Verdana" w:eastAsia="Times New Roman" w:hAnsi="Verdana" w:cs="Calibri"/>
                <w:b/>
                <w:bCs/>
                <w:color w:val="000000"/>
                <w:sz w:val="15"/>
                <w:szCs w:val="15"/>
                <w:lang w:eastAsia="pt-BR"/>
              </w:rPr>
            </w:pPr>
          </w:p>
        </w:tc>
        <w:tc>
          <w:tcPr>
            <w:tcW w:w="653" w:type="pct"/>
            <w:tcBorders>
              <w:top w:val="nil"/>
              <w:left w:val="nil"/>
              <w:bottom w:val="nil"/>
              <w:right w:val="nil"/>
            </w:tcBorders>
            <w:shd w:val="clear" w:color="000000" w:fill="FFFFFF"/>
            <w:noWrap/>
            <w:vAlign w:val="bottom"/>
            <w:hideMark/>
          </w:tcPr>
          <w:p w14:paraId="7767D31A"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3" w:type="pct"/>
            <w:tcBorders>
              <w:top w:val="nil"/>
              <w:left w:val="nil"/>
              <w:bottom w:val="nil"/>
              <w:right w:val="nil"/>
            </w:tcBorders>
            <w:shd w:val="clear" w:color="000000" w:fill="FFFFFF"/>
            <w:noWrap/>
            <w:vAlign w:val="bottom"/>
            <w:hideMark/>
          </w:tcPr>
          <w:p w14:paraId="651A80A8"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729" w:type="pct"/>
            <w:tcBorders>
              <w:top w:val="nil"/>
              <w:left w:val="nil"/>
              <w:bottom w:val="nil"/>
              <w:right w:val="nil"/>
            </w:tcBorders>
            <w:shd w:val="clear" w:color="000000" w:fill="FFFFFF"/>
            <w:noWrap/>
            <w:vAlign w:val="center"/>
            <w:hideMark/>
          </w:tcPr>
          <w:p w14:paraId="44C6A2BE"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r>
      <w:tr w:rsidR="00DD4AF6" w:rsidRPr="00A96774" w14:paraId="58C37F3E" w14:textId="77777777" w:rsidTr="00DD4AF6">
        <w:trPr>
          <w:trHeight w:val="20"/>
        </w:trPr>
        <w:tc>
          <w:tcPr>
            <w:tcW w:w="2729" w:type="pct"/>
            <w:tcBorders>
              <w:top w:val="nil"/>
              <w:left w:val="nil"/>
              <w:bottom w:val="nil"/>
              <w:right w:val="nil"/>
            </w:tcBorders>
            <w:shd w:val="clear" w:color="000000" w:fill="FFFFFF"/>
            <w:noWrap/>
            <w:vAlign w:val="center"/>
            <w:hideMark/>
          </w:tcPr>
          <w:p w14:paraId="20F9F44B" w14:textId="77777777" w:rsidR="00A96774" w:rsidRPr="00A96774" w:rsidRDefault="00A96774" w:rsidP="00A96774">
            <w:pPr>
              <w:spacing w:after="0" w:line="240" w:lineRule="auto"/>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 </w:t>
            </w:r>
          </w:p>
        </w:tc>
        <w:tc>
          <w:tcPr>
            <w:tcW w:w="682" w:type="pct"/>
            <w:tcBorders>
              <w:top w:val="nil"/>
              <w:left w:val="nil"/>
              <w:bottom w:val="nil"/>
              <w:right w:val="nil"/>
            </w:tcBorders>
            <w:shd w:val="clear" w:color="000000" w:fill="FFFFFF"/>
            <w:noWrap/>
            <w:vAlign w:val="bottom"/>
            <w:hideMark/>
          </w:tcPr>
          <w:p w14:paraId="301DA163"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4" w:type="pct"/>
            <w:tcBorders>
              <w:top w:val="nil"/>
              <w:left w:val="nil"/>
              <w:bottom w:val="nil"/>
              <w:right w:val="nil"/>
            </w:tcBorders>
            <w:shd w:val="clear" w:color="000000" w:fill="FFFFFF"/>
            <w:noWrap/>
            <w:vAlign w:val="center"/>
            <w:hideMark/>
          </w:tcPr>
          <w:p w14:paraId="7BC51905"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653" w:type="pct"/>
            <w:tcBorders>
              <w:top w:val="nil"/>
              <w:left w:val="nil"/>
              <w:bottom w:val="nil"/>
              <w:right w:val="nil"/>
            </w:tcBorders>
            <w:shd w:val="clear" w:color="000000" w:fill="FFFFFF"/>
            <w:noWrap/>
            <w:vAlign w:val="bottom"/>
            <w:hideMark/>
          </w:tcPr>
          <w:p w14:paraId="535DCEA6"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3" w:type="pct"/>
            <w:tcBorders>
              <w:top w:val="nil"/>
              <w:left w:val="nil"/>
              <w:bottom w:val="nil"/>
              <w:right w:val="nil"/>
            </w:tcBorders>
            <w:shd w:val="clear" w:color="000000" w:fill="FFFFFF"/>
            <w:noWrap/>
            <w:vAlign w:val="bottom"/>
            <w:hideMark/>
          </w:tcPr>
          <w:p w14:paraId="50CD9DA1"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729" w:type="pct"/>
            <w:tcBorders>
              <w:top w:val="nil"/>
              <w:left w:val="nil"/>
              <w:bottom w:val="nil"/>
              <w:right w:val="nil"/>
            </w:tcBorders>
            <w:shd w:val="clear" w:color="000000" w:fill="FFFFFF"/>
            <w:noWrap/>
            <w:vAlign w:val="center"/>
            <w:hideMark/>
          </w:tcPr>
          <w:p w14:paraId="7B2515D5"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r>
      <w:tr w:rsidR="00DD4AF6" w:rsidRPr="00A96774" w14:paraId="6C0B4B79" w14:textId="77777777" w:rsidTr="00DD4AF6">
        <w:trPr>
          <w:trHeight w:val="20"/>
        </w:trPr>
        <w:tc>
          <w:tcPr>
            <w:tcW w:w="2729" w:type="pct"/>
            <w:tcBorders>
              <w:top w:val="nil"/>
              <w:left w:val="nil"/>
              <w:bottom w:val="nil"/>
              <w:right w:val="nil"/>
            </w:tcBorders>
            <w:shd w:val="clear" w:color="000000" w:fill="FFFFFF"/>
            <w:noWrap/>
            <w:vAlign w:val="center"/>
            <w:hideMark/>
          </w:tcPr>
          <w:p w14:paraId="5EF558E5" w14:textId="77777777" w:rsidR="00A96774" w:rsidRPr="00A96774" w:rsidRDefault="00A96774" w:rsidP="00A96774">
            <w:pPr>
              <w:spacing w:after="0" w:line="240" w:lineRule="auto"/>
              <w:rPr>
                <w:rFonts w:ascii="Verdana" w:eastAsia="Times New Roman" w:hAnsi="Verdana" w:cs="Calibri"/>
                <w:b/>
                <w:bCs/>
                <w:sz w:val="15"/>
                <w:szCs w:val="15"/>
                <w:lang w:eastAsia="pt-BR"/>
              </w:rPr>
            </w:pPr>
            <w:r w:rsidRPr="00A96774">
              <w:rPr>
                <w:rFonts w:ascii="Verdana" w:eastAsia="Times New Roman" w:hAnsi="Verdana" w:cs="Calibri"/>
                <w:b/>
                <w:bCs/>
                <w:sz w:val="15"/>
                <w:szCs w:val="15"/>
                <w:lang w:eastAsia="pt-BR"/>
              </w:rPr>
              <w:t xml:space="preserve">   Receitas Financeiras</w:t>
            </w:r>
          </w:p>
        </w:tc>
        <w:tc>
          <w:tcPr>
            <w:tcW w:w="682" w:type="pct"/>
            <w:tcBorders>
              <w:top w:val="nil"/>
              <w:left w:val="nil"/>
              <w:bottom w:val="nil"/>
              <w:right w:val="nil"/>
            </w:tcBorders>
            <w:shd w:val="clear" w:color="000000" w:fill="FFFFFF"/>
            <w:noWrap/>
            <w:vAlign w:val="bottom"/>
            <w:hideMark/>
          </w:tcPr>
          <w:p w14:paraId="05602E33"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4" w:type="pct"/>
            <w:tcBorders>
              <w:top w:val="nil"/>
              <w:left w:val="nil"/>
              <w:bottom w:val="nil"/>
              <w:right w:val="nil"/>
            </w:tcBorders>
            <w:shd w:val="clear" w:color="000000" w:fill="FFFFFF"/>
            <w:noWrap/>
            <w:vAlign w:val="center"/>
            <w:hideMark/>
          </w:tcPr>
          <w:p w14:paraId="55D9084F" w14:textId="77777777" w:rsidR="00A96774" w:rsidRPr="00A96774" w:rsidRDefault="00A96774" w:rsidP="00A96774">
            <w:pPr>
              <w:spacing w:after="0" w:line="240" w:lineRule="auto"/>
              <w:jc w:val="right"/>
              <w:rPr>
                <w:rFonts w:ascii="Verdana" w:eastAsia="Times New Roman" w:hAnsi="Verdana" w:cs="Calibri"/>
                <w:b/>
                <w:bCs/>
                <w:sz w:val="15"/>
                <w:szCs w:val="15"/>
                <w:lang w:eastAsia="pt-BR"/>
              </w:rPr>
            </w:pPr>
          </w:p>
        </w:tc>
        <w:tc>
          <w:tcPr>
            <w:tcW w:w="653" w:type="pct"/>
            <w:tcBorders>
              <w:top w:val="nil"/>
              <w:left w:val="nil"/>
              <w:bottom w:val="nil"/>
              <w:right w:val="nil"/>
            </w:tcBorders>
            <w:shd w:val="clear" w:color="000000" w:fill="FFFFFF"/>
            <w:noWrap/>
            <w:vAlign w:val="bottom"/>
            <w:hideMark/>
          </w:tcPr>
          <w:p w14:paraId="022097DE"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3" w:type="pct"/>
            <w:tcBorders>
              <w:top w:val="nil"/>
              <w:left w:val="nil"/>
              <w:bottom w:val="nil"/>
              <w:right w:val="nil"/>
            </w:tcBorders>
            <w:shd w:val="clear" w:color="000000" w:fill="FFFFFF"/>
            <w:noWrap/>
            <w:vAlign w:val="bottom"/>
            <w:hideMark/>
          </w:tcPr>
          <w:p w14:paraId="376ED8F8"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729" w:type="pct"/>
            <w:tcBorders>
              <w:top w:val="nil"/>
              <w:left w:val="nil"/>
              <w:bottom w:val="nil"/>
              <w:right w:val="nil"/>
            </w:tcBorders>
            <w:shd w:val="clear" w:color="000000" w:fill="FFFFFF"/>
            <w:noWrap/>
            <w:vAlign w:val="center"/>
            <w:hideMark/>
          </w:tcPr>
          <w:p w14:paraId="32867A37"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r>
      <w:tr w:rsidR="00DD4AF6" w:rsidRPr="00A96774" w14:paraId="50215AC2" w14:textId="77777777" w:rsidTr="00DD4AF6">
        <w:trPr>
          <w:trHeight w:val="20"/>
        </w:trPr>
        <w:tc>
          <w:tcPr>
            <w:tcW w:w="2729" w:type="pct"/>
            <w:tcBorders>
              <w:top w:val="nil"/>
              <w:left w:val="nil"/>
              <w:bottom w:val="nil"/>
              <w:right w:val="nil"/>
            </w:tcBorders>
            <w:shd w:val="clear" w:color="000000" w:fill="FFFFFF"/>
            <w:noWrap/>
            <w:vAlign w:val="center"/>
            <w:hideMark/>
          </w:tcPr>
          <w:p w14:paraId="085B4357" w14:textId="77777777" w:rsidR="00A96774" w:rsidRPr="00A96774" w:rsidRDefault="00A96774" w:rsidP="00A96774">
            <w:pPr>
              <w:spacing w:after="0" w:line="240" w:lineRule="auto"/>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 xml:space="preserve">    Receitas de juros, comissões e taxas</w:t>
            </w:r>
          </w:p>
        </w:tc>
        <w:tc>
          <w:tcPr>
            <w:tcW w:w="682" w:type="pct"/>
            <w:tcBorders>
              <w:top w:val="nil"/>
              <w:left w:val="nil"/>
              <w:bottom w:val="nil"/>
              <w:right w:val="nil"/>
            </w:tcBorders>
            <w:shd w:val="clear" w:color="000000" w:fill="FFFFFF"/>
            <w:noWrap/>
            <w:vAlign w:val="bottom"/>
            <w:hideMark/>
          </w:tcPr>
          <w:p w14:paraId="3033271D"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4" w:type="pct"/>
            <w:tcBorders>
              <w:top w:val="nil"/>
              <w:left w:val="nil"/>
              <w:bottom w:val="nil"/>
              <w:right w:val="nil"/>
            </w:tcBorders>
            <w:shd w:val="clear" w:color="000000" w:fill="FFFFFF"/>
            <w:noWrap/>
            <w:vAlign w:val="center"/>
            <w:hideMark/>
          </w:tcPr>
          <w:p w14:paraId="35705A74"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653" w:type="pct"/>
            <w:tcBorders>
              <w:top w:val="nil"/>
              <w:left w:val="nil"/>
              <w:bottom w:val="nil"/>
              <w:right w:val="nil"/>
            </w:tcBorders>
            <w:shd w:val="clear" w:color="000000" w:fill="FFFFFF"/>
            <w:noWrap/>
            <w:vAlign w:val="bottom"/>
            <w:hideMark/>
          </w:tcPr>
          <w:p w14:paraId="324AE297"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3" w:type="pct"/>
            <w:tcBorders>
              <w:top w:val="nil"/>
              <w:left w:val="nil"/>
              <w:bottom w:val="nil"/>
              <w:right w:val="nil"/>
            </w:tcBorders>
            <w:shd w:val="clear" w:color="000000" w:fill="FFFFFF"/>
            <w:noWrap/>
            <w:vAlign w:val="bottom"/>
            <w:hideMark/>
          </w:tcPr>
          <w:p w14:paraId="7DE39B82"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729" w:type="pct"/>
            <w:tcBorders>
              <w:top w:val="nil"/>
              <w:left w:val="nil"/>
              <w:bottom w:val="nil"/>
              <w:right w:val="nil"/>
            </w:tcBorders>
            <w:shd w:val="clear" w:color="000000" w:fill="FFFFFF"/>
            <w:noWrap/>
            <w:vAlign w:val="center"/>
            <w:hideMark/>
          </w:tcPr>
          <w:p w14:paraId="1FD1D692"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r>
      <w:tr w:rsidR="00DD4AF6" w:rsidRPr="00A96774" w14:paraId="5BDEFBC6" w14:textId="77777777" w:rsidTr="00DD4AF6">
        <w:trPr>
          <w:trHeight w:val="20"/>
        </w:trPr>
        <w:tc>
          <w:tcPr>
            <w:tcW w:w="2729" w:type="pct"/>
            <w:tcBorders>
              <w:top w:val="nil"/>
              <w:left w:val="nil"/>
              <w:bottom w:val="nil"/>
              <w:right w:val="nil"/>
            </w:tcBorders>
            <w:shd w:val="clear" w:color="000000" w:fill="FFFFFF"/>
            <w:noWrap/>
            <w:vAlign w:val="center"/>
            <w:hideMark/>
          </w:tcPr>
          <w:p w14:paraId="2AA39567" w14:textId="77777777" w:rsidR="00A96774" w:rsidRPr="00A96774" w:rsidRDefault="00A96774" w:rsidP="00A96774">
            <w:pPr>
              <w:spacing w:after="0" w:line="240" w:lineRule="auto"/>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 xml:space="preserve">    Receita de aplicações financeiras</w:t>
            </w:r>
          </w:p>
        </w:tc>
        <w:tc>
          <w:tcPr>
            <w:tcW w:w="682" w:type="pct"/>
            <w:tcBorders>
              <w:top w:val="nil"/>
              <w:left w:val="nil"/>
              <w:bottom w:val="nil"/>
              <w:right w:val="nil"/>
            </w:tcBorders>
            <w:shd w:val="clear" w:color="000000" w:fill="FFFFFF"/>
            <w:noWrap/>
            <w:vAlign w:val="center"/>
            <w:hideMark/>
          </w:tcPr>
          <w:p w14:paraId="60A74A7C" w14:textId="77777777" w:rsidR="00A96774" w:rsidRPr="00A96774" w:rsidRDefault="00A96774" w:rsidP="00A96774">
            <w:pPr>
              <w:spacing w:after="0" w:line="240" w:lineRule="auto"/>
              <w:jc w:val="right"/>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157.219</w:t>
            </w:r>
          </w:p>
        </w:tc>
        <w:tc>
          <w:tcPr>
            <w:tcW w:w="104" w:type="pct"/>
            <w:tcBorders>
              <w:top w:val="nil"/>
              <w:left w:val="nil"/>
              <w:bottom w:val="nil"/>
              <w:right w:val="nil"/>
            </w:tcBorders>
            <w:shd w:val="clear" w:color="000000" w:fill="FFFFFF"/>
            <w:noWrap/>
            <w:vAlign w:val="center"/>
            <w:hideMark/>
          </w:tcPr>
          <w:p w14:paraId="0CE16E7C"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653" w:type="pct"/>
            <w:tcBorders>
              <w:top w:val="nil"/>
              <w:left w:val="nil"/>
              <w:bottom w:val="nil"/>
              <w:right w:val="nil"/>
            </w:tcBorders>
            <w:shd w:val="clear" w:color="000000" w:fill="FFFFFF"/>
            <w:noWrap/>
            <w:vAlign w:val="bottom"/>
            <w:hideMark/>
          </w:tcPr>
          <w:p w14:paraId="3F58530E"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r w:rsidRPr="00A96774">
              <w:rPr>
                <w:rFonts w:ascii="Verdana" w:eastAsia="Times New Roman" w:hAnsi="Verdana" w:cs="Calibri"/>
                <w:color w:val="000000"/>
                <w:sz w:val="15"/>
                <w:szCs w:val="15"/>
                <w:lang w:eastAsia="pt-BR"/>
              </w:rPr>
              <w:t>1.545</w:t>
            </w:r>
          </w:p>
        </w:tc>
        <w:tc>
          <w:tcPr>
            <w:tcW w:w="103" w:type="pct"/>
            <w:tcBorders>
              <w:top w:val="nil"/>
              <w:left w:val="nil"/>
              <w:bottom w:val="nil"/>
              <w:right w:val="nil"/>
            </w:tcBorders>
            <w:shd w:val="clear" w:color="000000" w:fill="FFFFFF"/>
            <w:noWrap/>
            <w:vAlign w:val="center"/>
            <w:hideMark/>
          </w:tcPr>
          <w:p w14:paraId="3A7708EB"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729" w:type="pct"/>
            <w:tcBorders>
              <w:top w:val="nil"/>
              <w:left w:val="nil"/>
              <w:bottom w:val="nil"/>
              <w:right w:val="nil"/>
            </w:tcBorders>
            <w:shd w:val="clear" w:color="000000" w:fill="FFFFFF"/>
            <w:noWrap/>
            <w:vAlign w:val="center"/>
            <w:hideMark/>
          </w:tcPr>
          <w:p w14:paraId="039DE821" w14:textId="77777777" w:rsidR="00A96774" w:rsidRPr="00A96774" w:rsidRDefault="00A96774" w:rsidP="00A96774">
            <w:pPr>
              <w:spacing w:after="0" w:line="240" w:lineRule="auto"/>
              <w:jc w:val="right"/>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158.764</w:t>
            </w:r>
          </w:p>
        </w:tc>
      </w:tr>
      <w:tr w:rsidR="00DD4AF6" w:rsidRPr="00A96774" w14:paraId="79B3657A" w14:textId="77777777" w:rsidTr="00DD4AF6">
        <w:trPr>
          <w:trHeight w:val="20"/>
        </w:trPr>
        <w:tc>
          <w:tcPr>
            <w:tcW w:w="2729" w:type="pct"/>
            <w:tcBorders>
              <w:top w:val="nil"/>
              <w:left w:val="nil"/>
              <w:bottom w:val="nil"/>
              <w:right w:val="nil"/>
            </w:tcBorders>
            <w:shd w:val="clear" w:color="000000" w:fill="FFFFFF"/>
            <w:noWrap/>
            <w:vAlign w:val="center"/>
            <w:hideMark/>
          </w:tcPr>
          <w:p w14:paraId="146DC734" w14:textId="77777777" w:rsidR="00A96774" w:rsidRPr="00A96774" w:rsidRDefault="00A96774" w:rsidP="00A96774">
            <w:pPr>
              <w:spacing w:after="0" w:line="240" w:lineRule="auto"/>
              <w:rPr>
                <w:rFonts w:ascii="Verdana" w:eastAsia="Times New Roman" w:hAnsi="Verdana" w:cs="Calibri"/>
                <w:b/>
                <w:bCs/>
                <w:sz w:val="15"/>
                <w:szCs w:val="15"/>
                <w:lang w:eastAsia="pt-BR"/>
              </w:rPr>
            </w:pPr>
            <w:r w:rsidRPr="00A96774">
              <w:rPr>
                <w:rFonts w:ascii="Verdana" w:eastAsia="Times New Roman" w:hAnsi="Verdana" w:cs="Calibri"/>
                <w:b/>
                <w:bCs/>
                <w:sz w:val="15"/>
                <w:szCs w:val="15"/>
                <w:lang w:eastAsia="pt-BR"/>
              </w:rPr>
              <w:t xml:space="preserve">   Despesas Financeiras</w:t>
            </w:r>
          </w:p>
        </w:tc>
        <w:tc>
          <w:tcPr>
            <w:tcW w:w="682" w:type="pct"/>
            <w:tcBorders>
              <w:top w:val="nil"/>
              <w:left w:val="nil"/>
              <w:bottom w:val="nil"/>
              <w:right w:val="nil"/>
            </w:tcBorders>
            <w:shd w:val="clear" w:color="000000" w:fill="FFFFFF"/>
            <w:noWrap/>
            <w:vAlign w:val="bottom"/>
            <w:hideMark/>
          </w:tcPr>
          <w:p w14:paraId="527FDB6C"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4" w:type="pct"/>
            <w:tcBorders>
              <w:top w:val="nil"/>
              <w:left w:val="nil"/>
              <w:bottom w:val="nil"/>
              <w:right w:val="nil"/>
            </w:tcBorders>
            <w:shd w:val="clear" w:color="000000" w:fill="FFFFFF"/>
            <w:noWrap/>
            <w:vAlign w:val="center"/>
            <w:hideMark/>
          </w:tcPr>
          <w:p w14:paraId="0E11ADA8" w14:textId="77777777" w:rsidR="00A96774" w:rsidRPr="00A96774" w:rsidRDefault="00A96774" w:rsidP="00A96774">
            <w:pPr>
              <w:spacing w:after="0" w:line="240" w:lineRule="auto"/>
              <w:jc w:val="right"/>
              <w:rPr>
                <w:rFonts w:ascii="Verdana" w:eastAsia="Times New Roman" w:hAnsi="Verdana" w:cs="Calibri"/>
                <w:b/>
                <w:bCs/>
                <w:sz w:val="15"/>
                <w:szCs w:val="15"/>
                <w:lang w:eastAsia="pt-BR"/>
              </w:rPr>
            </w:pPr>
          </w:p>
        </w:tc>
        <w:tc>
          <w:tcPr>
            <w:tcW w:w="653" w:type="pct"/>
            <w:tcBorders>
              <w:top w:val="nil"/>
              <w:left w:val="nil"/>
              <w:bottom w:val="nil"/>
              <w:right w:val="nil"/>
            </w:tcBorders>
            <w:shd w:val="clear" w:color="000000" w:fill="FFFFFF"/>
            <w:noWrap/>
            <w:vAlign w:val="bottom"/>
            <w:hideMark/>
          </w:tcPr>
          <w:p w14:paraId="573FBD54"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3" w:type="pct"/>
            <w:tcBorders>
              <w:top w:val="nil"/>
              <w:left w:val="nil"/>
              <w:bottom w:val="nil"/>
              <w:right w:val="nil"/>
            </w:tcBorders>
            <w:shd w:val="clear" w:color="000000" w:fill="FFFFFF"/>
            <w:noWrap/>
            <w:vAlign w:val="bottom"/>
            <w:hideMark/>
          </w:tcPr>
          <w:p w14:paraId="434F1B4E"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729" w:type="pct"/>
            <w:tcBorders>
              <w:top w:val="nil"/>
              <w:left w:val="nil"/>
              <w:bottom w:val="nil"/>
              <w:right w:val="nil"/>
            </w:tcBorders>
            <w:shd w:val="clear" w:color="000000" w:fill="FFFFFF"/>
            <w:noWrap/>
            <w:vAlign w:val="center"/>
            <w:hideMark/>
          </w:tcPr>
          <w:p w14:paraId="4CD7465E"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r>
      <w:tr w:rsidR="00DD4AF6" w:rsidRPr="00A96774" w14:paraId="0E4799C0" w14:textId="77777777" w:rsidTr="00DD4AF6">
        <w:trPr>
          <w:trHeight w:val="20"/>
        </w:trPr>
        <w:tc>
          <w:tcPr>
            <w:tcW w:w="2729" w:type="pct"/>
            <w:tcBorders>
              <w:top w:val="nil"/>
              <w:left w:val="nil"/>
              <w:bottom w:val="nil"/>
              <w:right w:val="nil"/>
            </w:tcBorders>
            <w:shd w:val="clear" w:color="000000" w:fill="FFFFFF"/>
            <w:noWrap/>
            <w:vAlign w:val="center"/>
            <w:hideMark/>
          </w:tcPr>
          <w:p w14:paraId="7248F7A6" w14:textId="77777777" w:rsidR="00A96774" w:rsidRPr="00A96774" w:rsidRDefault="00A96774" w:rsidP="00A96774">
            <w:pPr>
              <w:spacing w:after="0" w:line="240" w:lineRule="auto"/>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 xml:space="preserve">    Encargos de dívidas</w:t>
            </w:r>
          </w:p>
        </w:tc>
        <w:tc>
          <w:tcPr>
            <w:tcW w:w="682" w:type="pct"/>
            <w:tcBorders>
              <w:top w:val="nil"/>
              <w:left w:val="nil"/>
              <w:bottom w:val="nil"/>
              <w:right w:val="nil"/>
            </w:tcBorders>
            <w:shd w:val="clear" w:color="000000" w:fill="FFFFFF"/>
            <w:noWrap/>
            <w:vAlign w:val="center"/>
            <w:hideMark/>
          </w:tcPr>
          <w:p w14:paraId="74517EBB" w14:textId="77777777" w:rsidR="00A96774" w:rsidRPr="00A96774" w:rsidRDefault="00A96774" w:rsidP="00A96774">
            <w:pPr>
              <w:spacing w:after="0" w:line="240" w:lineRule="auto"/>
              <w:jc w:val="right"/>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(2.161)</w:t>
            </w:r>
          </w:p>
        </w:tc>
        <w:tc>
          <w:tcPr>
            <w:tcW w:w="104" w:type="pct"/>
            <w:tcBorders>
              <w:top w:val="nil"/>
              <w:left w:val="nil"/>
              <w:bottom w:val="nil"/>
              <w:right w:val="nil"/>
            </w:tcBorders>
            <w:shd w:val="clear" w:color="000000" w:fill="FFFFFF"/>
            <w:noWrap/>
            <w:vAlign w:val="center"/>
            <w:hideMark/>
          </w:tcPr>
          <w:p w14:paraId="7577CDA2"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653" w:type="pct"/>
            <w:tcBorders>
              <w:top w:val="nil"/>
              <w:left w:val="nil"/>
              <w:bottom w:val="nil"/>
              <w:right w:val="nil"/>
            </w:tcBorders>
            <w:shd w:val="clear" w:color="000000" w:fill="FFFFFF"/>
            <w:noWrap/>
            <w:vAlign w:val="bottom"/>
            <w:hideMark/>
          </w:tcPr>
          <w:p w14:paraId="1018A9E1"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r w:rsidRPr="00A96774">
              <w:rPr>
                <w:rFonts w:ascii="Verdana" w:eastAsia="Times New Roman" w:hAnsi="Verdana" w:cs="Calibri"/>
                <w:color w:val="000000"/>
                <w:sz w:val="15"/>
                <w:szCs w:val="15"/>
                <w:lang w:eastAsia="pt-BR"/>
              </w:rPr>
              <w:t>-</w:t>
            </w:r>
          </w:p>
        </w:tc>
        <w:tc>
          <w:tcPr>
            <w:tcW w:w="103" w:type="pct"/>
            <w:tcBorders>
              <w:top w:val="nil"/>
              <w:left w:val="nil"/>
              <w:bottom w:val="nil"/>
              <w:right w:val="nil"/>
            </w:tcBorders>
            <w:shd w:val="clear" w:color="000000" w:fill="FFFFFF"/>
            <w:noWrap/>
            <w:vAlign w:val="center"/>
            <w:hideMark/>
          </w:tcPr>
          <w:p w14:paraId="1D39D11E"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729" w:type="pct"/>
            <w:tcBorders>
              <w:top w:val="nil"/>
              <w:left w:val="nil"/>
              <w:bottom w:val="nil"/>
              <w:right w:val="nil"/>
            </w:tcBorders>
            <w:shd w:val="clear" w:color="000000" w:fill="FFFFFF"/>
            <w:noWrap/>
            <w:vAlign w:val="center"/>
            <w:hideMark/>
          </w:tcPr>
          <w:p w14:paraId="4E181E1A" w14:textId="77777777" w:rsidR="00A96774" w:rsidRPr="00A96774" w:rsidRDefault="00A96774" w:rsidP="00A96774">
            <w:pPr>
              <w:spacing w:after="0" w:line="240" w:lineRule="auto"/>
              <w:jc w:val="right"/>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(2.161)</w:t>
            </w:r>
          </w:p>
        </w:tc>
      </w:tr>
      <w:tr w:rsidR="00DD4AF6" w:rsidRPr="00A96774" w14:paraId="5685149B" w14:textId="77777777" w:rsidTr="00DD4AF6">
        <w:trPr>
          <w:trHeight w:val="20"/>
        </w:trPr>
        <w:tc>
          <w:tcPr>
            <w:tcW w:w="2729" w:type="pct"/>
            <w:tcBorders>
              <w:top w:val="nil"/>
              <w:left w:val="nil"/>
              <w:bottom w:val="nil"/>
              <w:right w:val="nil"/>
            </w:tcBorders>
            <w:shd w:val="clear" w:color="000000" w:fill="FFFFFF"/>
            <w:noWrap/>
            <w:vAlign w:val="center"/>
            <w:hideMark/>
          </w:tcPr>
          <w:p w14:paraId="6BE2071B" w14:textId="77777777" w:rsidR="00A96774" w:rsidRPr="00A96774" w:rsidRDefault="00A96774" w:rsidP="00A96774">
            <w:pPr>
              <w:spacing w:after="0" w:line="240" w:lineRule="auto"/>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 xml:space="preserve">    Atualizações monetárias passivas</w:t>
            </w:r>
          </w:p>
        </w:tc>
        <w:tc>
          <w:tcPr>
            <w:tcW w:w="682" w:type="pct"/>
            <w:tcBorders>
              <w:top w:val="nil"/>
              <w:left w:val="nil"/>
              <w:bottom w:val="nil"/>
              <w:right w:val="nil"/>
            </w:tcBorders>
            <w:shd w:val="clear" w:color="000000" w:fill="FFFFFF"/>
            <w:noWrap/>
            <w:vAlign w:val="center"/>
            <w:hideMark/>
          </w:tcPr>
          <w:p w14:paraId="59378507" w14:textId="77777777" w:rsidR="00A96774" w:rsidRPr="00A96774" w:rsidRDefault="00A96774" w:rsidP="00A96774">
            <w:pPr>
              <w:spacing w:after="0" w:line="240" w:lineRule="auto"/>
              <w:jc w:val="right"/>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(7)</w:t>
            </w:r>
          </w:p>
        </w:tc>
        <w:tc>
          <w:tcPr>
            <w:tcW w:w="104" w:type="pct"/>
            <w:tcBorders>
              <w:top w:val="nil"/>
              <w:left w:val="nil"/>
              <w:bottom w:val="nil"/>
              <w:right w:val="nil"/>
            </w:tcBorders>
            <w:shd w:val="clear" w:color="000000" w:fill="FFFFFF"/>
            <w:noWrap/>
            <w:vAlign w:val="center"/>
            <w:hideMark/>
          </w:tcPr>
          <w:p w14:paraId="41F73EE0"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653" w:type="pct"/>
            <w:tcBorders>
              <w:top w:val="nil"/>
              <w:left w:val="nil"/>
              <w:bottom w:val="nil"/>
              <w:right w:val="nil"/>
            </w:tcBorders>
            <w:shd w:val="clear" w:color="000000" w:fill="FFFFFF"/>
            <w:noWrap/>
            <w:vAlign w:val="bottom"/>
            <w:hideMark/>
          </w:tcPr>
          <w:p w14:paraId="4533EF57"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r w:rsidRPr="00A96774">
              <w:rPr>
                <w:rFonts w:ascii="Verdana" w:eastAsia="Times New Roman" w:hAnsi="Verdana" w:cs="Calibri"/>
                <w:color w:val="000000"/>
                <w:sz w:val="15"/>
                <w:szCs w:val="15"/>
                <w:lang w:eastAsia="pt-BR"/>
              </w:rPr>
              <w:t>-</w:t>
            </w:r>
          </w:p>
        </w:tc>
        <w:tc>
          <w:tcPr>
            <w:tcW w:w="103" w:type="pct"/>
            <w:tcBorders>
              <w:top w:val="nil"/>
              <w:left w:val="nil"/>
              <w:bottom w:val="nil"/>
              <w:right w:val="nil"/>
            </w:tcBorders>
            <w:shd w:val="clear" w:color="000000" w:fill="FFFFFF"/>
            <w:noWrap/>
            <w:vAlign w:val="center"/>
            <w:hideMark/>
          </w:tcPr>
          <w:p w14:paraId="7471BFE2"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729" w:type="pct"/>
            <w:tcBorders>
              <w:top w:val="nil"/>
              <w:left w:val="nil"/>
              <w:bottom w:val="nil"/>
              <w:right w:val="nil"/>
            </w:tcBorders>
            <w:shd w:val="clear" w:color="000000" w:fill="FFFFFF"/>
            <w:noWrap/>
            <w:vAlign w:val="center"/>
            <w:hideMark/>
          </w:tcPr>
          <w:p w14:paraId="4ADB34CA" w14:textId="77777777" w:rsidR="00A96774" w:rsidRPr="00A96774" w:rsidRDefault="00A96774" w:rsidP="00A96774">
            <w:pPr>
              <w:spacing w:after="0" w:line="240" w:lineRule="auto"/>
              <w:jc w:val="right"/>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(7)</w:t>
            </w:r>
          </w:p>
        </w:tc>
      </w:tr>
      <w:tr w:rsidR="00DD4AF6" w:rsidRPr="00A96774" w14:paraId="428CBE51" w14:textId="77777777" w:rsidTr="00DD4AF6">
        <w:trPr>
          <w:trHeight w:val="20"/>
        </w:trPr>
        <w:tc>
          <w:tcPr>
            <w:tcW w:w="2729" w:type="pct"/>
            <w:tcBorders>
              <w:top w:val="nil"/>
              <w:left w:val="nil"/>
              <w:bottom w:val="nil"/>
              <w:right w:val="nil"/>
            </w:tcBorders>
            <w:shd w:val="clear" w:color="000000" w:fill="FFFFFF"/>
            <w:noWrap/>
            <w:vAlign w:val="center"/>
            <w:hideMark/>
          </w:tcPr>
          <w:p w14:paraId="4A745560" w14:textId="77777777" w:rsidR="00A96774" w:rsidRPr="00A96774" w:rsidRDefault="00A96774" w:rsidP="00A96774">
            <w:pPr>
              <w:spacing w:after="0" w:line="240" w:lineRule="auto"/>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 xml:space="preserve">    Outras despesas financeiras</w:t>
            </w:r>
          </w:p>
        </w:tc>
        <w:tc>
          <w:tcPr>
            <w:tcW w:w="682" w:type="pct"/>
            <w:tcBorders>
              <w:top w:val="nil"/>
              <w:left w:val="nil"/>
              <w:bottom w:val="nil"/>
              <w:right w:val="nil"/>
            </w:tcBorders>
            <w:shd w:val="clear" w:color="000000" w:fill="FFFFFF"/>
            <w:noWrap/>
            <w:vAlign w:val="center"/>
            <w:hideMark/>
          </w:tcPr>
          <w:p w14:paraId="6BFC2042" w14:textId="77777777" w:rsidR="00A96774" w:rsidRPr="00A96774" w:rsidRDefault="00A96774" w:rsidP="00A96774">
            <w:pPr>
              <w:spacing w:after="0" w:line="240" w:lineRule="auto"/>
              <w:jc w:val="right"/>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(1)</w:t>
            </w:r>
          </w:p>
        </w:tc>
        <w:tc>
          <w:tcPr>
            <w:tcW w:w="104" w:type="pct"/>
            <w:tcBorders>
              <w:top w:val="nil"/>
              <w:left w:val="nil"/>
              <w:bottom w:val="nil"/>
              <w:right w:val="nil"/>
            </w:tcBorders>
            <w:shd w:val="clear" w:color="000000" w:fill="FFFFFF"/>
            <w:noWrap/>
            <w:vAlign w:val="center"/>
            <w:hideMark/>
          </w:tcPr>
          <w:p w14:paraId="426E82C1"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653" w:type="pct"/>
            <w:tcBorders>
              <w:top w:val="nil"/>
              <w:left w:val="nil"/>
              <w:bottom w:val="nil"/>
              <w:right w:val="nil"/>
            </w:tcBorders>
            <w:shd w:val="clear" w:color="000000" w:fill="FFFFFF"/>
            <w:noWrap/>
            <w:vAlign w:val="bottom"/>
            <w:hideMark/>
          </w:tcPr>
          <w:p w14:paraId="249B0CD8"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r w:rsidRPr="00A96774">
              <w:rPr>
                <w:rFonts w:ascii="Verdana" w:eastAsia="Times New Roman" w:hAnsi="Verdana" w:cs="Calibri"/>
                <w:color w:val="000000"/>
                <w:sz w:val="15"/>
                <w:szCs w:val="15"/>
                <w:lang w:eastAsia="pt-BR"/>
              </w:rPr>
              <w:t>-</w:t>
            </w:r>
          </w:p>
        </w:tc>
        <w:tc>
          <w:tcPr>
            <w:tcW w:w="103" w:type="pct"/>
            <w:tcBorders>
              <w:top w:val="nil"/>
              <w:left w:val="nil"/>
              <w:bottom w:val="nil"/>
              <w:right w:val="nil"/>
            </w:tcBorders>
            <w:shd w:val="clear" w:color="000000" w:fill="FFFFFF"/>
            <w:noWrap/>
            <w:vAlign w:val="center"/>
            <w:hideMark/>
          </w:tcPr>
          <w:p w14:paraId="6B486F11"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729" w:type="pct"/>
            <w:tcBorders>
              <w:top w:val="nil"/>
              <w:left w:val="nil"/>
              <w:bottom w:val="nil"/>
              <w:right w:val="nil"/>
            </w:tcBorders>
            <w:shd w:val="clear" w:color="000000" w:fill="FFFFFF"/>
            <w:noWrap/>
            <w:vAlign w:val="center"/>
            <w:hideMark/>
          </w:tcPr>
          <w:p w14:paraId="54D9CCA5" w14:textId="77777777" w:rsidR="00A96774" w:rsidRPr="00A96774" w:rsidRDefault="00A96774" w:rsidP="00A96774">
            <w:pPr>
              <w:spacing w:after="0" w:line="240" w:lineRule="auto"/>
              <w:jc w:val="right"/>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(1)</w:t>
            </w:r>
          </w:p>
        </w:tc>
      </w:tr>
      <w:tr w:rsidR="00DD4AF6" w:rsidRPr="00A96774" w14:paraId="079A5BE6" w14:textId="77777777" w:rsidTr="00DD4AF6">
        <w:trPr>
          <w:trHeight w:val="20"/>
        </w:trPr>
        <w:tc>
          <w:tcPr>
            <w:tcW w:w="2729" w:type="pct"/>
            <w:tcBorders>
              <w:top w:val="nil"/>
              <w:left w:val="nil"/>
              <w:bottom w:val="nil"/>
              <w:right w:val="nil"/>
            </w:tcBorders>
            <w:shd w:val="clear" w:color="000000" w:fill="FFFFFF"/>
            <w:noWrap/>
            <w:vAlign w:val="center"/>
            <w:hideMark/>
          </w:tcPr>
          <w:p w14:paraId="2C6E043E" w14:textId="77777777" w:rsidR="00A96774" w:rsidRPr="00A96774" w:rsidRDefault="00A96774" w:rsidP="00A96774">
            <w:pPr>
              <w:spacing w:after="0" w:line="240" w:lineRule="auto"/>
              <w:rPr>
                <w:rFonts w:ascii="Verdana" w:eastAsia="Times New Roman" w:hAnsi="Verdana" w:cs="Calibri"/>
                <w:b/>
                <w:bCs/>
                <w:sz w:val="15"/>
                <w:szCs w:val="15"/>
                <w:lang w:eastAsia="pt-BR"/>
              </w:rPr>
            </w:pPr>
            <w:r w:rsidRPr="00A96774">
              <w:rPr>
                <w:rFonts w:ascii="Verdana" w:eastAsia="Times New Roman" w:hAnsi="Verdana" w:cs="Calibri"/>
                <w:b/>
                <w:bCs/>
                <w:sz w:val="15"/>
                <w:szCs w:val="15"/>
                <w:lang w:eastAsia="pt-BR"/>
              </w:rPr>
              <w:t xml:space="preserve">   Itens financeiros líquidos</w:t>
            </w:r>
          </w:p>
        </w:tc>
        <w:tc>
          <w:tcPr>
            <w:tcW w:w="682" w:type="pct"/>
            <w:tcBorders>
              <w:top w:val="nil"/>
              <w:left w:val="nil"/>
              <w:bottom w:val="nil"/>
              <w:right w:val="nil"/>
            </w:tcBorders>
            <w:shd w:val="clear" w:color="000000" w:fill="FFFFFF"/>
            <w:noWrap/>
            <w:vAlign w:val="bottom"/>
            <w:hideMark/>
          </w:tcPr>
          <w:p w14:paraId="13A577B2"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4" w:type="pct"/>
            <w:tcBorders>
              <w:top w:val="nil"/>
              <w:left w:val="nil"/>
              <w:bottom w:val="nil"/>
              <w:right w:val="nil"/>
            </w:tcBorders>
            <w:shd w:val="clear" w:color="000000" w:fill="FFFFFF"/>
            <w:noWrap/>
            <w:vAlign w:val="center"/>
            <w:hideMark/>
          </w:tcPr>
          <w:p w14:paraId="4DEDB1D8" w14:textId="77777777" w:rsidR="00A96774" w:rsidRPr="00A96774" w:rsidRDefault="00A96774" w:rsidP="00A96774">
            <w:pPr>
              <w:spacing w:after="0" w:line="240" w:lineRule="auto"/>
              <w:jc w:val="right"/>
              <w:rPr>
                <w:rFonts w:ascii="Verdana" w:eastAsia="Times New Roman" w:hAnsi="Verdana" w:cs="Calibri"/>
                <w:b/>
                <w:bCs/>
                <w:sz w:val="15"/>
                <w:szCs w:val="15"/>
                <w:lang w:eastAsia="pt-BR"/>
              </w:rPr>
            </w:pPr>
          </w:p>
        </w:tc>
        <w:tc>
          <w:tcPr>
            <w:tcW w:w="653" w:type="pct"/>
            <w:tcBorders>
              <w:top w:val="nil"/>
              <w:left w:val="nil"/>
              <w:bottom w:val="nil"/>
              <w:right w:val="nil"/>
            </w:tcBorders>
            <w:shd w:val="clear" w:color="000000" w:fill="FFFFFF"/>
            <w:noWrap/>
            <w:vAlign w:val="bottom"/>
            <w:hideMark/>
          </w:tcPr>
          <w:p w14:paraId="32CC7E91"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3" w:type="pct"/>
            <w:tcBorders>
              <w:top w:val="nil"/>
              <w:left w:val="nil"/>
              <w:bottom w:val="nil"/>
              <w:right w:val="nil"/>
            </w:tcBorders>
            <w:shd w:val="clear" w:color="000000" w:fill="FFFFFF"/>
            <w:noWrap/>
            <w:vAlign w:val="bottom"/>
            <w:hideMark/>
          </w:tcPr>
          <w:p w14:paraId="6A204502"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729" w:type="pct"/>
            <w:tcBorders>
              <w:top w:val="nil"/>
              <w:left w:val="nil"/>
              <w:bottom w:val="nil"/>
              <w:right w:val="nil"/>
            </w:tcBorders>
            <w:shd w:val="clear" w:color="000000" w:fill="FFFFFF"/>
            <w:noWrap/>
            <w:vAlign w:val="center"/>
            <w:hideMark/>
          </w:tcPr>
          <w:p w14:paraId="730450BD"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r>
      <w:tr w:rsidR="00DD4AF6" w:rsidRPr="00A96774" w14:paraId="23142AFF" w14:textId="77777777" w:rsidTr="00DD4AF6">
        <w:trPr>
          <w:trHeight w:val="20"/>
        </w:trPr>
        <w:tc>
          <w:tcPr>
            <w:tcW w:w="2729" w:type="pct"/>
            <w:tcBorders>
              <w:top w:val="nil"/>
              <w:left w:val="nil"/>
              <w:bottom w:val="nil"/>
              <w:right w:val="nil"/>
            </w:tcBorders>
            <w:shd w:val="clear" w:color="000000" w:fill="FFFFFF"/>
            <w:noWrap/>
            <w:vAlign w:val="center"/>
            <w:hideMark/>
          </w:tcPr>
          <w:p w14:paraId="47C43622" w14:textId="77777777" w:rsidR="00A96774" w:rsidRPr="00A96774" w:rsidRDefault="00A96774" w:rsidP="00A96774">
            <w:pPr>
              <w:spacing w:after="0" w:line="240" w:lineRule="auto"/>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 xml:space="preserve">    Variações cambiais</w:t>
            </w:r>
          </w:p>
        </w:tc>
        <w:tc>
          <w:tcPr>
            <w:tcW w:w="682" w:type="pct"/>
            <w:tcBorders>
              <w:top w:val="nil"/>
              <w:left w:val="nil"/>
              <w:bottom w:val="nil"/>
              <w:right w:val="nil"/>
            </w:tcBorders>
            <w:shd w:val="clear" w:color="000000" w:fill="FFFFFF"/>
            <w:noWrap/>
            <w:vAlign w:val="center"/>
            <w:hideMark/>
          </w:tcPr>
          <w:p w14:paraId="4D5D9D4D" w14:textId="77777777" w:rsidR="00A96774" w:rsidRPr="00A96774" w:rsidRDefault="00A96774" w:rsidP="00A96774">
            <w:pPr>
              <w:spacing w:after="0" w:line="240" w:lineRule="auto"/>
              <w:jc w:val="right"/>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(31.667)</w:t>
            </w:r>
          </w:p>
        </w:tc>
        <w:tc>
          <w:tcPr>
            <w:tcW w:w="104" w:type="pct"/>
            <w:tcBorders>
              <w:top w:val="nil"/>
              <w:left w:val="nil"/>
              <w:bottom w:val="nil"/>
              <w:right w:val="nil"/>
            </w:tcBorders>
            <w:shd w:val="clear" w:color="000000" w:fill="FFFFFF"/>
            <w:noWrap/>
            <w:vAlign w:val="center"/>
            <w:hideMark/>
          </w:tcPr>
          <w:p w14:paraId="1B6882D8"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653" w:type="pct"/>
            <w:tcBorders>
              <w:top w:val="nil"/>
              <w:left w:val="nil"/>
              <w:bottom w:val="nil"/>
              <w:right w:val="nil"/>
            </w:tcBorders>
            <w:shd w:val="clear" w:color="000000" w:fill="FFFFFF"/>
            <w:noWrap/>
            <w:vAlign w:val="bottom"/>
            <w:hideMark/>
          </w:tcPr>
          <w:p w14:paraId="13705337"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r w:rsidRPr="00A96774">
              <w:rPr>
                <w:rFonts w:ascii="Verdana" w:eastAsia="Times New Roman" w:hAnsi="Verdana" w:cs="Calibri"/>
                <w:color w:val="000000"/>
                <w:sz w:val="15"/>
                <w:szCs w:val="15"/>
                <w:lang w:eastAsia="pt-BR"/>
              </w:rPr>
              <w:t>5.35</w:t>
            </w:r>
            <w:r w:rsidR="00B61E2E">
              <w:rPr>
                <w:rFonts w:ascii="Verdana" w:eastAsia="Times New Roman" w:hAnsi="Verdana" w:cs="Calibri"/>
                <w:color w:val="000000"/>
                <w:sz w:val="15"/>
                <w:szCs w:val="15"/>
                <w:lang w:eastAsia="pt-BR"/>
              </w:rPr>
              <w:t>5</w:t>
            </w:r>
          </w:p>
        </w:tc>
        <w:tc>
          <w:tcPr>
            <w:tcW w:w="103" w:type="pct"/>
            <w:tcBorders>
              <w:top w:val="nil"/>
              <w:left w:val="nil"/>
              <w:bottom w:val="nil"/>
              <w:right w:val="nil"/>
            </w:tcBorders>
            <w:shd w:val="clear" w:color="000000" w:fill="FFFFFF"/>
            <w:noWrap/>
            <w:vAlign w:val="center"/>
            <w:hideMark/>
          </w:tcPr>
          <w:p w14:paraId="5735280A"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729" w:type="pct"/>
            <w:tcBorders>
              <w:top w:val="nil"/>
              <w:left w:val="nil"/>
              <w:bottom w:val="nil"/>
              <w:right w:val="nil"/>
            </w:tcBorders>
            <w:shd w:val="clear" w:color="000000" w:fill="FFFFFF"/>
            <w:noWrap/>
            <w:vAlign w:val="center"/>
            <w:hideMark/>
          </w:tcPr>
          <w:p w14:paraId="2D4DF747" w14:textId="77777777" w:rsidR="00A96774" w:rsidRPr="00A96774" w:rsidRDefault="00A96774" w:rsidP="00A96774">
            <w:pPr>
              <w:spacing w:after="0" w:line="240" w:lineRule="auto"/>
              <w:jc w:val="right"/>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(26.31</w:t>
            </w:r>
            <w:r w:rsidR="00B61E2E">
              <w:rPr>
                <w:rFonts w:ascii="Verdana" w:eastAsia="Times New Roman" w:hAnsi="Verdana" w:cs="Calibri"/>
                <w:sz w:val="15"/>
                <w:szCs w:val="15"/>
                <w:lang w:eastAsia="pt-BR"/>
              </w:rPr>
              <w:t>2</w:t>
            </w:r>
            <w:r w:rsidRPr="00A96774">
              <w:rPr>
                <w:rFonts w:ascii="Verdana" w:eastAsia="Times New Roman" w:hAnsi="Verdana" w:cs="Calibri"/>
                <w:sz w:val="15"/>
                <w:szCs w:val="15"/>
                <w:lang w:eastAsia="pt-BR"/>
              </w:rPr>
              <w:t>)</w:t>
            </w:r>
          </w:p>
        </w:tc>
      </w:tr>
      <w:tr w:rsidR="00DD4AF6" w:rsidRPr="00A96774" w14:paraId="5DEDE0B0" w14:textId="77777777" w:rsidTr="00DD4AF6">
        <w:trPr>
          <w:trHeight w:val="20"/>
        </w:trPr>
        <w:tc>
          <w:tcPr>
            <w:tcW w:w="2729" w:type="pct"/>
            <w:tcBorders>
              <w:top w:val="nil"/>
              <w:left w:val="nil"/>
              <w:bottom w:val="nil"/>
              <w:right w:val="nil"/>
            </w:tcBorders>
            <w:shd w:val="clear" w:color="000000" w:fill="FFFFFF"/>
            <w:noWrap/>
            <w:vAlign w:val="center"/>
            <w:hideMark/>
          </w:tcPr>
          <w:p w14:paraId="57C2480F" w14:textId="77777777" w:rsidR="00A96774" w:rsidRPr="00A96774" w:rsidRDefault="00A96774" w:rsidP="00A96774">
            <w:pPr>
              <w:spacing w:after="0" w:line="240" w:lineRule="auto"/>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 </w:t>
            </w:r>
          </w:p>
        </w:tc>
        <w:tc>
          <w:tcPr>
            <w:tcW w:w="682" w:type="pct"/>
            <w:tcBorders>
              <w:top w:val="nil"/>
              <w:left w:val="nil"/>
              <w:bottom w:val="nil"/>
              <w:right w:val="nil"/>
            </w:tcBorders>
            <w:shd w:val="clear" w:color="000000" w:fill="FFFFFF"/>
            <w:noWrap/>
            <w:vAlign w:val="bottom"/>
            <w:hideMark/>
          </w:tcPr>
          <w:p w14:paraId="535355F8"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4" w:type="pct"/>
            <w:tcBorders>
              <w:top w:val="nil"/>
              <w:left w:val="nil"/>
              <w:bottom w:val="nil"/>
              <w:right w:val="nil"/>
            </w:tcBorders>
            <w:shd w:val="clear" w:color="000000" w:fill="FFFFFF"/>
            <w:noWrap/>
            <w:vAlign w:val="center"/>
            <w:hideMark/>
          </w:tcPr>
          <w:p w14:paraId="3F15E1DC"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653" w:type="pct"/>
            <w:tcBorders>
              <w:top w:val="nil"/>
              <w:left w:val="nil"/>
              <w:bottom w:val="nil"/>
              <w:right w:val="nil"/>
            </w:tcBorders>
            <w:shd w:val="clear" w:color="000000" w:fill="FFFFFF"/>
            <w:noWrap/>
            <w:vAlign w:val="bottom"/>
            <w:hideMark/>
          </w:tcPr>
          <w:p w14:paraId="45869BCC"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3" w:type="pct"/>
            <w:tcBorders>
              <w:top w:val="nil"/>
              <w:left w:val="nil"/>
              <w:bottom w:val="nil"/>
              <w:right w:val="nil"/>
            </w:tcBorders>
            <w:shd w:val="clear" w:color="000000" w:fill="FFFFFF"/>
            <w:noWrap/>
            <w:vAlign w:val="bottom"/>
            <w:hideMark/>
          </w:tcPr>
          <w:p w14:paraId="5813CA02"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729" w:type="pct"/>
            <w:tcBorders>
              <w:top w:val="nil"/>
              <w:left w:val="nil"/>
              <w:bottom w:val="nil"/>
              <w:right w:val="nil"/>
            </w:tcBorders>
            <w:shd w:val="clear" w:color="000000" w:fill="FFFFFF"/>
            <w:noWrap/>
            <w:vAlign w:val="center"/>
            <w:hideMark/>
          </w:tcPr>
          <w:p w14:paraId="0A3993F5"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r>
      <w:tr w:rsidR="00DD4AF6" w:rsidRPr="00A96774" w14:paraId="69BEAD12" w14:textId="77777777" w:rsidTr="00DD4AF6">
        <w:trPr>
          <w:trHeight w:val="20"/>
        </w:trPr>
        <w:tc>
          <w:tcPr>
            <w:tcW w:w="2729" w:type="pct"/>
            <w:tcBorders>
              <w:top w:val="nil"/>
              <w:left w:val="nil"/>
              <w:bottom w:val="nil"/>
              <w:right w:val="nil"/>
            </w:tcBorders>
            <w:shd w:val="clear" w:color="000000" w:fill="FFFFFF"/>
            <w:noWrap/>
            <w:vAlign w:val="center"/>
            <w:hideMark/>
          </w:tcPr>
          <w:p w14:paraId="09D1B31B" w14:textId="77777777" w:rsidR="00A96774" w:rsidRPr="00A96774" w:rsidRDefault="00A96774" w:rsidP="00A96774">
            <w:pPr>
              <w:spacing w:after="0" w:line="240" w:lineRule="auto"/>
              <w:rPr>
                <w:rFonts w:ascii="Verdana" w:eastAsia="Times New Roman" w:hAnsi="Verdana" w:cs="Calibri"/>
                <w:b/>
                <w:bCs/>
                <w:color w:val="000000"/>
                <w:sz w:val="15"/>
                <w:szCs w:val="15"/>
                <w:lang w:eastAsia="pt-BR"/>
              </w:rPr>
            </w:pPr>
            <w:r w:rsidRPr="00A96774">
              <w:rPr>
                <w:rFonts w:ascii="Verdana" w:eastAsia="Times New Roman" w:hAnsi="Verdana" w:cs="Calibri"/>
                <w:b/>
                <w:bCs/>
                <w:color w:val="000000"/>
                <w:sz w:val="15"/>
                <w:szCs w:val="15"/>
                <w:lang w:eastAsia="pt-BR"/>
              </w:rPr>
              <w:t>Resultado Financeiro</w:t>
            </w:r>
          </w:p>
        </w:tc>
        <w:tc>
          <w:tcPr>
            <w:tcW w:w="682" w:type="pct"/>
            <w:tcBorders>
              <w:top w:val="single" w:sz="4" w:space="0" w:color="auto"/>
              <w:left w:val="nil"/>
              <w:bottom w:val="nil"/>
              <w:right w:val="nil"/>
            </w:tcBorders>
            <w:shd w:val="clear" w:color="000000" w:fill="FFFFFF"/>
            <w:noWrap/>
            <w:vAlign w:val="center"/>
            <w:hideMark/>
          </w:tcPr>
          <w:p w14:paraId="4CD0CD41" w14:textId="77777777" w:rsidR="00A96774" w:rsidRPr="00A96774" w:rsidRDefault="00A96774" w:rsidP="00A96774">
            <w:pPr>
              <w:spacing w:after="0" w:line="240" w:lineRule="auto"/>
              <w:jc w:val="right"/>
              <w:rPr>
                <w:rFonts w:ascii="Verdana" w:eastAsia="Times New Roman" w:hAnsi="Verdana" w:cs="Calibri"/>
                <w:b/>
                <w:bCs/>
                <w:sz w:val="15"/>
                <w:szCs w:val="15"/>
                <w:lang w:eastAsia="pt-BR"/>
              </w:rPr>
            </w:pPr>
            <w:r w:rsidRPr="00A96774">
              <w:rPr>
                <w:rFonts w:ascii="Verdana" w:eastAsia="Times New Roman" w:hAnsi="Verdana" w:cs="Calibri"/>
                <w:b/>
                <w:bCs/>
                <w:sz w:val="15"/>
                <w:szCs w:val="15"/>
                <w:lang w:eastAsia="pt-BR"/>
              </w:rPr>
              <w:t>123.383</w:t>
            </w:r>
          </w:p>
        </w:tc>
        <w:tc>
          <w:tcPr>
            <w:tcW w:w="104" w:type="pct"/>
            <w:tcBorders>
              <w:top w:val="nil"/>
              <w:left w:val="nil"/>
              <w:bottom w:val="nil"/>
              <w:right w:val="nil"/>
            </w:tcBorders>
            <w:shd w:val="clear" w:color="000000" w:fill="FFFFFF"/>
            <w:noWrap/>
            <w:vAlign w:val="center"/>
            <w:hideMark/>
          </w:tcPr>
          <w:p w14:paraId="015F042B" w14:textId="77777777" w:rsidR="00A96774" w:rsidRPr="00A96774" w:rsidRDefault="00A96774" w:rsidP="00A96774">
            <w:pPr>
              <w:spacing w:after="0" w:line="240" w:lineRule="auto"/>
              <w:jc w:val="right"/>
              <w:rPr>
                <w:rFonts w:ascii="Verdana" w:eastAsia="Times New Roman" w:hAnsi="Verdana" w:cs="Calibri"/>
                <w:b/>
                <w:bCs/>
                <w:color w:val="000000"/>
                <w:sz w:val="15"/>
                <w:szCs w:val="15"/>
                <w:lang w:eastAsia="pt-BR"/>
              </w:rPr>
            </w:pPr>
          </w:p>
        </w:tc>
        <w:tc>
          <w:tcPr>
            <w:tcW w:w="653" w:type="pct"/>
            <w:tcBorders>
              <w:top w:val="single" w:sz="4" w:space="0" w:color="auto"/>
              <w:left w:val="nil"/>
              <w:bottom w:val="nil"/>
              <w:right w:val="nil"/>
            </w:tcBorders>
            <w:shd w:val="clear" w:color="000000" w:fill="FFFFFF"/>
            <w:noWrap/>
            <w:vAlign w:val="center"/>
            <w:hideMark/>
          </w:tcPr>
          <w:p w14:paraId="352F9906" w14:textId="77777777" w:rsidR="00A96774" w:rsidRPr="00A96774" w:rsidRDefault="00A96774" w:rsidP="00A96774">
            <w:pPr>
              <w:spacing w:after="0" w:line="240" w:lineRule="auto"/>
              <w:jc w:val="right"/>
              <w:rPr>
                <w:rFonts w:ascii="Verdana" w:eastAsia="Times New Roman" w:hAnsi="Verdana" w:cs="Calibri"/>
                <w:b/>
                <w:bCs/>
                <w:sz w:val="15"/>
                <w:szCs w:val="15"/>
                <w:lang w:eastAsia="pt-BR"/>
              </w:rPr>
            </w:pPr>
            <w:r w:rsidRPr="00A96774">
              <w:rPr>
                <w:rFonts w:ascii="Verdana" w:eastAsia="Times New Roman" w:hAnsi="Verdana" w:cs="Calibri"/>
                <w:b/>
                <w:bCs/>
                <w:sz w:val="15"/>
                <w:szCs w:val="15"/>
                <w:lang w:eastAsia="pt-BR"/>
              </w:rPr>
              <w:t>6.900</w:t>
            </w:r>
          </w:p>
        </w:tc>
        <w:tc>
          <w:tcPr>
            <w:tcW w:w="103" w:type="pct"/>
            <w:tcBorders>
              <w:top w:val="nil"/>
              <w:left w:val="nil"/>
              <w:bottom w:val="nil"/>
              <w:right w:val="nil"/>
            </w:tcBorders>
            <w:shd w:val="clear" w:color="000000" w:fill="FFFFFF"/>
            <w:noWrap/>
            <w:vAlign w:val="center"/>
            <w:hideMark/>
          </w:tcPr>
          <w:p w14:paraId="7E0E45E2" w14:textId="77777777" w:rsidR="00A96774" w:rsidRPr="00A96774" w:rsidRDefault="00A96774" w:rsidP="00A96774">
            <w:pPr>
              <w:spacing w:after="0" w:line="240" w:lineRule="auto"/>
              <w:jc w:val="right"/>
              <w:rPr>
                <w:rFonts w:ascii="Verdana" w:eastAsia="Times New Roman" w:hAnsi="Verdana" w:cs="Calibri"/>
                <w:b/>
                <w:bCs/>
                <w:sz w:val="15"/>
                <w:szCs w:val="15"/>
                <w:lang w:eastAsia="pt-BR"/>
              </w:rPr>
            </w:pPr>
          </w:p>
        </w:tc>
        <w:tc>
          <w:tcPr>
            <w:tcW w:w="729" w:type="pct"/>
            <w:tcBorders>
              <w:top w:val="single" w:sz="4" w:space="0" w:color="auto"/>
              <w:left w:val="nil"/>
              <w:bottom w:val="nil"/>
              <w:right w:val="nil"/>
            </w:tcBorders>
            <w:shd w:val="clear" w:color="000000" w:fill="FFFFFF"/>
            <w:noWrap/>
            <w:vAlign w:val="center"/>
            <w:hideMark/>
          </w:tcPr>
          <w:p w14:paraId="049BD81E" w14:textId="77777777" w:rsidR="00A96774" w:rsidRPr="00A96774" w:rsidRDefault="00A96774" w:rsidP="00A96774">
            <w:pPr>
              <w:spacing w:after="0" w:line="240" w:lineRule="auto"/>
              <w:jc w:val="right"/>
              <w:rPr>
                <w:rFonts w:ascii="Verdana" w:eastAsia="Times New Roman" w:hAnsi="Verdana" w:cs="Calibri"/>
                <w:b/>
                <w:bCs/>
                <w:sz w:val="15"/>
                <w:szCs w:val="15"/>
                <w:lang w:eastAsia="pt-BR"/>
              </w:rPr>
            </w:pPr>
            <w:r w:rsidRPr="00A96774">
              <w:rPr>
                <w:rFonts w:ascii="Verdana" w:eastAsia="Times New Roman" w:hAnsi="Verdana" w:cs="Calibri"/>
                <w:b/>
                <w:bCs/>
                <w:sz w:val="15"/>
                <w:szCs w:val="15"/>
                <w:lang w:eastAsia="pt-BR"/>
              </w:rPr>
              <w:t>130.28</w:t>
            </w:r>
            <w:r w:rsidR="00B61E2E">
              <w:rPr>
                <w:rFonts w:ascii="Verdana" w:eastAsia="Times New Roman" w:hAnsi="Verdana" w:cs="Calibri"/>
                <w:b/>
                <w:bCs/>
                <w:sz w:val="15"/>
                <w:szCs w:val="15"/>
                <w:lang w:eastAsia="pt-BR"/>
              </w:rPr>
              <w:t>3</w:t>
            </w:r>
          </w:p>
        </w:tc>
      </w:tr>
      <w:tr w:rsidR="00DD4AF6" w:rsidRPr="00A96774" w14:paraId="7B5C1882" w14:textId="77777777" w:rsidTr="00DD4AF6">
        <w:trPr>
          <w:trHeight w:val="20"/>
        </w:trPr>
        <w:tc>
          <w:tcPr>
            <w:tcW w:w="2729" w:type="pct"/>
            <w:tcBorders>
              <w:top w:val="nil"/>
              <w:left w:val="nil"/>
              <w:bottom w:val="nil"/>
              <w:right w:val="nil"/>
            </w:tcBorders>
            <w:shd w:val="clear" w:color="000000" w:fill="FFFFFF"/>
            <w:noWrap/>
            <w:vAlign w:val="center"/>
            <w:hideMark/>
          </w:tcPr>
          <w:p w14:paraId="530271E4" w14:textId="77777777" w:rsidR="00A96774" w:rsidRPr="00A96774" w:rsidRDefault="00A96774" w:rsidP="00A96774">
            <w:pPr>
              <w:spacing w:after="0" w:line="240" w:lineRule="auto"/>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 </w:t>
            </w:r>
          </w:p>
        </w:tc>
        <w:tc>
          <w:tcPr>
            <w:tcW w:w="682" w:type="pct"/>
            <w:tcBorders>
              <w:top w:val="nil"/>
              <w:left w:val="nil"/>
              <w:bottom w:val="nil"/>
              <w:right w:val="nil"/>
            </w:tcBorders>
            <w:shd w:val="clear" w:color="000000" w:fill="FFFFFF"/>
            <w:noWrap/>
            <w:vAlign w:val="bottom"/>
            <w:hideMark/>
          </w:tcPr>
          <w:p w14:paraId="1FD81651"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4" w:type="pct"/>
            <w:tcBorders>
              <w:top w:val="nil"/>
              <w:left w:val="nil"/>
              <w:bottom w:val="nil"/>
              <w:right w:val="nil"/>
            </w:tcBorders>
            <w:shd w:val="clear" w:color="000000" w:fill="FFFFFF"/>
            <w:noWrap/>
            <w:vAlign w:val="center"/>
            <w:hideMark/>
          </w:tcPr>
          <w:p w14:paraId="3FDCD6C6"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653" w:type="pct"/>
            <w:tcBorders>
              <w:top w:val="nil"/>
              <w:left w:val="nil"/>
              <w:bottom w:val="nil"/>
              <w:right w:val="nil"/>
            </w:tcBorders>
            <w:shd w:val="clear" w:color="000000" w:fill="FFFFFF"/>
            <w:noWrap/>
            <w:vAlign w:val="bottom"/>
            <w:hideMark/>
          </w:tcPr>
          <w:p w14:paraId="1628505C"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3" w:type="pct"/>
            <w:tcBorders>
              <w:top w:val="nil"/>
              <w:left w:val="nil"/>
              <w:bottom w:val="nil"/>
              <w:right w:val="nil"/>
            </w:tcBorders>
            <w:shd w:val="clear" w:color="000000" w:fill="FFFFFF"/>
            <w:noWrap/>
            <w:vAlign w:val="bottom"/>
            <w:hideMark/>
          </w:tcPr>
          <w:p w14:paraId="239F9883"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729" w:type="pct"/>
            <w:tcBorders>
              <w:top w:val="nil"/>
              <w:left w:val="nil"/>
              <w:bottom w:val="nil"/>
              <w:right w:val="nil"/>
            </w:tcBorders>
            <w:shd w:val="clear" w:color="000000" w:fill="FFFFFF"/>
            <w:noWrap/>
            <w:vAlign w:val="center"/>
            <w:hideMark/>
          </w:tcPr>
          <w:p w14:paraId="3CAAB12E"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r>
      <w:tr w:rsidR="00DD4AF6" w:rsidRPr="00A96774" w14:paraId="3D8BC193" w14:textId="77777777" w:rsidTr="00DD4AF6">
        <w:trPr>
          <w:trHeight w:val="20"/>
        </w:trPr>
        <w:tc>
          <w:tcPr>
            <w:tcW w:w="2729" w:type="pct"/>
            <w:tcBorders>
              <w:top w:val="nil"/>
              <w:left w:val="nil"/>
              <w:bottom w:val="nil"/>
              <w:right w:val="nil"/>
            </w:tcBorders>
            <w:shd w:val="clear" w:color="000000" w:fill="FFFFFF"/>
            <w:noWrap/>
            <w:vAlign w:val="center"/>
            <w:hideMark/>
          </w:tcPr>
          <w:p w14:paraId="17253B86" w14:textId="77777777" w:rsidR="00A96774" w:rsidRPr="00A96774" w:rsidRDefault="00874448" w:rsidP="00874448">
            <w:pPr>
              <w:spacing w:after="0" w:line="240" w:lineRule="auto"/>
              <w:rPr>
                <w:rFonts w:ascii="Verdana" w:eastAsia="Times New Roman" w:hAnsi="Verdana" w:cs="Calibri"/>
                <w:b/>
                <w:bCs/>
                <w:sz w:val="15"/>
                <w:szCs w:val="15"/>
                <w:lang w:eastAsia="pt-BR"/>
              </w:rPr>
            </w:pPr>
            <w:r>
              <w:rPr>
                <w:rFonts w:ascii="Verdana" w:eastAsia="Times New Roman" w:hAnsi="Verdana" w:cs="Calibri"/>
                <w:b/>
                <w:bCs/>
                <w:sz w:val="15"/>
                <w:szCs w:val="15"/>
                <w:lang w:eastAsia="pt-BR"/>
              </w:rPr>
              <w:t>Transferência do R</w:t>
            </w:r>
            <w:r w:rsidRPr="00874448">
              <w:rPr>
                <w:rFonts w:ascii="Verdana" w:eastAsia="Times New Roman" w:hAnsi="Verdana" w:cs="Calibri"/>
                <w:b/>
                <w:bCs/>
                <w:sz w:val="15"/>
                <w:szCs w:val="15"/>
                <w:lang w:eastAsia="pt-BR"/>
              </w:rPr>
              <w:t>esultado da Conta de Comercialização de Energia Elétrica Itaipu</w:t>
            </w:r>
          </w:p>
        </w:tc>
        <w:tc>
          <w:tcPr>
            <w:tcW w:w="682" w:type="pct"/>
            <w:tcBorders>
              <w:top w:val="nil"/>
              <w:left w:val="nil"/>
              <w:bottom w:val="nil"/>
              <w:right w:val="nil"/>
            </w:tcBorders>
            <w:shd w:val="clear" w:color="000000" w:fill="FFFFFF"/>
            <w:noWrap/>
            <w:vAlign w:val="center"/>
            <w:hideMark/>
          </w:tcPr>
          <w:p w14:paraId="0A6946BE"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104" w:type="pct"/>
            <w:tcBorders>
              <w:top w:val="nil"/>
              <w:left w:val="nil"/>
              <w:bottom w:val="nil"/>
              <w:right w:val="nil"/>
            </w:tcBorders>
            <w:shd w:val="clear" w:color="000000" w:fill="FFFFFF"/>
            <w:noWrap/>
            <w:vAlign w:val="center"/>
            <w:hideMark/>
          </w:tcPr>
          <w:p w14:paraId="03CBB04F"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653" w:type="pct"/>
            <w:tcBorders>
              <w:top w:val="nil"/>
              <w:left w:val="nil"/>
              <w:bottom w:val="nil"/>
              <w:right w:val="nil"/>
            </w:tcBorders>
            <w:shd w:val="clear" w:color="000000" w:fill="FFFFFF"/>
            <w:noWrap/>
            <w:vAlign w:val="center"/>
            <w:hideMark/>
          </w:tcPr>
          <w:p w14:paraId="38376C8A"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103" w:type="pct"/>
            <w:tcBorders>
              <w:top w:val="nil"/>
              <w:left w:val="nil"/>
              <w:bottom w:val="nil"/>
              <w:right w:val="nil"/>
            </w:tcBorders>
            <w:shd w:val="clear" w:color="000000" w:fill="FFFFFF"/>
            <w:noWrap/>
            <w:vAlign w:val="bottom"/>
            <w:hideMark/>
          </w:tcPr>
          <w:p w14:paraId="414BB98F"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729" w:type="pct"/>
            <w:tcBorders>
              <w:top w:val="nil"/>
              <w:left w:val="nil"/>
              <w:bottom w:val="nil"/>
              <w:right w:val="nil"/>
            </w:tcBorders>
            <w:shd w:val="clear" w:color="000000" w:fill="FFFFFF"/>
            <w:noWrap/>
            <w:vAlign w:val="center"/>
            <w:hideMark/>
          </w:tcPr>
          <w:p w14:paraId="111A6B1C"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r>
      <w:tr w:rsidR="00DD4AF6" w:rsidRPr="00A96774" w14:paraId="6B93D72C" w14:textId="77777777" w:rsidTr="00DD4AF6">
        <w:trPr>
          <w:trHeight w:val="20"/>
        </w:trPr>
        <w:tc>
          <w:tcPr>
            <w:tcW w:w="2729" w:type="pct"/>
            <w:tcBorders>
              <w:top w:val="nil"/>
              <w:left w:val="nil"/>
              <w:bottom w:val="nil"/>
              <w:right w:val="nil"/>
            </w:tcBorders>
            <w:shd w:val="clear" w:color="000000" w:fill="FFFFFF"/>
            <w:noWrap/>
            <w:vAlign w:val="center"/>
            <w:hideMark/>
          </w:tcPr>
          <w:p w14:paraId="358E0B48" w14:textId="77777777" w:rsidR="00A96774" w:rsidRPr="00A96774" w:rsidRDefault="00A96774" w:rsidP="00874448">
            <w:pPr>
              <w:spacing w:after="0" w:line="240" w:lineRule="auto"/>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 xml:space="preserve">  Opera</w:t>
            </w:r>
            <w:r w:rsidR="00874448">
              <w:rPr>
                <w:rFonts w:ascii="Verdana" w:eastAsia="Times New Roman" w:hAnsi="Verdana" w:cs="Calibri"/>
                <w:sz w:val="15"/>
                <w:szCs w:val="15"/>
                <w:lang w:eastAsia="pt-BR"/>
              </w:rPr>
              <w:t>cional</w:t>
            </w:r>
          </w:p>
        </w:tc>
        <w:tc>
          <w:tcPr>
            <w:tcW w:w="682" w:type="pct"/>
            <w:tcBorders>
              <w:top w:val="nil"/>
              <w:left w:val="nil"/>
              <w:bottom w:val="nil"/>
              <w:right w:val="nil"/>
            </w:tcBorders>
            <w:shd w:val="clear" w:color="000000" w:fill="FFFFFF"/>
            <w:noWrap/>
            <w:vAlign w:val="center"/>
            <w:hideMark/>
          </w:tcPr>
          <w:p w14:paraId="25538BB2" w14:textId="77777777" w:rsidR="00A96774" w:rsidRPr="00A96774" w:rsidRDefault="00A96774" w:rsidP="00A96774">
            <w:pPr>
              <w:spacing w:after="0" w:line="240" w:lineRule="auto"/>
              <w:jc w:val="right"/>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w:t>
            </w:r>
          </w:p>
        </w:tc>
        <w:tc>
          <w:tcPr>
            <w:tcW w:w="104" w:type="pct"/>
            <w:tcBorders>
              <w:top w:val="nil"/>
              <w:left w:val="nil"/>
              <w:bottom w:val="nil"/>
              <w:right w:val="nil"/>
            </w:tcBorders>
            <w:shd w:val="clear" w:color="000000" w:fill="FFFFFF"/>
            <w:noWrap/>
            <w:vAlign w:val="center"/>
            <w:hideMark/>
          </w:tcPr>
          <w:p w14:paraId="1122EA88"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653" w:type="pct"/>
            <w:tcBorders>
              <w:top w:val="nil"/>
              <w:left w:val="nil"/>
              <w:bottom w:val="nil"/>
              <w:right w:val="nil"/>
            </w:tcBorders>
            <w:shd w:val="clear" w:color="000000" w:fill="FFFFFF"/>
            <w:noWrap/>
            <w:vAlign w:val="center"/>
            <w:hideMark/>
          </w:tcPr>
          <w:p w14:paraId="038C2619" w14:textId="77777777" w:rsidR="00A96774" w:rsidRPr="00A96774" w:rsidRDefault="00A96774" w:rsidP="00A96774">
            <w:pPr>
              <w:spacing w:after="0" w:line="240" w:lineRule="auto"/>
              <w:jc w:val="right"/>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(31.978)</w:t>
            </w:r>
          </w:p>
        </w:tc>
        <w:tc>
          <w:tcPr>
            <w:tcW w:w="103" w:type="pct"/>
            <w:tcBorders>
              <w:top w:val="nil"/>
              <w:left w:val="nil"/>
              <w:bottom w:val="nil"/>
              <w:right w:val="nil"/>
            </w:tcBorders>
            <w:shd w:val="clear" w:color="000000" w:fill="FFFFFF"/>
            <w:noWrap/>
            <w:vAlign w:val="center"/>
            <w:hideMark/>
          </w:tcPr>
          <w:p w14:paraId="329E3385"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729" w:type="pct"/>
            <w:tcBorders>
              <w:top w:val="nil"/>
              <w:left w:val="nil"/>
              <w:bottom w:val="nil"/>
              <w:right w:val="nil"/>
            </w:tcBorders>
            <w:shd w:val="clear" w:color="000000" w:fill="FFFFFF"/>
            <w:noWrap/>
            <w:vAlign w:val="center"/>
            <w:hideMark/>
          </w:tcPr>
          <w:p w14:paraId="7A2B561F" w14:textId="77777777" w:rsidR="00A96774" w:rsidRPr="00A96774" w:rsidRDefault="00A96774" w:rsidP="00A96774">
            <w:pPr>
              <w:spacing w:after="0" w:line="240" w:lineRule="auto"/>
              <w:jc w:val="right"/>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(31.978)</w:t>
            </w:r>
          </w:p>
        </w:tc>
      </w:tr>
      <w:tr w:rsidR="00DD4AF6" w:rsidRPr="00A96774" w14:paraId="4833CAD7" w14:textId="77777777" w:rsidTr="00DD4AF6">
        <w:trPr>
          <w:trHeight w:val="20"/>
        </w:trPr>
        <w:tc>
          <w:tcPr>
            <w:tcW w:w="2729" w:type="pct"/>
            <w:tcBorders>
              <w:top w:val="nil"/>
              <w:left w:val="nil"/>
              <w:bottom w:val="nil"/>
              <w:right w:val="nil"/>
            </w:tcBorders>
            <w:shd w:val="clear" w:color="000000" w:fill="FFFFFF"/>
            <w:noWrap/>
            <w:vAlign w:val="center"/>
            <w:hideMark/>
          </w:tcPr>
          <w:p w14:paraId="21B2B330" w14:textId="77777777" w:rsidR="00A96774" w:rsidRPr="00A96774" w:rsidRDefault="00A96774" w:rsidP="00874448">
            <w:pPr>
              <w:spacing w:after="0" w:line="240" w:lineRule="auto"/>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 xml:space="preserve">  Financeiro</w:t>
            </w:r>
          </w:p>
        </w:tc>
        <w:tc>
          <w:tcPr>
            <w:tcW w:w="682" w:type="pct"/>
            <w:tcBorders>
              <w:top w:val="nil"/>
              <w:left w:val="nil"/>
              <w:bottom w:val="single" w:sz="4" w:space="0" w:color="auto"/>
              <w:right w:val="nil"/>
            </w:tcBorders>
            <w:shd w:val="clear" w:color="000000" w:fill="FFFFFF"/>
            <w:vAlign w:val="center"/>
            <w:hideMark/>
          </w:tcPr>
          <w:p w14:paraId="5F910A2F"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r w:rsidRPr="00A96774">
              <w:rPr>
                <w:rFonts w:ascii="Verdana" w:eastAsia="Times New Roman" w:hAnsi="Verdana" w:cs="Calibri"/>
                <w:color w:val="000000"/>
                <w:sz w:val="15"/>
                <w:szCs w:val="15"/>
                <w:lang w:eastAsia="pt-BR"/>
              </w:rPr>
              <w:t>-</w:t>
            </w:r>
          </w:p>
        </w:tc>
        <w:tc>
          <w:tcPr>
            <w:tcW w:w="104" w:type="pct"/>
            <w:tcBorders>
              <w:top w:val="nil"/>
              <w:left w:val="nil"/>
              <w:bottom w:val="nil"/>
              <w:right w:val="nil"/>
            </w:tcBorders>
            <w:shd w:val="clear" w:color="000000" w:fill="FFFFFF"/>
            <w:vAlign w:val="center"/>
            <w:hideMark/>
          </w:tcPr>
          <w:p w14:paraId="5A408D6E"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653" w:type="pct"/>
            <w:tcBorders>
              <w:top w:val="nil"/>
              <w:left w:val="nil"/>
              <w:bottom w:val="single" w:sz="4" w:space="0" w:color="auto"/>
              <w:right w:val="nil"/>
            </w:tcBorders>
            <w:shd w:val="clear" w:color="000000" w:fill="FFFFFF"/>
            <w:vAlign w:val="center"/>
            <w:hideMark/>
          </w:tcPr>
          <w:p w14:paraId="797EA56D"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r w:rsidRPr="00A96774">
              <w:rPr>
                <w:rFonts w:ascii="Verdana" w:eastAsia="Times New Roman" w:hAnsi="Verdana" w:cs="Calibri"/>
                <w:color w:val="000000"/>
                <w:sz w:val="15"/>
                <w:szCs w:val="15"/>
                <w:lang w:eastAsia="pt-BR"/>
              </w:rPr>
              <w:t>(6.900)</w:t>
            </w:r>
          </w:p>
        </w:tc>
        <w:tc>
          <w:tcPr>
            <w:tcW w:w="103" w:type="pct"/>
            <w:tcBorders>
              <w:top w:val="nil"/>
              <w:left w:val="nil"/>
              <w:bottom w:val="nil"/>
              <w:right w:val="nil"/>
            </w:tcBorders>
            <w:shd w:val="clear" w:color="000000" w:fill="FFFFFF"/>
            <w:vAlign w:val="center"/>
            <w:hideMark/>
          </w:tcPr>
          <w:p w14:paraId="0A9D3917"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729" w:type="pct"/>
            <w:tcBorders>
              <w:top w:val="nil"/>
              <w:left w:val="nil"/>
              <w:bottom w:val="single" w:sz="4" w:space="0" w:color="auto"/>
              <w:right w:val="nil"/>
            </w:tcBorders>
            <w:shd w:val="clear" w:color="000000" w:fill="FFFFFF"/>
            <w:vAlign w:val="center"/>
            <w:hideMark/>
          </w:tcPr>
          <w:p w14:paraId="4CA3EFD0"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r w:rsidRPr="00A96774">
              <w:rPr>
                <w:rFonts w:ascii="Verdana" w:eastAsia="Times New Roman" w:hAnsi="Verdana" w:cs="Calibri"/>
                <w:color w:val="000000"/>
                <w:sz w:val="15"/>
                <w:szCs w:val="15"/>
                <w:lang w:eastAsia="pt-BR"/>
              </w:rPr>
              <w:t>(6.900)</w:t>
            </w:r>
          </w:p>
        </w:tc>
      </w:tr>
      <w:tr w:rsidR="00DD4AF6" w:rsidRPr="00A96774" w14:paraId="666373C5" w14:textId="77777777" w:rsidTr="00DD4AF6">
        <w:trPr>
          <w:trHeight w:val="20"/>
        </w:trPr>
        <w:tc>
          <w:tcPr>
            <w:tcW w:w="2729" w:type="pct"/>
            <w:tcBorders>
              <w:top w:val="nil"/>
              <w:left w:val="nil"/>
              <w:bottom w:val="nil"/>
              <w:right w:val="nil"/>
            </w:tcBorders>
            <w:shd w:val="clear" w:color="000000" w:fill="FFFFFF"/>
            <w:noWrap/>
            <w:vAlign w:val="center"/>
            <w:hideMark/>
          </w:tcPr>
          <w:p w14:paraId="05F97080" w14:textId="77777777" w:rsidR="00A96774" w:rsidRPr="00A96774" w:rsidRDefault="00A96774" w:rsidP="00A96774">
            <w:pPr>
              <w:spacing w:after="0" w:line="240" w:lineRule="auto"/>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 </w:t>
            </w:r>
          </w:p>
        </w:tc>
        <w:tc>
          <w:tcPr>
            <w:tcW w:w="682" w:type="pct"/>
            <w:tcBorders>
              <w:top w:val="nil"/>
              <w:left w:val="nil"/>
              <w:bottom w:val="nil"/>
              <w:right w:val="nil"/>
            </w:tcBorders>
            <w:shd w:val="clear" w:color="000000" w:fill="FFFFFF"/>
            <w:noWrap/>
            <w:vAlign w:val="center"/>
            <w:hideMark/>
          </w:tcPr>
          <w:p w14:paraId="4D5DA289" w14:textId="77777777" w:rsidR="00A96774" w:rsidRPr="00A96774" w:rsidRDefault="00A96774" w:rsidP="00A96774">
            <w:pPr>
              <w:spacing w:after="0" w:line="240" w:lineRule="auto"/>
              <w:jc w:val="right"/>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w:t>
            </w:r>
          </w:p>
        </w:tc>
        <w:tc>
          <w:tcPr>
            <w:tcW w:w="104" w:type="pct"/>
            <w:tcBorders>
              <w:top w:val="nil"/>
              <w:left w:val="nil"/>
              <w:bottom w:val="nil"/>
              <w:right w:val="nil"/>
            </w:tcBorders>
            <w:shd w:val="clear" w:color="000000" w:fill="FFFFFF"/>
            <w:noWrap/>
            <w:vAlign w:val="center"/>
            <w:hideMark/>
          </w:tcPr>
          <w:p w14:paraId="1C3138EA"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653" w:type="pct"/>
            <w:tcBorders>
              <w:top w:val="nil"/>
              <w:left w:val="nil"/>
              <w:bottom w:val="nil"/>
              <w:right w:val="nil"/>
            </w:tcBorders>
            <w:shd w:val="clear" w:color="000000" w:fill="FFFFFF"/>
            <w:noWrap/>
            <w:vAlign w:val="center"/>
            <w:hideMark/>
          </w:tcPr>
          <w:p w14:paraId="27612600" w14:textId="77777777" w:rsidR="00A96774" w:rsidRPr="00A96774" w:rsidRDefault="00A96774" w:rsidP="00A96774">
            <w:pPr>
              <w:spacing w:after="0" w:line="240" w:lineRule="auto"/>
              <w:jc w:val="right"/>
              <w:rPr>
                <w:rFonts w:ascii="Verdana" w:eastAsia="Times New Roman" w:hAnsi="Verdana" w:cs="Calibri"/>
                <w:b/>
                <w:bCs/>
                <w:sz w:val="15"/>
                <w:szCs w:val="15"/>
                <w:lang w:eastAsia="pt-BR"/>
              </w:rPr>
            </w:pPr>
            <w:r w:rsidRPr="00A96774">
              <w:rPr>
                <w:rFonts w:ascii="Verdana" w:eastAsia="Times New Roman" w:hAnsi="Verdana" w:cs="Calibri"/>
                <w:b/>
                <w:bCs/>
                <w:sz w:val="15"/>
                <w:szCs w:val="15"/>
                <w:lang w:eastAsia="pt-BR"/>
              </w:rPr>
              <w:t>(38.878)</w:t>
            </w:r>
          </w:p>
        </w:tc>
        <w:tc>
          <w:tcPr>
            <w:tcW w:w="103" w:type="pct"/>
            <w:tcBorders>
              <w:top w:val="nil"/>
              <w:left w:val="nil"/>
              <w:bottom w:val="nil"/>
              <w:right w:val="nil"/>
            </w:tcBorders>
            <w:shd w:val="clear" w:color="000000" w:fill="FFFFFF"/>
            <w:vAlign w:val="center"/>
            <w:hideMark/>
          </w:tcPr>
          <w:p w14:paraId="54FBA24B" w14:textId="77777777" w:rsidR="00A96774" w:rsidRPr="00A96774" w:rsidRDefault="00A96774" w:rsidP="00A96774">
            <w:pPr>
              <w:spacing w:after="0" w:line="240" w:lineRule="auto"/>
              <w:jc w:val="right"/>
              <w:rPr>
                <w:rFonts w:ascii="Verdana" w:eastAsia="Times New Roman" w:hAnsi="Verdana" w:cs="Calibri"/>
                <w:b/>
                <w:bCs/>
                <w:color w:val="000000"/>
                <w:sz w:val="15"/>
                <w:szCs w:val="15"/>
                <w:lang w:eastAsia="pt-BR"/>
              </w:rPr>
            </w:pPr>
          </w:p>
        </w:tc>
        <w:tc>
          <w:tcPr>
            <w:tcW w:w="729" w:type="pct"/>
            <w:tcBorders>
              <w:top w:val="nil"/>
              <w:left w:val="nil"/>
              <w:bottom w:val="nil"/>
              <w:right w:val="nil"/>
            </w:tcBorders>
            <w:shd w:val="clear" w:color="000000" w:fill="FFFFFF"/>
            <w:noWrap/>
            <w:vAlign w:val="center"/>
            <w:hideMark/>
          </w:tcPr>
          <w:p w14:paraId="548DFE59" w14:textId="77777777" w:rsidR="00A96774" w:rsidRPr="00A96774" w:rsidRDefault="00A96774" w:rsidP="00A96774">
            <w:pPr>
              <w:spacing w:after="0" w:line="240" w:lineRule="auto"/>
              <w:jc w:val="right"/>
              <w:rPr>
                <w:rFonts w:ascii="Verdana" w:eastAsia="Times New Roman" w:hAnsi="Verdana" w:cs="Calibri"/>
                <w:b/>
                <w:bCs/>
                <w:sz w:val="15"/>
                <w:szCs w:val="15"/>
                <w:lang w:eastAsia="pt-BR"/>
              </w:rPr>
            </w:pPr>
            <w:r w:rsidRPr="00A96774">
              <w:rPr>
                <w:rFonts w:ascii="Verdana" w:eastAsia="Times New Roman" w:hAnsi="Verdana" w:cs="Calibri"/>
                <w:b/>
                <w:bCs/>
                <w:sz w:val="15"/>
                <w:szCs w:val="15"/>
                <w:lang w:eastAsia="pt-BR"/>
              </w:rPr>
              <w:t>(38.878)</w:t>
            </w:r>
          </w:p>
        </w:tc>
      </w:tr>
      <w:tr w:rsidR="00DD4AF6" w:rsidRPr="00A96774" w14:paraId="319AD57A" w14:textId="77777777" w:rsidTr="00DD4AF6">
        <w:trPr>
          <w:trHeight w:val="20"/>
        </w:trPr>
        <w:tc>
          <w:tcPr>
            <w:tcW w:w="2729" w:type="pct"/>
            <w:tcBorders>
              <w:top w:val="nil"/>
              <w:left w:val="nil"/>
              <w:bottom w:val="nil"/>
              <w:right w:val="nil"/>
            </w:tcBorders>
            <w:shd w:val="clear" w:color="000000" w:fill="FFFFFF"/>
            <w:noWrap/>
            <w:vAlign w:val="center"/>
            <w:hideMark/>
          </w:tcPr>
          <w:p w14:paraId="105D4BCC" w14:textId="77777777" w:rsidR="00A96774" w:rsidRPr="00A96774" w:rsidRDefault="00A96774" w:rsidP="00A96774">
            <w:pPr>
              <w:spacing w:after="0" w:line="240" w:lineRule="auto"/>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 </w:t>
            </w:r>
          </w:p>
        </w:tc>
        <w:tc>
          <w:tcPr>
            <w:tcW w:w="682" w:type="pct"/>
            <w:tcBorders>
              <w:top w:val="nil"/>
              <w:left w:val="nil"/>
              <w:bottom w:val="nil"/>
              <w:right w:val="nil"/>
            </w:tcBorders>
            <w:shd w:val="clear" w:color="000000" w:fill="FFFFFF"/>
            <w:noWrap/>
            <w:vAlign w:val="center"/>
            <w:hideMark/>
          </w:tcPr>
          <w:p w14:paraId="663194EB"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104" w:type="pct"/>
            <w:tcBorders>
              <w:top w:val="nil"/>
              <w:left w:val="nil"/>
              <w:bottom w:val="nil"/>
              <w:right w:val="nil"/>
            </w:tcBorders>
            <w:shd w:val="clear" w:color="000000" w:fill="FFFFFF"/>
            <w:noWrap/>
            <w:vAlign w:val="center"/>
            <w:hideMark/>
          </w:tcPr>
          <w:p w14:paraId="172AE3F9"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653" w:type="pct"/>
            <w:tcBorders>
              <w:top w:val="nil"/>
              <w:left w:val="nil"/>
              <w:bottom w:val="nil"/>
              <w:right w:val="nil"/>
            </w:tcBorders>
            <w:shd w:val="clear" w:color="000000" w:fill="FFFFFF"/>
            <w:noWrap/>
            <w:vAlign w:val="center"/>
            <w:hideMark/>
          </w:tcPr>
          <w:p w14:paraId="637890CF"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103" w:type="pct"/>
            <w:tcBorders>
              <w:top w:val="nil"/>
              <w:left w:val="nil"/>
              <w:bottom w:val="nil"/>
              <w:right w:val="nil"/>
            </w:tcBorders>
            <w:shd w:val="clear" w:color="000000" w:fill="FFFFFF"/>
            <w:noWrap/>
            <w:vAlign w:val="bottom"/>
            <w:hideMark/>
          </w:tcPr>
          <w:p w14:paraId="23584EBC"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729" w:type="pct"/>
            <w:tcBorders>
              <w:top w:val="nil"/>
              <w:left w:val="nil"/>
              <w:bottom w:val="nil"/>
              <w:right w:val="nil"/>
            </w:tcBorders>
            <w:shd w:val="clear" w:color="000000" w:fill="FFFFFF"/>
            <w:noWrap/>
            <w:vAlign w:val="center"/>
            <w:hideMark/>
          </w:tcPr>
          <w:p w14:paraId="0DD14D9A"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r>
      <w:tr w:rsidR="00DD4AF6" w:rsidRPr="00A96774" w14:paraId="133819A9" w14:textId="77777777" w:rsidTr="00DD4AF6">
        <w:trPr>
          <w:trHeight w:val="20"/>
        </w:trPr>
        <w:tc>
          <w:tcPr>
            <w:tcW w:w="2729" w:type="pct"/>
            <w:tcBorders>
              <w:top w:val="nil"/>
              <w:left w:val="nil"/>
              <w:bottom w:val="nil"/>
              <w:right w:val="nil"/>
            </w:tcBorders>
            <w:shd w:val="clear" w:color="000000" w:fill="FFFFFF"/>
            <w:noWrap/>
            <w:vAlign w:val="center"/>
            <w:hideMark/>
          </w:tcPr>
          <w:p w14:paraId="1BFC7C91" w14:textId="77777777" w:rsidR="00A96774" w:rsidRPr="00A96774" w:rsidRDefault="00A96774" w:rsidP="00A96774">
            <w:pPr>
              <w:spacing w:after="0" w:line="240" w:lineRule="auto"/>
              <w:rPr>
                <w:rFonts w:ascii="Verdana" w:eastAsia="Times New Roman" w:hAnsi="Verdana" w:cs="Calibri"/>
                <w:b/>
                <w:bCs/>
                <w:sz w:val="15"/>
                <w:szCs w:val="15"/>
                <w:lang w:eastAsia="pt-BR"/>
              </w:rPr>
            </w:pPr>
            <w:r w:rsidRPr="00A96774">
              <w:rPr>
                <w:rFonts w:ascii="Verdana" w:eastAsia="Times New Roman" w:hAnsi="Verdana" w:cs="Calibri"/>
                <w:b/>
                <w:bCs/>
                <w:sz w:val="15"/>
                <w:szCs w:val="15"/>
                <w:lang w:eastAsia="pt-BR"/>
              </w:rPr>
              <w:t>RESULTADO OPERACIONAL ANTES DOS TRIBUTOS</w:t>
            </w:r>
          </w:p>
        </w:tc>
        <w:tc>
          <w:tcPr>
            <w:tcW w:w="682" w:type="pct"/>
            <w:tcBorders>
              <w:top w:val="single" w:sz="4" w:space="0" w:color="auto"/>
              <w:left w:val="nil"/>
              <w:bottom w:val="single" w:sz="4" w:space="0" w:color="auto"/>
              <w:right w:val="nil"/>
            </w:tcBorders>
            <w:shd w:val="clear" w:color="000000" w:fill="FFFFFF"/>
            <w:noWrap/>
            <w:vAlign w:val="center"/>
            <w:hideMark/>
          </w:tcPr>
          <w:p w14:paraId="404398F3" w14:textId="77777777" w:rsidR="00A96774" w:rsidRPr="00A96774" w:rsidRDefault="00A96774" w:rsidP="00A96774">
            <w:pPr>
              <w:spacing w:after="0" w:line="240" w:lineRule="auto"/>
              <w:jc w:val="right"/>
              <w:rPr>
                <w:rFonts w:ascii="Verdana" w:eastAsia="Times New Roman" w:hAnsi="Verdana" w:cs="Calibri"/>
                <w:b/>
                <w:bCs/>
                <w:sz w:val="15"/>
                <w:szCs w:val="15"/>
                <w:lang w:eastAsia="pt-BR"/>
              </w:rPr>
            </w:pPr>
            <w:r w:rsidRPr="00A96774">
              <w:rPr>
                <w:rFonts w:ascii="Verdana" w:eastAsia="Times New Roman" w:hAnsi="Verdana" w:cs="Calibri"/>
                <w:b/>
                <w:bCs/>
                <w:sz w:val="15"/>
                <w:szCs w:val="15"/>
                <w:lang w:eastAsia="pt-BR"/>
              </w:rPr>
              <w:t>113.464</w:t>
            </w:r>
          </w:p>
        </w:tc>
        <w:tc>
          <w:tcPr>
            <w:tcW w:w="104" w:type="pct"/>
            <w:tcBorders>
              <w:top w:val="nil"/>
              <w:left w:val="nil"/>
              <w:bottom w:val="nil"/>
              <w:right w:val="nil"/>
            </w:tcBorders>
            <w:shd w:val="clear" w:color="000000" w:fill="FFFFFF"/>
            <w:noWrap/>
            <w:vAlign w:val="center"/>
            <w:hideMark/>
          </w:tcPr>
          <w:p w14:paraId="7C4F66AF" w14:textId="77777777" w:rsidR="00A96774" w:rsidRPr="00A96774" w:rsidRDefault="00A96774" w:rsidP="00A96774">
            <w:pPr>
              <w:spacing w:after="0" w:line="240" w:lineRule="auto"/>
              <w:jc w:val="right"/>
              <w:rPr>
                <w:rFonts w:ascii="Verdana" w:eastAsia="Times New Roman" w:hAnsi="Verdana" w:cs="Calibri"/>
                <w:b/>
                <w:bCs/>
                <w:sz w:val="15"/>
                <w:szCs w:val="15"/>
                <w:lang w:eastAsia="pt-BR"/>
              </w:rPr>
            </w:pPr>
          </w:p>
        </w:tc>
        <w:tc>
          <w:tcPr>
            <w:tcW w:w="653" w:type="pct"/>
            <w:tcBorders>
              <w:top w:val="single" w:sz="4" w:space="0" w:color="auto"/>
              <w:left w:val="nil"/>
              <w:bottom w:val="single" w:sz="4" w:space="0" w:color="auto"/>
              <w:right w:val="nil"/>
            </w:tcBorders>
            <w:shd w:val="clear" w:color="000000" w:fill="FFFFFF"/>
            <w:noWrap/>
            <w:vAlign w:val="center"/>
            <w:hideMark/>
          </w:tcPr>
          <w:p w14:paraId="0D234190" w14:textId="77777777" w:rsidR="00A96774" w:rsidRPr="00A96774" w:rsidRDefault="00A96774" w:rsidP="00A96774">
            <w:pPr>
              <w:spacing w:after="0" w:line="240" w:lineRule="auto"/>
              <w:jc w:val="right"/>
              <w:rPr>
                <w:rFonts w:ascii="Verdana" w:eastAsia="Times New Roman" w:hAnsi="Verdana" w:cs="Calibri"/>
                <w:b/>
                <w:bCs/>
                <w:sz w:val="15"/>
                <w:szCs w:val="15"/>
                <w:lang w:eastAsia="pt-BR"/>
              </w:rPr>
            </w:pPr>
            <w:r w:rsidRPr="00A96774">
              <w:rPr>
                <w:rFonts w:ascii="Verdana" w:eastAsia="Times New Roman" w:hAnsi="Verdana" w:cs="Calibri"/>
                <w:b/>
                <w:bCs/>
                <w:sz w:val="15"/>
                <w:szCs w:val="15"/>
                <w:lang w:eastAsia="pt-BR"/>
              </w:rPr>
              <w:t>-</w:t>
            </w:r>
          </w:p>
        </w:tc>
        <w:tc>
          <w:tcPr>
            <w:tcW w:w="103" w:type="pct"/>
            <w:tcBorders>
              <w:top w:val="nil"/>
              <w:left w:val="nil"/>
              <w:bottom w:val="nil"/>
              <w:right w:val="nil"/>
            </w:tcBorders>
            <w:shd w:val="clear" w:color="000000" w:fill="FFFFFF"/>
            <w:noWrap/>
            <w:vAlign w:val="center"/>
            <w:hideMark/>
          </w:tcPr>
          <w:p w14:paraId="1C96D9B4" w14:textId="77777777" w:rsidR="00A96774" w:rsidRPr="00A96774" w:rsidRDefault="00A96774" w:rsidP="00A96774">
            <w:pPr>
              <w:spacing w:after="0" w:line="240" w:lineRule="auto"/>
              <w:jc w:val="right"/>
              <w:rPr>
                <w:rFonts w:ascii="Verdana" w:eastAsia="Times New Roman" w:hAnsi="Verdana" w:cs="Calibri"/>
                <w:b/>
                <w:bCs/>
                <w:sz w:val="15"/>
                <w:szCs w:val="15"/>
                <w:lang w:eastAsia="pt-BR"/>
              </w:rPr>
            </w:pPr>
          </w:p>
        </w:tc>
        <w:tc>
          <w:tcPr>
            <w:tcW w:w="729" w:type="pct"/>
            <w:tcBorders>
              <w:top w:val="single" w:sz="4" w:space="0" w:color="auto"/>
              <w:left w:val="nil"/>
              <w:bottom w:val="single" w:sz="4" w:space="0" w:color="auto"/>
              <w:right w:val="nil"/>
            </w:tcBorders>
            <w:shd w:val="clear" w:color="000000" w:fill="FFFFFF"/>
            <w:noWrap/>
            <w:vAlign w:val="center"/>
            <w:hideMark/>
          </w:tcPr>
          <w:p w14:paraId="622A7E31" w14:textId="77777777" w:rsidR="00A96774" w:rsidRPr="00A96774" w:rsidRDefault="00A96774" w:rsidP="00A96774">
            <w:pPr>
              <w:spacing w:after="0" w:line="240" w:lineRule="auto"/>
              <w:jc w:val="right"/>
              <w:rPr>
                <w:rFonts w:ascii="Verdana" w:eastAsia="Times New Roman" w:hAnsi="Verdana" w:cs="Calibri"/>
                <w:b/>
                <w:bCs/>
                <w:sz w:val="15"/>
                <w:szCs w:val="15"/>
                <w:lang w:eastAsia="pt-BR"/>
              </w:rPr>
            </w:pPr>
            <w:r w:rsidRPr="00A96774">
              <w:rPr>
                <w:rFonts w:ascii="Verdana" w:eastAsia="Times New Roman" w:hAnsi="Verdana" w:cs="Calibri"/>
                <w:b/>
                <w:bCs/>
                <w:sz w:val="15"/>
                <w:szCs w:val="15"/>
                <w:lang w:eastAsia="pt-BR"/>
              </w:rPr>
              <w:t>113.464</w:t>
            </w:r>
          </w:p>
        </w:tc>
      </w:tr>
      <w:tr w:rsidR="00DD4AF6" w:rsidRPr="00A96774" w14:paraId="66BFC4F2" w14:textId="77777777" w:rsidTr="00DD4AF6">
        <w:trPr>
          <w:trHeight w:val="20"/>
        </w:trPr>
        <w:tc>
          <w:tcPr>
            <w:tcW w:w="2729" w:type="pct"/>
            <w:tcBorders>
              <w:top w:val="nil"/>
              <w:left w:val="nil"/>
              <w:bottom w:val="nil"/>
              <w:right w:val="nil"/>
            </w:tcBorders>
            <w:shd w:val="clear" w:color="000000" w:fill="FFFFFF"/>
            <w:noWrap/>
            <w:vAlign w:val="center"/>
            <w:hideMark/>
          </w:tcPr>
          <w:p w14:paraId="6A3D2589" w14:textId="77777777" w:rsidR="00A96774" w:rsidRPr="00A96774" w:rsidRDefault="00A96774" w:rsidP="00A96774">
            <w:pPr>
              <w:spacing w:after="0" w:line="240" w:lineRule="auto"/>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 </w:t>
            </w:r>
          </w:p>
        </w:tc>
        <w:tc>
          <w:tcPr>
            <w:tcW w:w="682" w:type="pct"/>
            <w:tcBorders>
              <w:top w:val="nil"/>
              <w:left w:val="nil"/>
              <w:bottom w:val="nil"/>
              <w:right w:val="nil"/>
            </w:tcBorders>
            <w:shd w:val="clear" w:color="000000" w:fill="FFFFFF"/>
            <w:noWrap/>
            <w:vAlign w:val="bottom"/>
            <w:hideMark/>
          </w:tcPr>
          <w:p w14:paraId="46D5DB00"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4" w:type="pct"/>
            <w:tcBorders>
              <w:top w:val="nil"/>
              <w:left w:val="nil"/>
              <w:bottom w:val="nil"/>
              <w:right w:val="nil"/>
            </w:tcBorders>
            <w:shd w:val="clear" w:color="000000" w:fill="FFFFFF"/>
            <w:noWrap/>
            <w:vAlign w:val="center"/>
            <w:hideMark/>
          </w:tcPr>
          <w:p w14:paraId="153F6DDD"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653" w:type="pct"/>
            <w:tcBorders>
              <w:top w:val="nil"/>
              <w:left w:val="nil"/>
              <w:bottom w:val="nil"/>
              <w:right w:val="nil"/>
            </w:tcBorders>
            <w:shd w:val="clear" w:color="000000" w:fill="FFFFFF"/>
            <w:noWrap/>
            <w:vAlign w:val="bottom"/>
            <w:hideMark/>
          </w:tcPr>
          <w:p w14:paraId="3D66691D"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3" w:type="pct"/>
            <w:tcBorders>
              <w:top w:val="nil"/>
              <w:left w:val="nil"/>
              <w:bottom w:val="nil"/>
              <w:right w:val="nil"/>
            </w:tcBorders>
            <w:shd w:val="clear" w:color="000000" w:fill="FFFFFF"/>
            <w:noWrap/>
            <w:vAlign w:val="bottom"/>
            <w:hideMark/>
          </w:tcPr>
          <w:p w14:paraId="1CDB4F5C"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729" w:type="pct"/>
            <w:tcBorders>
              <w:top w:val="nil"/>
              <w:left w:val="nil"/>
              <w:bottom w:val="nil"/>
              <w:right w:val="nil"/>
            </w:tcBorders>
            <w:shd w:val="clear" w:color="000000" w:fill="FFFFFF"/>
            <w:noWrap/>
            <w:vAlign w:val="center"/>
            <w:hideMark/>
          </w:tcPr>
          <w:p w14:paraId="24803D63"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r>
      <w:tr w:rsidR="00DD4AF6" w:rsidRPr="00A96774" w14:paraId="2D5A87AF" w14:textId="77777777" w:rsidTr="00DD4AF6">
        <w:trPr>
          <w:trHeight w:val="20"/>
        </w:trPr>
        <w:tc>
          <w:tcPr>
            <w:tcW w:w="2729" w:type="pct"/>
            <w:tcBorders>
              <w:top w:val="nil"/>
              <w:left w:val="nil"/>
              <w:bottom w:val="nil"/>
              <w:right w:val="nil"/>
            </w:tcBorders>
            <w:shd w:val="clear" w:color="000000" w:fill="FFFFFF"/>
            <w:noWrap/>
            <w:vAlign w:val="center"/>
            <w:hideMark/>
          </w:tcPr>
          <w:p w14:paraId="65F36AC7" w14:textId="77777777" w:rsidR="00A96774" w:rsidRPr="00A96774" w:rsidRDefault="00A96774" w:rsidP="00A96774">
            <w:pPr>
              <w:spacing w:after="0" w:line="240" w:lineRule="auto"/>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 xml:space="preserve">    Imposto de renda e contribuição social correntes e diferidos</w:t>
            </w:r>
          </w:p>
        </w:tc>
        <w:tc>
          <w:tcPr>
            <w:tcW w:w="682" w:type="pct"/>
            <w:tcBorders>
              <w:top w:val="nil"/>
              <w:left w:val="nil"/>
              <w:bottom w:val="nil"/>
              <w:right w:val="nil"/>
            </w:tcBorders>
            <w:shd w:val="clear" w:color="000000" w:fill="FFFFFF"/>
            <w:noWrap/>
            <w:vAlign w:val="center"/>
            <w:hideMark/>
          </w:tcPr>
          <w:p w14:paraId="46543F97" w14:textId="77777777" w:rsidR="00A96774" w:rsidRPr="00A96774" w:rsidRDefault="00A96774" w:rsidP="00A96774">
            <w:pPr>
              <w:spacing w:after="0" w:line="240" w:lineRule="auto"/>
              <w:jc w:val="right"/>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(40.886)</w:t>
            </w:r>
          </w:p>
        </w:tc>
        <w:tc>
          <w:tcPr>
            <w:tcW w:w="104" w:type="pct"/>
            <w:tcBorders>
              <w:top w:val="nil"/>
              <w:left w:val="nil"/>
              <w:bottom w:val="nil"/>
              <w:right w:val="nil"/>
            </w:tcBorders>
            <w:shd w:val="clear" w:color="000000" w:fill="FFFFFF"/>
            <w:noWrap/>
            <w:vAlign w:val="center"/>
            <w:hideMark/>
          </w:tcPr>
          <w:p w14:paraId="291861E4"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653" w:type="pct"/>
            <w:tcBorders>
              <w:top w:val="nil"/>
              <w:left w:val="nil"/>
              <w:bottom w:val="nil"/>
              <w:right w:val="nil"/>
            </w:tcBorders>
            <w:shd w:val="clear" w:color="000000" w:fill="FFFFFF"/>
            <w:noWrap/>
            <w:vAlign w:val="bottom"/>
            <w:hideMark/>
          </w:tcPr>
          <w:p w14:paraId="27704018"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r w:rsidRPr="00A96774">
              <w:rPr>
                <w:rFonts w:ascii="Verdana" w:eastAsia="Times New Roman" w:hAnsi="Verdana" w:cs="Calibri"/>
                <w:color w:val="000000"/>
                <w:sz w:val="15"/>
                <w:szCs w:val="15"/>
                <w:lang w:eastAsia="pt-BR"/>
              </w:rPr>
              <w:t>-</w:t>
            </w:r>
          </w:p>
        </w:tc>
        <w:tc>
          <w:tcPr>
            <w:tcW w:w="103" w:type="pct"/>
            <w:tcBorders>
              <w:top w:val="nil"/>
              <w:left w:val="nil"/>
              <w:bottom w:val="nil"/>
              <w:right w:val="nil"/>
            </w:tcBorders>
            <w:shd w:val="clear" w:color="000000" w:fill="FFFFFF"/>
            <w:noWrap/>
            <w:vAlign w:val="center"/>
            <w:hideMark/>
          </w:tcPr>
          <w:p w14:paraId="1857B183"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729" w:type="pct"/>
            <w:tcBorders>
              <w:top w:val="nil"/>
              <w:left w:val="nil"/>
              <w:bottom w:val="nil"/>
              <w:right w:val="nil"/>
            </w:tcBorders>
            <w:shd w:val="clear" w:color="000000" w:fill="FFFFFF"/>
            <w:noWrap/>
            <w:vAlign w:val="center"/>
            <w:hideMark/>
          </w:tcPr>
          <w:p w14:paraId="7741AB6E" w14:textId="77777777" w:rsidR="00A96774" w:rsidRPr="00A96774" w:rsidRDefault="00A96774" w:rsidP="00A96774">
            <w:pPr>
              <w:spacing w:after="0" w:line="240" w:lineRule="auto"/>
              <w:jc w:val="right"/>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(40.886)</w:t>
            </w:r>
          </w:p>
        </w:tc>
      </w:tr>
      <w:tr w:rsidR="00DD4AF6" w:rsidRPr="00A96774" w14:paraId="07FCB819" w14:textId="77777777" w:rsidTr="00DD4AF6">
        <w:trPr>
          <w:trHeight w:val="20"/>
        </w:trPr>
        <w:tc>
          <w:tcPr>
            <w:tcW w:w="2729" w:type="pct"/>
            <w:tcBorders>
              <w:top w:val="nil"/>
              <w:left w:val="nil"/>
              <w:bottom w:val="nil"/>
              <w:right w:val="nil"/>
            </w:tcBorders>
            <w:shd w:val="clear" w:color="000000" w:fill="FFFFFF"/>
            <w:noWrap/>
            <w:vAlign w:val="center"/>
            <w:hideMark/>
          </w:tcPr>
          <w:p w14:paraId="05140DA2" w14:textId="77777777" w:rsidR="00A96774" w:rsidRPr="00A96774" w:rsidRDefault="00A96774" w:rsidP="00A96774">
            <w:pPr>
              <w:spacing w:after="0" w:line="240" w:lineRule="auto"/>
              <w:rPr>
                <w:rFonts w:ascii="Verdana" w:eastAsia="Times New Roman" w:hAnsi="Verdana" w:cs="Calibri"/>
                <w:sz w:val="15"/>
                <w:szCs w:val="15"/>
                <w:lang w:eastAsia="pt-BR"/>
              </w:rPr>
            </w:pPr>
            <w:r w:rsidRPr="00A96774">
              <w:rPr>
                <w:rFonts w:ascii="Verdana" w:eastAsia="Times New Roman" w:hAnsi="Verdana" w:cs="Calibri"/>
                <w:sz w:val="15"/>
                <w:szCs w:val="15"/>
                <w:lang w:eastAsia="pt-BR"/>
              </w:rPr>
              <w:t> </w:t>
            </w:r>
          </w:p>
        </w:tc>
        <w:tc>
          <w:tcPr>
            <w:tcW w:w="682" w:type="pct"/>
            <w:tcBorders>
              <w:top w:val="nil"/>
              <w:left w:val="nil"/>
              <w:bottom w:val="nil"/>
              <w:right w:val="nil"/>
            </w:tcBorders>
            <w:shd w:val="clear" w:color="000000" w:fill="FFFFFF"/>
            <w:noWrap/>
            <w:vAlign w:val="bottom"/>
            <w:hideMark/>
          </w:tcPr>
          <w:p w14:paraId="6D5BB725"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4" w:type="pct"/>
            <w:tcBorders>
              <w:top w:val="nil"/>
              <w:left w:val="nil"/>
              <w:bottom w:val="nil"/>
              <w:right w:val="nil"/>
            </w:tcBorders>
            <w:shd w:val="clear" w:color="000000" w:fill="FFFFFF"/>
            <w:noWrap/>
            <w:vAlign w:val="center"/>
            <w:hideMark/>
          </w:tcPr>
          <w:p w14:paraId="728E0897"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c>
          <w:tcPr>
            <w:tcW w:w="653" w:type="pct"/>
            <w:tcBorders>
              <w:top w:val="nil"/>
              <w:left w:val="nil"/>
              <w:bottom w:val="nil"/>
              <w:right w:val="nil"/>
            </w:tcBorders>
            <w:shd w:val="clear" w:color="000000" w:fill="FFFFFF"/>
            <w:noWrap/>
            <w:vAlign w:val="bottom"/>
            <w:hideMark/>
          </w:tcPr>
          <w:p w14:paraId="4DEC7653"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103" w:type="pct"/>
            <w:tcBorders>
              <w:top w:val="nil"/>
              <w:left w:val="nil"/>
              <w:bottom w:val="nil"/>
              <w:right w:val="nil"/>
            </w:tcBorders>
            <w:shd w:val="clear" w:color="000000" w:fill="FFFFFF"/>
            <w:noWrap/>
            <w:vAlign w:val="bottom"/>
            <w:hideMark/>
          </w:tcPr>
          <w:p w14:paraId="03843688" w14:textId="77777777" w:rsidR="00A96774" w:rsidRPr="00A96774" w:rsidRDefault="00A96774" w:rsidP="00A96774">
            <w:pPr>
              <w:spacing w:after="0" w:line="240" w:lineRule="auto"/>
              <w:jc w:val="right"/>
              <w:rPr>
                <w:rFonts w:ascii="Verdana" w:eastAsia="Times New Roman" w:hAnsi="Verdana" w:cs="Calibri"/>
                <w:color w:val="000000"/>
                <w:sz w:val="15"/>
                <w:szCs w:val="15"/>
                <w:lang w:eastAsia="pt-BR"/>
              </w:rPr>
            </w:pPr>
          </w:p>
        </w:tc>
        <w:tc>
          <w:tcPr>
            <w:tcW w:w="729" w:type="pct"/>
            <w:tcBorders>
              <w:top w:val="nil"/>
              <w:left w:val="nil"/>
              <w:bottom w:val="nil"/>
              <w:right w:val="nil"/>
            </w:tcBorders>
            <w:shd w:val="clear" w:color="000000" w:fill="FFFFFF"/>
            <w:noWrap/>
            <w:vAlign w:val="center"/>
            <w:hideMark/>
          </w:tcPr>
          <w:p w14:paraId="022CB3DC" w14:textId="77777777" w:rsidR="00A96774" w:rsidRPr="00A96774" w:rsidRDefault="00A96774" w:rsidP="00A96774">
            <w:pPr>
              <w:spacing w:after="0" w:line="240" w:lineRule="auto"/>
              <w:jc w:val="right"/>
              <w:rPr>
                <w:rFonts w:ascii="Verdana" w:eastAsia="Times New Roman" w:hAnsi="Verdana" w:cs="Calibri"/>
                <w:sz w:val="15"/>
                <w:szCs w:val="15"/>
                <w:lang w:eastAsia="pt-BR"/>
              </w:rPr>
            </w:pPr>
          </w:p>
        </w:tc>
      </w:tr>
      <w:tr w:rsidR="00DD4AF6" w:rsidRPr="00A96774" w14:paraId="485E9DDE" w14:textId="77777777" w:rsidTr="00DD4AF6">
        <w:trPr>
          <w:trHeight w:val="20"/>
        </w:trPr>
        <w:tc>
          <w:tcPr>
            <w:tcW w:w="2729" w:type="pct"/>
            <w:tcBorders>
              <w:top w:val="nil"/>
              <w:left w:val="nil"/>
              <w:bottom w:val="nil"/>
              <w:right w:val="nil"/>
            </w:tcBorders>
            <w:shd w:val="clear" w:color="000000" w:fill="FFFFFF"/>
            <w:noWrap/>
            <w:vAlign w:val="center"/>
            <w:hideMark/>
          </w:tcPr>
          <w:p w14:paraId="052F3AE7" w14:textId="77777777" w:rsidR="00A96774" w:rsidRPr="00A96774" w:rsidRDefault="00A96774" w:rsidP="00A96774">
            <w:pPr>
              <w:spacing w:after="0" w:line="240" w:lineRule="auto"/>
              <w:rPr>
                <w:rFonts w:ascii="Verdana" w:eastAsia="Times New Roman" w:hAnsi="Verdana" w:cs="Calibri"/>
                <w:b/>
                <w:bCs/>
                <w:sz w:val="15"/>
                <w:szCs w:val="15"/>
                <w:lang w:eastAsia="pt-BR"/>
              </w:rPr>
            </w:pPr>
            <w:r w:rsidRPr="00A96774">
              <w:rPr>
                <w:rFonts w:ascii="Verdana" w:eastAsia="Times New Roman" w:hAnsi="Verdana" w:cs="Calibri"/>
                <w:b/>
                <w:bCs/>
                <w:sz w:val="15"/>
                <w:szCs w:val="15"/>
                <w:lang w:eastAsia="pt-BR"/>
              </w:rPr>
              <w:t>LUCRO DO PERÍODO</w:t>
            </w:r>
          </w:p>
        </w:tc>
        <w:tc>
          <w:tcPr>
            <w:tcW w:w="682" w:type="pct"/>
            <w:tcBorders>
              <w:top w:val="single" w:sz="4" w:space="0" w:color="auto"/>
              <w:left w:val="nil"/>
              <w:bottom w:val="double" w:sz="6" w:space="0" w:color="auto"/>
              <w:right w:val="nil"/>
            </w:tcBorders>
            <w:shd w:val="clear" w:color="000000" w:fill="FFFFFF"/>
            <w:noWrap/>
            <w:vAlign w:val="center"/>
            <w:hideMark/>
          </w:tcPr>
          <w:p w14:paraId="7FF373A4" w14:textId="77777777" w:rsidR="00A96774" w:rsidRPr="00A96774" w:rsidRDefault="00A96774" w:rsidP="00A96774">
            <w:pPr>
              <w:spacing w:after="0" w:line="240" w:lineRule="auto"/>
              <w:jc w:val="right"/>
              <w:rPr>
                <w:rFonts w:ascii="Verdana" w:eastAsia="Times New Roman" w:hAnsi="Verdana" w:cs="Calibri"/>
                <w:b/>
                <w:bCs/>
                <w:sz w:val="15"/>
                <w:szCs w:val="15"/>
                <w:lang w:eastAsia="pt-BR"/>
              </w:rPr>
            </w:pPr>
            <w:r w:rsidRPr="00A96774">
              <w:rPr>
                <w:rFonts w:ascii="Verdana" w:eastAsia="Times New Roman" w:hAnsi="Verdana" w:cs="Calibri"/>
                <w:b/>
                <w:bCs/>
                <w:sz w:val="15"/>
                <w:szCs w:val="15"/>
                <w:lang w:eastAsia="pt-BR"/>
              </w:rPr>
              <w:t>72.578</w:t>
            </w:r>
          </w:p>
        </w:tc>
        <w:tc>
          <w:tcPr>
            <w:tcW w:w="104" w:type="pct"/>
            <w:tcBorders>
              <w:top w:val="nil"/>
              <w:left w:val="nil"/>
              <w:bottom w:val="nil"/>
              <w:right w:val="nil"/>
            </w:tcBorders>
            <w:shd w:val="clear" w:color="000000" w:fill="FFFFFF"/>
            <w:noWrap/>
            <w:vAlign w:val="center"/>
            <w:hideMark/>
          </w:tcPr>
          <w:p w14:paraId="39A85351" w14:textId="77777777" w:rsidR="00A96774" w:rsidRPr="00A96774" w:rsidRDefault="00A96774" w:rsidP="00A96774">
            <w:pPr>
              <w:spacing w:after="0" w:line="240" w:lineRule="auto"/>
              <w:jc w:val="right"/>
              <w:rPr>
                <w:rFonts w:ascii="Verdana" w:eastAsia="Times New Roman" w:hAnsi="Verdana" w:cs="Calibri"/>
                <w:b/>
                <w:bCs/>
                <w:sz w:val="15"/>
                <w:szCs w:val="15"/>
                <w:lang w:eastAsia="pt-BR"/>
              </w:rPr>
            </w:pPr>
          </w:p>
        </w:tc>
        <w:tc>
          <w:tcPr>
            <w:tcW w:w="653" w:type="pct"/>
            <w:tcBorders>
              <w:top w:val="single" w:sz="4" w:space="0" w:color="auto"/>
              <w:left w:val="nil"/>
              <w:bottom w:val="double" w:sz="6" w:space="0" w:color="auto"/>
              <w:right w:val="nil"/>
            </w:tcBorders>
            <w:shd w:val="clear" w:color="000000" w:fill="FFFFFF"/>
            <w:noWrap/>
            <w:vAlign w:val="center"/>
            <w:hideMark/>
          </w:tcPr>
          <w:p w14:paraId="09911D3A" w14:textId="77777777" w:rsidR="00A96774" w:rsidRPr="00A96774" w:rsidRDefault="00A96774" w:rsidP="00A96774">
            <w:pPr>
              <w:spacing w:after="0" w:line="240" w:lineRule="auto"/>
              <w:jc w:val="right"/>
              <w:rPr>
                <w:rFonts w:ascii="Verdana" w:eastAsia="Times New Roman" w:hAnsi="Verdana" w:cs="Calibri"/>
                <w:b/>
                <w:bCs/>
                <w:sz w:val="15"/>
                <w:szCs w:val="15"/>
                <w:lang w:eastAsia="pt-BR"/>
              </w:rPr>
            </w:pPr>
            <w:r w:rsidRPr="00A96774">
              <w:rPr>
                <w:rFonts w:ascii="Verdana" w:eastAsia="Times New Roman" w:hAnsi="Verdana" w:cs="Calibri"/>
                <w:b/>
                <w:bCs/>
                <w:sz w:val="15"/>
                <w:szCs w:val="15"/>
                <w:lang w:eastAsia="pt-BR"/>
              </w:rPr>
              <w:t>-</w:t>
            </w:r>
          </w:p>
        </w:tc>
        <w:tc>
          <w:tcPr>
            <w:tcW w:w="103" w:type="pct"/>
            <w:tcBorders>
              <w:top w:val="nil"/>
              <w:left w:val="nil"/>
              <w:bottom w:val="nil"/>
              <w:right w:val="nil"/>
            </w:tcBorders>
            <w:shd w:val="clear" w:color="000000" w:fill="FFFFFF"/>
            <w:noWrap/>
            <w:vAlign w:val="center"/>
            <w:hideMark/>
          </w:tcPr>
          <w:p w14:paraId="1F1AE289" w14:textId="77777777" w:rsidR="00A96774" w:rsidRPr="00A96774" w:rsidRDefault="00A96774" w:rsidP="00A96774">
            <w:pPr>
              <w:spacing w:after="0" w:line="240" w:lineRule="auto"/>
              <w:jc w:val="right"/>
              <w:rPr>
                <w:rFonts w:ascii="Verdana" w:eastAsia="Times New Roman" w:hAnsi="Verdana" w:cs="Calibri"/>
                <w:b/>
                <w:bCs/>
                <w:sz w:val="15"/>
                <w:szCs w:val="15"/>
                <w:lang w:eastAsia="pt-BR"/>
              </w:rPr>
            </w:pPr>
          </w:p>
        </w:tc>
        <w:tc>
          <w:tcPr>
            <w:tcW w:w="729" w:type="pct"/>
            <w:tcBorders>
              <w:top w:val="single" w:sz="4" w:space="0" w:color="auto"/>
              <w:left w:val="nil"/>
              <w:bottom w:val="double" w:sz="6" w:space="0" w:color="auto"/>
              <w:right w:val="nil"/>
            </w:tcBorders>
            <w:shd w:val="clear" w:color="000000" w:fill="FFFFFF"/>
            <w:noWrap/>
            <w:vAlign w:val="center"/>
            <w:hideMark/>
          </w:tcPr>
          <w:p w14:paraId="6571588A" w14:textId="77777777" w:rsidR="00A96774" w:rsidRPr="00A96774" w:rsidRDefault="00A96774" w:rsidP="00A96774">
            <w:pPr>
              <w:spacing w:after="0" w:line="240" w:lineRule="auto"/>
              <w:jc w:val="right"/>
              <w:rPr>
                <w:rFonts w:ascii="Verdana" w:eastAsia="Times New Roman" w:hAnsi="Verdana" w:cs="Calibri"/>
                <w:b/>
                <w:bCs/>
                <w:sz w:val="15"/>
                <w:szCs w:val="15"/>
                <w:lang w:eastAsia="pt-BR"/>
              </w:rPr>
            </w:pPr>
            <w:r w:rsidRPr="00A96774">
              <w:rPr>
                <w:rFonts w:ascii="Verdana" w:eastAsia="Times New Roman" w:hAnsi="Verdana" w:cs="Calibri"/>
                <w:b/>
                <w:bCs/>
                <w:sz w:val="15"/>
                <w:szCs w:val="15"/>
                <w:lang w:eastAsia="pt-BR"/>
              </w:rPr>
              <w:t>72.578</w:t>
            </w:r>
          </w:p>
        </w:tc>
      </w:tr>
    </w:tbl>
    <w:p w14:paraId="010D93AB" w14:textId="77777777" w:rsidR="007622F9" w:rsidRDefault="007622F9" w:rsidP="003072B4">
      <w:pPr>
        <w:jc w:val="both"/>
        <w:rPr>
          <w:rFonts w:ascii="Verdana" w:hAnsi="Verdana" w:cstheme="minorHAnsi"/>
          <w:bCs/>
        </w:rPr>
      </w:pPr>
      <w:bookmarkStart w:id="4" w:name="_Hlk125552946"/>
    </w:p>
    <w:p w14:paraId="70DB3186" w14:textId="084CB021" w:rsidR="00667591" w:rsidRDefault="00482846" w:rsidP="003072B4">
      <w:pPr>
        <w:jc w:val="both"/>
        <w:rPr>
          <w:rFonts w:ascii="Verdana" w:hAnsi="Verdana" w:cstheme="minorHAnsi"/>
          <w:bCs/>
        </w:rPr>
      </w:pPr>
      <w:r>
        <w:rPr>
          <w:rFonts w:ascii="Verdana" w:hAnsi="Verdana" w:cstheme="minorHAnsi"/>
          <w:bCs/>
        </w:rPr>
        <w:t>Conforme Decreto nº11.027 a Companhia é responsável pela comercialização da energia</w:t>
      </w:r>
      <w:r w:rsidR="00B53E22">
        <w:rPr>
          <w:rFonts w:ascii="Verdana" w:hAnsi="Verdana" w:cstheme="minorHAnsi"/>
          <w:bCs/>
        </w:rPr>
        <w:t xml:space="preserve"> elétrica </w:t>
      </w:r>
      <w:r>
        <w:rPr>
          <w:rFonts w:ascii="Verdana" w:hAnsi="Verdana" w:cstheme="minorHAnsi"/>
          <w:bCs/>
        </w:rPr>
        <w:t>de Itaipu</w:t>
      </w:r>
      <w:r w:rsidR="00B53E22">
        <w:rPr>
          <w:rFonts w:ascii="Verdana" w:hAnsi="Verdana" w:cstheme="minorHAnsi"/>
          <w:bCs/>
        </w:rPr>
        <w:t xml:space="preserve"> Binacional consumida no Brasil, tal operação tem o saldo apurado mensalmente conforme art. 14 desse artigo.</w:t>
      </w:r>
    </w:p>
    <w:bookmarkEnd w:id="4"/>
    <w:p w14:paraId="34F95A27" w14:textId="00E6CB03" w:rsidR="00B53E22" w:rsidRDefault="00B53E22" w:rsidP="003072B4">
      <w:pPr>
        <w:rPr>
          <w:rFonts w:ascii="Verdana" w:hAnsi="Verdana" w:cstheme="minorHAnsi"/>
          <w:bCs/>
        </w:rPr>
      </w:pPr>
    </w:p>
    <w:p w14:paraId="3106D4EF" w14:textId="77777777" w:rsidR="007622F9" w:rsidRPr="003072B4" w:rsidRDefault="007622F9" w:rsidP="003072B4">
      <w:pPr>
        <w:rPr>
          <w:rFonts w:ascii="Verdana" w:hAnsi="Verdana" w:cstheme="minorHAnsi"/>
          <w:bCs/>
        </w:rPr>
      </w:pPr>
    </w:p>
    <w:p w14:paraId="2407E6C1" w14:textId="77777777" w:rsidR="002B1787" w:rsidRPr="00F7132F" w:rsidRDefault="00F4139F" w:rsidP="00CF5F07">
      <w:pPr>
        <w:tabs>
          <w:tab w:val="left" w:pos="567"/>
          <w:tab w:val="left" w:pos="1134"/>
          <w:tab w:val="left" w:pos="1701"/>
          <w:tab w:val="left" w:pos="2268"/>
          <w:tab w:val="left" w:pos="2835"/>
        </w:tabs>
        <w:jc w:val="both"/>
        <w:outlineLvl w:val="0"/>
        <w:rPr>
          <w:rFonts w:ascii="Verdana" w:hAnsi="Verdana" w:cstheme="minorHAnsi"/>
          <w:b/>
        </w:rPr>
      </w:pPr>
      <w:r w:rsidRPr="00F7132F">
        <w:rPr>
          <w:rFonts w:ascii="Verdana" w:hAnsi="Verdana" w:cstheme="minorHAnsi"/>
          <w:b/>
        </w:rPr>
        <w:lastRenderedPageBreak/>
        <w:t xml:space="preserve">29 </w:t>
      </w:r>
      <w:r w:rsidR="002B1787" w:rsidRPr="00F7132F">
        <w:rPr>
          <w:rFonts w:ascii="Verdana" w:hAnsi="Verdana" w:cstheme="minorHAnsi"/>
          <w:b/>
        </w:rPr>
        <w:t>– RESULTADO POR AÇÃO</w:t>
      </w:r>
    </w:p>
    <w:p w14:paraId="5E2C445E" w14:textId="77777777" w:rsidR="00116729" w:rsidRDefault="00026740" w:rsidP="00F7132F">
      <w:pPr>
        <w:jc w:val="both"/>
        <w:rPr>
          <w:rFonts w:ascii="Verdana" w:hAnsi="Verdana" w:cstheme="minorHAnsi"/>
        </w:rPr>
      </w:pPr>
      <w:r w:rsidRPr="00116729">
        <w:rPr>
          <w:rFonts w:ascii="Verdana" w:hAnsi="Verdana" w:cstheme="minorHAnsi"/>
        </w:rPr>
        <w:t>O resultado básico por ação é calculado mediante a divisão entre o lucro atribuível aos acionistas da Companhia e sua quantidade de ações emitidas, excluindo aquelas compradas pela Companhia e mantidas como ações em tesouraria. O resultado por ação básico e diluído são iguais por não haver fatores de diluição.</w:t>
      </w:r>
    </w:p>
    <w:tbl>
      <w:tblPr>
        <w:tblW w:w="9234" w:type="dxa"/>
        <w:tblCellMar>
          <w:left w:w="70" w:type="dxa"/>
          <w:right w:w="70" w:type="dxa"/>
        </w:tblCellMar>
        <w:tblLook w:val="04A0" w:firstRow="1" w:lastRow="0" w:firstColumn="1" w:lastColumn="0" w:noHBand="0" w:noVBand="1"/>
      </w:tblPr>
      <w:tblGrid>
        <w:gridCol w:w="6436"/>
        <w:gridCol w:w="303"/>
        <w:gridCol w:w="2495"/>
      </w:tblGrid>
      <w:tr w:rsidR="00AD5C2E" w:rsidRPr="00116729" w14:paraId="4E1D0826" w14:textId="77777777" w:rsidTr="00F7132F">
        <w:trPr>
          <w:trHeight w:val="35"/>
        </w:trPr>
        <w:tc>
          <w:tcPr>
            <w:tcW w:w="6436" w:type="dxa"/>
            <w:tcBorders>
              <w:top w:val="nil"/>
              <w:left w:val="nil"/>
              <w:bottom w:val="nil"/>
              <w:right w:val="nil"/>
            </w:tcBorders>
            <w:shd w:val="clear" w:color="auto" w:fill="auto"/>
            <w:noWrap/>
            <w:vAlign w:val="center"/>
            <w:hideMark/>
          </w:tcPr>
          <w:p w14:paraId="6347A436" w14:textId="77777777" w:rsidR="00AD5C2E" w:rsidRPr="00F7132F" w:rsidRDefault="00AD5C2E" w:rsidP="00AD5C2E">
            <w:pPr>
              <w:spacing w:after="0" w:line="240" w:lineRule="auto"/>
              <w:rPr>
                <w:rFonts w:ascii="Verdana" w:eastAsia="Times New Roman" w:hAnsi="Verdana" w:cs="Times New Roman"/>
                <w:sz w:val="24"/>
                <w:szCs w:val="24"/>
                <w:lang w:eastAsia="pt-BR"/>
              </w:rPr>
            </w:pPr>
          </w:p>
        </w:tc>
        <w:tc>
          <w:tcPr>
            <w:tcW w:w="303" w:type="dxa"/>
            <w:tcBorders>
              <w:top w:val="nil"/>
              <w:left w:val="nil"/>
              <w:bottom w:val="nil"/>
              <w:right w:val="nil"/>
            </w:tcBorders>
            <w:shd w:val="clear" w:color="auto" w:fill="auto"/>
            <w:noWrap/>
            <w:vAlign w:val="center"/>
            <w:hideMark/>
          </w:tcPr>
          <w:p w14:paraId="4E739232" w14:textId="77777777" w:rsidR="00AD5C2E" w:rsidRPr="00F7132F" w:rsidRDefault="00AD5C2E" w:rsidP="00AD5C2E">
            <w:pPr>
              <w:spacing w:after="0" w:line="240" w:lineRule="auto"/>
              <w:rPr>
                <w:rFonts w:ascii="Verdana" w:eastAsia="Times New Roman" w:hAnsi="Verdana" w:cs="Times New Roman"/>
                <w:sz w:val="20"/>
                <w:szCs w:val="20"/>
                <w:lang w:eastAsia="pt-BR"/>
              </w:rPr>
            </w:pPr>
          </w:p>
        </w:tc>
        <w:tc>
          <w:tcPr>
            <w:tcW w:w="2495" w:type="dxa"/>
            <w:tcBorders>
              <w:top w:val="nil"/>
              <w:left w:val="nil"/>
              <w:bottom w:val="single" w:sz="4" w:space="0" w:color="auto"/>
              <w:right w:val="nil"/>
            </w:tcBorders>
            <w:shd w:val="clear" w:color="auto" w:fill="auto"/>
            <w:noWrap/>
            <w:vAlign w:val="center"/>
            <w:hideMark/>
          </w:tcPr>
          <w:p w14:paraId="42BC5531" w14:textId="77777777" w:rsidR="00AD5C2E" w:rsidRPr="00F7132F" w:rsidRDefault="00AD5C2E" w:rsidP="00ED5988">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30/06/2022</w:t>
            </w:r>
          </w:p>
        </w:tc>
      </w:tr>
      <w:tr w:rsidR="00AD5C2E" w:rsidRPr="00116729" w14:paraId="7F1ABAED" w14:textId="77777777" w:rsidTr="00F7132F">
        <w:trPr>
          <w:trHeight w:val="35"/>
        </w:trPr>
        <w:tc>
          <w:tcPr>
            <w:tcW w:w="6436" w:type="dxa"/>
            <w:tcBorders>
              <w:top w:val="nil"/>
              <w:left w:val="nil"/>
              <w:bottom w:val="nil"/>
              <w:right w:val="nil"/>
            </w:tcBorders>
            <w:shd w:val="clear" w:color="auto" w:fill="auto"/>
            <w:noWrap/>
            <w:vAlign w:val="center"/>
            <w:hideMark/>
          </w:tcPr>
          <w:p w14:paraId="4ACE815B" w14:textId="77777777" w:rsidR="00AD5C2E" w:rsidRPr="00F7132F" w:rsidRDefault="00AD5C2E" w:rsidP="00AD5C2E">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303" w:type="dxa"/>
            <w:tcBorders>
              <w:top w:val="nil"/>
              <w:left w:val="nil"/>
              <w:bottom w:val="nil"/>
              <w:right w:val="nil"/>
            </w:tcBorders>
            <w:shd w:val="clear" w:color="auto" w:fill="auto"/>
            <w:noWrap/>
            <w:vAlign w:val="center"/>
            <w:hideMark/>
          </w:tcPr>
          <w:p w14:paraId="6F455AF2" w14:textId="77777777" w:rsidR="00AD5C2E" w:rsidRPr="00F7132F" w:rsidRDefault="00AD5C2E" w:rsidP="00AD5C2E">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2495" w:type="dxa"/>
            <w:tcBorders>
              <w:top w:val="nil"/>
              <w:left w:val="nil"/>
              <w:bottom w:val="nil"/>
              <w:right w:val="nil"/>
            </w:tcBorders>
            <w:shd w:val="clear" w:color="auto" w:fill="auto"/>
            <w:noWrap/>
            <w:vAlign w:val="center"/>
            <w:hideMark/>
          </w:tcPr>
          <w:p w14:paraId="52BEDC6A" w14:textId="77777777" w:rsidR="00AD5C2E" w:rsidRPr="00F7132F" w:rsidRDefault="00AD5C2E" w:rsidP="00AD5C2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r>
      <w:tr w:rsidR="00AD5C2E" w:rsidRPr="00116729" w14:paraId="76D105CC" w14:textId="77777777" w:rsidTr="00AD5C2E">
        <w:trPr>
          <w:trHeight w:val="35"/>
        </w:trPr>
        <w:tc>
          <w:tcPr>
            <w:tcW w:w="6436" w:type="dxa"/>
            <w:tcBorders>
              <w:top w:val="nil"/>
              <w:left w:val="nil"/>
              <w:bottom w:val="nil"/>
              <w:right w:val="nil"/>
            </w:tcBorders>
            <w:shd w:val="clear" w:color="auto" w:fill="auto"/>
            <w:noWrap/>
            <w:vAlign w:val="center"/>
            <w:hideMark/>
          </w:tcPr>
          <w:p w14:paraId="3F820FEE" w14:textId="77777777" w:rsidR="00AD5C2E" w:rsidRPr="00F7132F" w:rsidRDefault="00AD5C2E" w:rsidP="00AD5C2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Lucro do período</w:t>
            </w:r>
          </w:p>
        </w:tc>
        <w:tc>
          <w:tcPr>
            <w:tcW w:w="303" w:type="dxa"/>
            <w:tcBorders>
              <w:top w:val="nil"/>
              <w:left w:val="nil"/>
              <w:bottom w:val="nil"/>
              <w:right w:val="nil"/>
            </w:tcBorders>
            <w:shd w:val="clear" w:color="auto" w:fill="auto"/>
            <w:noWrap/>
            <w:vAlign w:val="center"/>
            <w:hideMark/>
          </w:tcPr>
          <w:p w14:paraId="7BAA04C9" w14:textId="77777777" w:rsidR="00AD5C2E" w:rsidRPr="00F7132F" w:rsidRDefault="00AD5C2E" w:rsidP="00AD5C2E">
            <w:pPr>
              <w:spacing w:after="0" w:line="240" w:lineRule="auto"/>
              <w:rPr>
                <w:rFonts w:ascii="Verdana" w:eastAsia="Times New Roman" w:hAnsi="Verdana" w:cs="Calibri"/>
                <w:sz w:val="18"/>
                <w:szCs w:val="18"/>
                <w:lang w:eastAsia="pt-BR"/>
              </w:rPr>
            </w:pPr>
          </w:p>
        </w:tc>
        <w:tc>
          <w:tcPr>
            <w:tcW w:w="2495" w:type="dxa"/>
            <w:tcBorders>
              <w:top w:val="nil"/>
              <w:left w:val="nil"/>
              <w:bottom w:val="nil"/>
              <w:right w:val="nil"/>
            </w:tcBorders>
            <w:shd w:val="clear" w:color="auto" w:fill="auto"/>
            <w:noWrap/>
            <w:vAlign w:val="center"/>
            <w:hideMark/>
          </w:tcPr>
          <w:p w14:paraId="44867F5E" w14:textId="77777777" w:rsidR="00AD5C2E" w:rsidRPr="00F7132F" w:rsidRDefault="00AD5C2E" w:rsidP="00AD5C2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72.578 </w:t>
            </w:r>
          </w:p>
        </w:tc>
      </w:tr>
      <w:tr w:rsidR="00AD5C2E" w:rsidRPr="00116729" w14:paraId="23C15D17" w14:textId="77777777" w:rsidTr="00F7132F">
        <w:trPr>
          <w:trHeight w:val="35"/>
        </w:trPr>
        <w:tc>
          <w:tcPr>
            <w:tcW w:w="6436" w:type="dxa"/>
            <w:tcBorders>
              <w:top w:val="nil"/>
              <w:left w:val="nil"/>
              <w:bottom w:val="nil"/>
              <w:right w:val="nil"/>
            </w:tcBorders>
            <w:shd w:val="clear" w:color="auto" w:fill="auto"/>
            <w:noWrap/>
            <w:vAlign w:val="center"/>
            <w:hideMark/>
          </w:tcPr>
          <w:p w14:paraId="4BD85C58" w14:textId="77777777" w:rsidR="00AD5C2E" w:rsidRPr="00F7132F" w:rsidRDefault="00AD5C2E" w:rsidP="00AD5C2E">
            <w:pPr>
              <w:spacing w:after="0" w:line="240" w:lineRule="auto"/>
              <w:rPr>
                <w:rFonts w:ascii="Verdana" w:eastAsia="Times New Roman" w:hAnsi="Verdana" w:cs="Calibri"/>
                <w:sz w:val="6"/>
                <w:szCs w:val="6"/>
                <w:lang w:eastAsia="pt-BR"/>
              </w:rPr>
            </w:pPr>
            <w:r w:rsidRPr="00F7132F">
              <w:rPr>
                <w:rFonts w:ascii="Verdana" w:eastAsia="Times New Roman" w:hAnsi="Verdana" w:cs="Calibri"/>
                <w:sz w:val="6"/>
                <w:szCs w:val="6"/>
                <w:lang w:eastAsia="pt-BR"/>
              </w:rPr>
              <w:t> </w:t>
            </w:r>
          </w:p>
        </w:tc>
        <w:tc>
          <w:tcPr>
            <w:tcW w:w="303" w:type="dxa"/>
            <w:tcBorders>
              <w:top w:val="nil"/>
              <w:left w:val="nil"/>
              <w:bottom w:val="nil"/>
              <w:right w:val="nil"/>
            </w:tcBorders>
            <w:shd w:val="clear" w:color="auto" w:fill="auto"/>
            <w:noWrap/>
            <w:vAlign w:val="center"/>
            <w:hideMark/>
          </w:tcPr>
          <w:p w14:paraId="465B71E9" w14:textId="77777777" w:rsidR="00AD5C2E" w:rsidRPr="00F7132F" w:rsidRDefault="00AD5C2E" w:rsidP="00AD5C2E">
            <w:pPr>
              <w:spacing w:after="0" w:line="240" w:lineRule="auto"/>
              <w:rPr>
                <w:rFonts w:ascii="Verdana" w:eastAsia="Times New Roman" w:hAnsi="Verdana" w:cs="Calibri"/>
                <w:b/>
                <w:bCs/>
                <w:sz w:val="6"/>
                <w:szCs w:val="6"/>
                <w:lang w:eastAsia="pt-BR"/>
              </w:rPr>
            </w:pPr>
            <w:r w:rsidRPr="00F7132F">
              <w:rPr>
                <w:rFonts w:ascii="Verdana" w:eastAsia="Times New Roman" w:hAnsi="Verdana" w:cs="Calibri"/>
                <w:b/>
                <w:bCs/>
                <w:sz w:val="6"/>
                <w:szCs w:val="6"/>
                <w:lang w:eastAsia="pt-BR"/>
              </w:rPr>
              <w:t> </w:t>
            </w:r>
          </w:p>
        </w:tc>
        <w:tc>
          <w:tcPr>
            <w:tcW w:w="2495" w:type="dxa"/>
            <w:tcBorders>
              <w:top w:val="nil"/>
              <w:left w:val="nil"/>
              <w:bottom w:val="nil"/>
              <w:right w:val="nil"/>
            </w:tcBorders>
            <w:shd w:val="clear" w:color="auto" w:fill="auto"/>
            <w:noWrap/>
            <w:vAlign w:val="center"/>
            <w:hideMark/>
          </w:tcPr>
          <w:p w14:paraId="3D2DDE99" w14:textId="77777777" w:rsidR="00AD5C2E" w:rsidRPr="00F7132F" w:rsidRDefault="00AD5C2E" w:rsidP="00AD5C2E">
            <w:pPr>
              <w:spacing w:after="0" w:line="240" w:lineRule="auto"/>
              <w:jc w:val="right"/>
              <w:rPr>
                <w:rFonts w:ascii="Verdana" w:eastAsia="Times New Roman" w:hAnsi="Verdana" w:cs="Calibri"/>
                <w:sz w:val="6"/>
                <w:szCs w:val="6"/>
                <w:lang w:eastAsia="pt-BR"/>
              </w:rPr>
            </w:pPr>
            <w:r w:rsidRPr="00F7132F">
              <w:rPr>
                <w:rFonts w:ascii="Verdana" w:eastAsia="Times New Roman" w:hAnsi="Verdana" w:cs="Calibri"/>
                <w:sz w:val="6"/>
                <w:szCs w:val="6"/>
                <w:lang w:eastAsia="pt-BR"/>
              </w:rPr>
              <w:t> </w:t>
            </w:r>
          </w:p>
        </w:tc>
      </w:tr>
      <w:tr w:rsidR="00AD5C2E" w:rsidRPr="00116729" w14:paraId="02CDB16F" w14:textId="77777777" w:rsidTr="00AD5C2E">
        <w:trPr>
          <w:trHeight w:val="35"/>
        </w:trPr>
        <w:tc>
          <w:tcPr>
            <w:tcW w:w="6436" w:type="dxa"/>
            <w:tcBorders>
              <w:top w:val="nil"/>
              <w:left w:val="nil"/>
              <w:bottom w:val="nil"/>
              <w:right w:val="nil"/>
            </w:tcBorders>
            <w:shd w:val="clear" w:color="auto" w:fill="auto"/>
            <w:noWrap/>
            <w:vAlign w:val="center"/>
            <w:hideMark/>
          </w:tcPr>
          <w:p w14:paraId="4C1CF619" w14:textId="77777777" w:rsidR="00AD5C2E" w:rsidRPr="00F7132F" w:rsidRDefault="00AD5C2E" w:rsidP="00AD5C2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Quantidade de ações ordinárias</w:t>
            </w:r>
          </w:p>
        </w:tc>
        <w:tc>
          <w:tcPr>
            <w:tcW w:w="303" w:type="dxa"/>
            <w:tcBorders>
              <w:top w:val="nil"/>
              <w:left w:val="nil"/>
              <w:bottom w:val="nil"/>
              <w:right w:val="nil"/>
            </w:tcBorders>
            <w:shd w:val="clear" w:color="auto" w:fill="auto"/>
            <w:noWrap/>
            <w:vAlign w:val="center"/>
            <w:hideMark/>
          </w:tcPr>
          <w:p w14:paraId="0E1A0682" w14:textId="77777777" w:rsidR="00AD5C2E" w:rsidRPr="00F7132F" w:rsidRDefault="00AD5C2E" w:rsidP="00AD5C2E">
            <w:pPr>
              <w:spacing w:after="0" w:line="240" w:lineRule="auto"/>
              <w:rPr>
                <w:rFonts w:ascii="Verdana" w:eastAsia="Times New Roman" w:hAnsi="Verdana" w:cs="Calibri"/>
                <w:sz w:val="18"/>
                <w:szCs w:val="18"/>
                <w:lang w:eastAsia="pt-BR"/>
              </w:rPr>
            </w:pPr>
          </w:p>
        </w:tc>
        <w:tc>
          <w:tcPr>
            <w:tcW w:w="2495" w:type="dxa"/>
            <w:tcBorders>
              <w:top w:val="nil"/>
              <w:left w:val="nil"/>
              <w:bottom w:val="nil"/>
              <w:right w:val="nil"/>
            </w:tcBorders>
            <w:shd w:val="clear" w:color="auto" w:fill="auto"/>
            <w:noWrap/>
            <w:vAlign w:val="center"/>
            <w:hideMark/>
          </w:tcPr>
          <w:p w14:paraId="17787282" w14:textId="77777777" w:rsidR="00AD5C2E" w:rsidRPr="00F7132F" w:rsidRDefault="00AD5C2E" w:rsidP="00AD5C2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4.000.000.000 </w:t>
            </w:r>
          </w:p>
        </w:tc>
      </w:tr>
      <w:tr w:rsidR="00AD5C2E" w:rsidRPr="00116729" w14:paraId="01E67DCC" w14:textId="77777777" w:rsidTr="00F7132F">
        <w:trPr>
          <w:trHeight w:val="35"/>
        </w:trPr>
        <w:tc>
          <w:tcPr>
            <w:tcW w:w="6436" w:type="dxa"/>
            <w:tcBorders>
              <w:top w:val="nil"/>
              <w:left w:val="nil"/>
              <w:bottom w:val="nil"/>
              <w:right w:val="nil"/>
            </w:tcBorders>
            <w:shd w:val="clear" w:color="auto" w:fill="auto"/>
            <w:noWrap/>
            <w:vAlign w:val="center"/>
            <w:hideMark/>
          </w:tcPr>
          <w:p w14:paraId="281C9863" w14:textId="77777777" w:rsidR="00AD5C2E" w:rsidRPr="00F7132F" w:rsidRDefault="00AD5C2E" w:rsidP="00AD5C2E">
            <w:pPr>
              <w:spacing w:after="0" w:line="240" w:lineRule="auto"/>
              <w:rPr>
                <w:rFonts w:ascii="Verdana" w:eastAsia="Times New Roman" w:hAnsi="Verdana" w:cs="Calibri"/>
                <w:sz w:val="6"/>
                <w:szCs w:val="6"/>
                <w:lang w:eastAsia="pt-BR"/>
              </w:rPr>
            </w:pPr>
            <w:r w:rsidRPr="00F7132F">
              <w:rPr>
                <w:rFonts w:ascii="Verdana" w:eastAsia="Times New Roman" w:hAnsi="Verdana" w:cs="Calibri"/>
                <w:sz w:val="6"/>
                <w:szCs w:val="6"/>
                <w:lang w:eastAsia="pt-BR"/>
              </w:rPr>
              <w:t> </w:t>
            </w:r>
          </w:p>
        </w:tc>
        <w:tc>
          <w:tcPr>
            <w:tcW w:w="303" w:type="dxa"/>
            <w:tcBorders>
              <w:top w:val="nil"/>
              <w:left w:val="nil"/>
              <w:bottom w:val="nil"/>
              <w:right w:val="nil"/>
            </w:tcBorders>
            <w:shd w:val="clear" w:color="auto" w:fill="auto"/>
            <w:noWrap/>
            <w:vAlign w:val="center"/>
            <w:hideMark/>
          </w:tcPr>
          <w:p w14:paraId="6C0ED61F" w14:textId="77777777" w:rsidR="00AD5C2E" w:rsidRPr="00F7132F" w:rsidRDefault="00AD5C2E" w:rsidP="00AD5C2E">
            <w:pPr>
              <w:spacing w:after="0" w:line="240" w:lineRule="auto"/>
              <w:rPr>
                <w:rFonts w:ascii="Verdana" w:eastAsia="Times New Roman" w:hAnsi="Verdana" w:cs="Calibri"/>
                <w:b/>
                <w:bCs/>
                <w:sz w:val="6"/>
                <w:szCs w:val="6"/>
                <w:lang w:eastAsia="pt-BR"/>
              </w:rPr>
            </w:pPr>
            <w:r w:rsidRPr="00F7132F">
              <w:rPr>
                <w:rFonts w:ascii="Verdana" w:eastAsia="Times New Roman" w:hAnsi="Verdana" w:cs="Calibri"/>
                <w:b/>
                <w:bCs/>
                <w:sz w:val="6"/>
                <w:szCs w:val="6"/>
                <w:lang w:eastAsia="pt-BR"/>
              </w:rPr>
              <w:t> </w:t>
            </w:r>
          </w:p>
        </w:tc>
        <w:tc>
          <w:tcPr>
            <w:tcW w:w="2495" w:type="dxa"/>
            <w:tcBorders>
              <w:top w:val="nil"/>
              <w:left w:val="nil"/>
              <w:bottom w:val="nil"/>
              <w:right w:val="nil"/>
            </w:tcBorders>
            <w:shd w:val="clear" w:color="auto" w:fill="auto"/>
            <w:noWrap/>
            <w:vAlign w:val="center"/>
            <w:hideMark/>
          </w:tcPr>
          <w:p w14:paraId="10395109" w14:textId="77777777" w:rsidR="00AD5C2E" w:rsidRPr="00F7132F" w:rsidRDefault="00AD5C2E" w:rsidP="00AD5C2E">
            <w:pPr>
              <w:spacing w:after="0" w:line="240" w:lineRule="auto"/>
              <w:jc w:val="right"/>
              <w:rPr>
                <w:rFonts w:ascii="Verdana" w:eastAsia="Times New Roman" w:hAnsi="Verdana" w:cs="Calibri"/>
                <w:sz w:val="6"/>
                <w:szCs w:val="6"/>
                <w:lang w:eastAsia="pt-BR"/>
              </w:rPr>
            </w:pPr>
            <w:r w:rsidRPr="00F7132F">
              <w:rPr>
                <w:rFonts w:ascii="Verdana" w:eastAsia="Times New Roman" w:hAnsi="Verdana" w:cs="Calibri"/>
                <w:sz w:val="6"/>
                <w:szCs w:val="6"/>
                <w:lang w:eastAsia="pt-BR"/>
              </w:rPr>
              <w:t> </w:t>
            </w:r>
          </w:p>
        </w:tc>
      </w:tr>
      <w:tr w:rsidR="00AD5C2E" w:rsidRPr="00116729" w14:paraId="513944D9" w14:textId="77777777" w:rsidTr="00AD5C2E">
        <w:trPr>
          <w:trHeight w:val="35"/>
        </w:trPr>
        <w:tc>
          <w:tcPr>
            <w:tcW w:w="6436" w:type="dxa"/>
            <w:tcBorders>
              <w:top w:val="nil"/>
              <w:left w:val="nil"/>
              <w:bottom w:val="nil"/>
              <w:right w:val="nil"/>
            </w:tcBorders>
            <w:shd w:val="clear" w:color="auto" w:fill="auto"/>
            <w:noWrap/>
            <w:vAlign w:val="center"/>
            <w:hideMark/>
          </w:tcPr>
          <w:p w14:paraId="02749F14" w14:textId="77777777" w:rsidR="00AD5C2E" w:rsidRPr="00F7132F" w:rsidRDefault="00AD5C2E" w:rsidP="00AD5C2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Resultado por ação básico e diluído (R$)</w:t>
            </w:r>
          </w:p>
        </w:tc>
        <w:tc>
          <w:tcPr>
            <w:tcW w:w="303" w:type="dxa"/>
            <w:tcBorders>
              <w:top w:val="nil"/>
              <w:left w:val="nil"/>
              <w:bottom w:val="nil"/>
              <w:right w:val="nil"/>
            </w:tcBorders>
            <w:shd w:val="clear" w:color="auto" w:fill="auto"/>
            <w:noWrap/>
            <w:vAlign w:val="center"/>
            <w:hideMark/>
          </w:tcPr>
          <w:p w14:paraId="4F077CF0" w14:textId="77777777" w:rsidR="00AD5C2E" w:rsidRPr="00F7132F" w:rsidRDefault="00AD5C2E" w:rsidP="00AD5C2E">
            <w:pPr>
              <w:spacing w:after="0" w:line="240" w:lineRule="auto"/>
              <w:rPr>
                <w:rFonts w:ascii="Verdana" w:eastAsia="Times New Roman" w:hAnsi="Verdana" w:cs="Calibri"/>
                <w:sz w:val="18"/>
                <w:szCs w:val="18"/>
                <w:lang w:eastAsia="pt-BR"/>
              </w:rPr>
            </w:pPr>
          </w:p>
        </w:tc>
        <w:tc>
          <w:tcPr>
            <w:tcW w:w="2495" w:type="dxa"/>
            <w:tcBorders>
              <w:top w:val="nil"/>
              <w:left w:val="nil"/>
              <w:bottom w:val="nil"/>
              <w:right w:val="nil"/>
            </w:tcBorders>
            <w:shd w:val="clear" w:color="auto" w:fill="auto"/>
            <w:noWrap/>
            <w:vAlign w:val="center"/>
            <w:hideMark/>
          </w:tcPr>
          <w:p w14:paraId="6D50D647" w14:textId="77777777" w:rsidR="00AD5C2E" w:rsidRPr="00F7132F" w:rsidRDefault="00AD5C2E" w:rsidP="00AD5C2E">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0,018144 </w:t>
            </w:r>
          </w:p>
        </w:tc>
      </w:tr>
      <w:tr w:rsidR="00AD5C2E" w:rsidRPr="00116729" w14:paraId="222C46C0" w14:textId="77777777" w:rsidTr="00AD5C2E">
        <w:trPr>
          <w:trHeight w:val="35"/>
        </w:trPr>
        <w:tc>
          <w:tcPr>
            <w:tcW w:w="6436" w:type="dxa"/>
            <w:tcBorders>
              <w:top w:val="nil"/>
              <w:left w:val="nil"/>
              <w:bottom w:val="nil"/>
              <w:right w:val="nil"/>
            </w:tcBorders>
            <w:shd w:val="clear" w:color="auto" w:fill="auto"/>
            <w:noWrap/>
            <w:vAlign w:val="bottom"/>
            <w:hideMark/>
          </w:tcPr>
          <w:p w14:paraId="1D1317C5" w14:textId="77777777" w:rsidR="00AD5C2E" w:rsidRPr="00F7132F" w:rsidRDefault="00AD5C2E" w:rsidP="00AD5C2E">
            <w:pPr>
              <w:spacing w:after="0" w:line="240" w:lineRule="auto"/>
              <w:jc w:val="right"/>
              <w:rPr>
                <w:rFonts w:ascii="Verdana" w:eastAsia="Times New Roman" w:hAnsi="Verdana" w:cs="Calibri"/>
                <w:sz w:val="18"/>
                <w:szCs w:val="18"/>
                <w:lang w:eastAsia="pt-BR"/>
              </w:rPr>
            </w:pPr>
          </w:p>
        </w:tc>
        <w:tc>
          <w:tcPr>
            <w:tcW w:w="303" w:type="dxa"/>
            <w:tcBorders>
              <w:top w:val="nil"/>
              <w:left w:val="nil"/>
              <w:bottom w:val="nil"/>
              <w:right w:val="nil"/>
            </w:tcBorders>
            <w:shd w:val="clear" w:color="auto" w:fill="auto"/>
            <w:noWrap/>
            <w:vAlign w:val="bottom"/>
            <w:hideMark/>
          </w:tcPr>
          <w:p w14:paraId="0083995E" w14:textId="77777777" w:rsidR="00AD5C2E" w:rsidRPr="00F7132F" w:rsidRDefault="00AD5C2E" w:rsidP="00AD5C2E">
            <w:pPr>
              <w:spacing w:after="0" w:line="240" w:lineRule="auto"/>
              <w:rPr>
                <w:rFonts w:ascii="Verdana" w:eastAsia="Times New Roman" w:hAnsi="Verdana" w:cs="Times New Roman"/>
                <w:sz w:val="20"/>
                <w:szCs w:val="20"/>
                <w:lang w:eastAsia="pt-BR"/>
              </w:rPr>
            </w:pPr>
          </w:p>
        </w:tc>
        <w:tc>
          <w:tcPr>
            <w:tcW w:w="2495" w:type="dxa"/>
            <w:tcBorders>
              <w:top w:val="nil"/>
              <w:left w:val="nil"/>
              <w:bottom w:val="nil"/>
              <w:right w:val="nil"/>
            </w:tcBorders>
            <w:shd w:val="clear" w:color="auto" w:fill="auto"/>
            <w:noWrap/>
            <w:vAlign w:val="bottom"/>
            <w:hideMark/>
          </w:tcPr>
          <w:p w14:paraId="539F527C" w14:textId="77777777" w:rsidR="00AD5C2E" w:rsidRPr="00F7132F" w:rsidRDefault="00AD5C2E" w:rsidP="00AD5C2E">
            <w:pPr>
              <w:spacing w:after="0" w:line="240" w:lineRule="auto"/>
              <w:rPr>
                <w:rFonts w:ascii="Verdana" w:eastAsia="Times New Roman" w:hAnsi="Verdana" w:cs="Times New Roman"/>
                <w:sz w:val="20"/>
                <w:szCs w:val="20"/>
                <w:lang w:eastAsia="pt-BR"/>
              </w:rPr>
            </w:pPr>
          </w:p>
        </w:tc>
      </w:tr>
      <w:tr w:rsidR="00AD5C2E" w:rsidRPr="00116729" w14:paraId="6A09A74F" w14:textId="77777777" w:rsidTr="00AD5C2E">
        <w:trPr>
          <w:trHeight w:val="35"/>
        </w:trPr>
        <w:tc>
          <w:tcPr>
            <w:tcW w:w="6436" w:type="dxa"/>
            <w:tcBorders>
              <w:top w:val="nil"/>
              <w:left w:val="nil"/>
              <w:bottom w:val="nil"/>
              <w:right w:val="nil"/>
            </w:tcBorders>
            <w:shd w:val="clear" w:color="auto" w:fill="auto"/>
            <w:noWrap/>
            <w:vAlign w:val="bottom"/>
            <w:hideMark/>
          </w:tcPr>
          <w:p w14:paraId="17A301AE" w14:textId="77777777" w:rsidR="00AD5C2E" w:rsidRPr="00F7132F" w:rsidRDefault="00AD5C2E" w:rsidP="00AD5C2E">
            <w:pPr>
              <w:spacing w:after="0" w:line="240" w:lineRule="auto"/>
              <w:rPr>
                <w:rFonts w:ascii="Verdana" w:eastAsia="Times New Roman" w:hAnsi="Verdana" w:cs="Times New Roman"/>
                <w:sz w:val="20"/>
                <w:szCs w:val="20"/>
                <w:lang w:eastAsia="pt-BR"/>
              </w:rPr>
            </w:pPr>
          </w:p>
        </w:tc>
        <w:tc>
          <w:tcPr>
            <w:tcW w:w="303" w:type="dxa"/>
            <w:tcBorders>
              <w:top w:val="nil"/>
              <w:left w:val="nil"/>
              <w:bottom w:val="nil"/>
              <w:right w:val="nil"/>
            </w:tcBorders>
            <w:shd w:val="clear" w:color="auto" w:fill="auto"/>
            <w:noWrap/>
            <w:vAlign w:val="bottom"/>
            <w:hideMark/>
          </w:tcPr>
          <w:p w14:paraId="63842017" w14:textId="77777777" w:rsidR="00AD5C2E" w:rsidRPr="00F7132F" w:rsidRDefault="00AD5C2E" w:rsidP="00AD5C2E">
            <w:pPr>
              <w:spacing w:after="0" w:line="240" w:lineRule="auto"/>
              <w:rPr>
                <w:rFonts w:ascii="Verdana" w:eastAsia="Times New Roman" w:hAnsi="Verdana" w:cs="Times New Roman"/>
                <w:sz w:val="20"/>
                <w:szCs w:val="20"/>
                <w:lang w:eastAsia="pt-BR"/>
              </w:rPr>
            </w:pPr>
          </w:p>
        </w:tc>
        <w:tc>
          <w:tcPr>
            <w:tcW w:w="2495" w:type="dxa"/>
            <w:tcBorders>
              <w:top w:val="nil"/>
              <w:left w:val="nil"/>
              <w:bottom w:val="nil"/>
              <w:right w:val="nil"/>
            </w:tcBorders>
            <w:shd w:val="clear" w:color="auto" w:fill="auto"/>
            <w:noWrap/>
            <w:vAlign w:val="bottom"/>
            <w:hideMark/>
          </w:tcPr>
          <w:p w14:paraId="5ECFEED1" w14:textId="77777777" w:rsidR="00AD5C2E" w:rsidRPr="00F7132F" w:rsidRDefault="00AD5C2E" w:rsidP="00AD5C2E">
            <w:pPr>
              <w:spacing w:after="0" w:line="240" w:lineRule="auto"/>
              <w:rPr>
                <w:rFonts w:ascii="Verdana" w:eastAsia="Times New Roman" w:hAnsi="Verdana" w:cs="Times New Roman"/>
                <w:sz w:val="20"/>
                <w:szCs w:val="20"/>
                <w:lang w:eastAsia="pt-BR"/>
              </w:rPr>
            </w:pPr>
          </w:p>
        </w:tc>
      </w:tr>
    </w:tbl>
    <w:p w14:paraId="0F64644F" w14:textId="77777777" w:rsidR="00026740" w:rsidRPr="00116729" w:rsidRDefault="00026740" w:rsidP="00C144BB">
      <w:pPr>
        <w:spacing w:after="0"/>
        <w:rPr>
          <w:rFonts w:ascii="Verdana" w:hAnsi="Verdana" w:cstheme="minorHAnsi"/>
          <w:noProof/>
          <w:lang w:eastAsia="pt-BR"/>
        </w:rPr>
      </w:pPr>
    </w:p>
    <w:p w14:paraId="1968DFAD" w14:textId="77777777" w:rsidR="002B1787" w:rsidRPr="00F7132F" w:rsidRDefault="00AD7DA9" w:rsidP="00E75446">
      <w:pPr>
        <w:tabs>
          <w:tab w:val="left" w:pos="567"/>
          <w:tab w:val="left" w:pos="1134"/>
          <w:tab w:val="left" w:pos="1701"/>
          <w:tab w:val="left" w:pos="2268"/>
          <w:tab w:val="left" w:pos="2835"/>
        </w:tabs>
        <w:jc w:val="both"/>
        <w:outlineLvl w:val="0"/>
        <w:rPr>
          <w:rFonts w:ascii="Verdana" w:hAnsi="Verdana" w:cstheme="minorHAnsi"/>
          <w:b/>
        </w:rPr>
      </w:pPr>
      <w:r w:rsidRPr="00F7132F">
        <w:rPr>
          <w:rFonts w:ascii="Verdana" w:hAnsi="Verdana" w:cstheme="minorHAnsi"/>
          <w:b/>
        </w:rPr>
        <w:t xml:space="preserve">30 </w:t>
      </w:r>
      <w:r w:rsidR="002B1787" w:rsidRPr="00F7132F">
        <w:rPr>
          <w:rFonts w:ascii="Verdana" w:hAnsi="Verdana" w:cstheme="minorHAnsi"/>
          <w:b/>
        </w:rPr>
        <w:t>– INSTRUMENTOS FINANCEIROS E GESTÃO DE RISCOS</w:t>
      </w:r>
    </w:p>
    <w:p w14:paraId="6759B36E" w14:textId="77777777" w:rsidR="00731315" w:rsidRPr="00F7132F" w:rsidRDefault="00AD7DA9" w:rsidP="005C2926">
      <w:pPr>
        <w:pStyle w:val="Default"/>
        <w:spacing w:after="160"/>
        <w:jc w:val="both"/>
        <w:rPr>
          <w:rFonts w:eastAsiaTheme="minorHAnsi" w:cstheme="minorHAnsi"/>
          <w:b/>
          <w:bCs/>
          <w:color w:val="auto"/>
          <w:sz w:val="22"/>
          <w:szCs w:val="22"/>
          <w:lang w:eastAsia="en-US"/>
        </w:rPr>
      </w:pPr>
      <w:r w:rsidRPr="00F7132F">
        <w:rPr>
          <w:rFonts w:eastAsiaTheme="minorHAnsi" w:cstheme="minorHAnsi"/>
          <w:b/>
          <w:bCs/>
          <w:color w:val="auto"/>
          <w:sz w:val="22"/>
          <w:szCs w:val="22"/>
          <w:lang w:eastAsia="en-US"/>
        </w:rPr>
        <w:t>30</w:t>
      </w:r>
      <w:r w:rsidR="00731315" w:rsidRPr="00F7132F">
        <w:rPr>
          <w:rFonts w:eastAsiaTheme="minorHAnsi" w:cstheme="minorHAnsi"/>
          <w:b/>
          <w:bCs/>
          <w:color w:val="auto"/>
          <w:sz w:val="22"/>
          <w:szCs w:val="22"/>
          <w:lang w:eastAsia="en-US"/>
        </w:rPr>
        <w:t>.1</w:t>
      </w:r>
      <w:r w:rsidR="00A0648E" w:rsidRPr="00F7132F">
        <w:rPr>
          <w:rFonts w:eastAsiaTheme="minorHAnsi" w:cstheme="minorHAnsi"/>
          <w:b/>
          <w:bCs/>
          <w:color w:val="auto"/>
          <w:sz w:val="22"/>
          <w:szCs w:val="22"/>
          <w:lang w:eastAsia="en-US"/>
        </w:rPr>
        <w:t xml:space="preserve"> – </w:t>
      </w:r>
      <w:r w:rsidR="00731315" w:rsidRPr="00F7132F">
        <w:rPr>
          <w:rFonts w:eastAsiaTheme="minorHAnsi" w:cstheme="minorHAnsi"/>
          <w:b/>
          <w:bCs/>
          <w:color w:val="auto"/>
          <w:sz w:val="22"/>
          <w:szCs w:val="22"/>
          <w:lang w:eastAsia="en-US"/>
        </w:rPr>
        <w:t xml:space="preserve">Gestão do Risco de Capital </w:t>
      </w:r>
    </w:p>
    <w:p w14:paraId="77457D04"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3FD9FE89"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29069FD1"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7E2DEACA"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42954DBB"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74D3CCA2"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7C5E4A8D"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485EEC0C"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7C9266B1"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177A8871"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52D11F81"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3BB28A81"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4B784D41"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6138A102"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5485C73B"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2B3905CA"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459FEAAD"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22FAD5F3"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0BEEA2B9"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5CE545B5"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62B01AED"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1905DEB3"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113D4263"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76287CC5"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0A47833C"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74825D66"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484612A2"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43459F00"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60F1AE25"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32B2B7E7"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0D45F96E"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507EA2A3"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25323177"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11A06B70"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52466CEC" w14:textId="29A550B2" w:rsidR="00AD5C2E" w:rsidRPr="00116729" w:rsidRDefault="00731315" w:rsidP="00F7132F">
      <w:pPr>
        <w:jc w:val="both"/>
        <w:rPr>
          <w:rFonts w:ascii="Verdana" w:hAnsi="Verdana" w:cstheme="minorHAnsi"/>
          <w:noProof/>
          <w:lang w:eastAsia="pt-BR"/>
        </w:rPr>
      </w:pPr>
      <w:r w:rsidRPr="00116729">
        <w:rPr>
          <w:rFonts w:ascii="Verdana" w:hAnsi="Verdana" w:cstheme="minorHAnsi"/>
        </w:rPr>
        <w:t xml:space="preserve">Condizente com outras companhias do setor, a </w:t>
      </w:r>
      <w:r w:rsidR="00A779BB" w:rsidRPr="00116729">
        <w:rPr>
          <w:rFonts w:ascii="Verdana" w:hAnsi="Verdana" w:cstheme="minorHAnsi"/>
        </w:rPr>
        <w:t>C</w:t>
      </w:r>
      <w:r w:rsidR="00A779BB">
        <w:rPr>
          <w:rFonts w:ascii="Verdana" w:hAnsi="Verdana" w:cstheme="minorHAnsi"/>
        </w:rPr>
        <w:t>ontrolada</w:t>
      </w:r>
      <w:r w:rsidR="00A779BB" w:rsidRPr="00116729">
        <w:rPr>
          <w:rFonts w:ascii="Verdana" w:hAnsi="Verdana" w:cstheme="minorHAnsi"/>
        </w:rPr>
        <w:t xml:space="preserve"> </w:t>
      </w:r>
      <w:r w:rsidRPr="00116729">
        <w:rPr>
          <w:rFonts w:ascii="Verdana" w:hAnsi="Verdana" w:cstheme="minorHAnsi"/>
        </w:rPr>
        <w:t>monitora o capital com base no índice de alavancagem financeira. Esse índice corresponde à exposição líquida dividida pelo capital total. A dívida líquida, por sua vez, corresponde ao total de empréstimos e fina</w:t>
      </w:r>
      <w:r w:rsidR="00354CB1" w:rsidRPr="00116729">
        <w:rPr>
          <w:rFonts w:ascii="Verdana" w:hAnsi="Verdana" w:cstheme="minorHAnsi"/>
        </w:rPr>
        <w:t>n</w:t>
      </w:r>
      <w:r w:rsidRPr="00116729">
        <w:rPr>
          <w:rFonts w:ascii="Verdana" w:hAnsi="Verdana" w:cstheme="minorHAnsi"/>
        </w:rPr>
        <w:t xml:space="preserve">ciamentos de curto e longo prazos, apresentados na nota </w:t>
      </w:r>
      <w:r w:rsidR="00E75271">
        <w:rPr>
          <w:rFonts w:ascii="Verdana" w:hAnsi="Verdana" w:cstheme="minorHAnsi"/>
        </w:rPr>
        <w:t>15</w:t>
      </w:r>
      <w:r w:rsidRPr="00116729">
        <w:rPr>
          <w:rFonts w:ascii="Verdana" w:hAnsi="Verdana" w:cstheme="minorHAnsi"/>
        </w:rPr>
        <w:t xml:space="preserve">, subtraído do montante de caixa e equivalentes de caixa e títulos e valores mobiliários, apresentados nas notas </w:t>
      </w:r>
      <w:r w:rsidR="008361CF" w:rsidRPr="00116729">
        <w:rPr>
          <w:rFonts w:ascii="Verdana" w:hAnsi="Verdana" w:cstheme="minorHAnsi"/>
        </w:rPr>
        <w:t xml:space="preserve">4 </w:t>
      </w:r>
      <w:r w:rsidR="00E75271">
        <w:rPr>
          <w:rFonts w:ascii="Verdana" w:hAnsi="Verdana" w:cstheme="minorHAnsi"/>
        </w:rPr>
        <w:t>e 5</w:t>
      </w:r>
      <w:r w:rsidRPr="00116729">
        <w:rPr>
          <w:rFonts w:ascii="Verdana" w:hAnsi="Verdana" w:cstheme="minorHAnsi"/>
        </w:rPr>
        <w:t>. O capital total é apurado através da soma do patrimônio líquido, conforme demonstrado no balanço patrimonial consolidado, com a dívida líquida.</w:t>
      </w:r>
    </w:p>
    <w:tbl>
      <w:tblPr>
        <w:tblW w:w="9238" w:type="dxa"/>
        <w:tblCellMar>
          <w:left w:w="70" w:type="dxa"/>
          <w:right w:w="70" w:type="dxa"/>
        </w:tblCellMar>
        <w:tblLook w:val="04A0" w:firstRow="1" w:lastRow="0" w:firstColumn="1" w:lastColumn="0" w:noHBand="0" w:noVBand="1"/>
      </w:tblPr>
      <w:tblGrid>
        <w:gridCol w:w="6646"/>
        <w:gridCol w:w="867"/>
        <w:gridCol w:w="1725"/>
      </w:tblGrid>
      <w:tr w:rsidR="00AD5C2E" w:rsidRPr="00AC53F5" w14:paraId="279FC42F" w14:textId="77777777" w:rsidTr="00AD5C2E">
        <w:trPr>
          <w:trHeight w:val="210"/>
        </w:trPr>
        <w:tc>
          <w:tcPr>
            <w:tcW w:w="6646" w:type="dxa"/>
            <w:tcBorders>
              <w:top w:val="nil"/>
              <w:left w:val="nil"/>
              <w:bottom w:val="nil"/>
              <w:right w:val="nil"/>
            </w:tcBorders>
            <w:shd w:val="clear" w:color="auto" w:fill="auto"/>
            <w:noWrap/>
            <w:vAlign w:val="bottom"/>
            <w:hideMark/>
          </w:tcPr>
          <w:p w14:paraId="72CD6D47" w14:textId="77777777" w:rsidR="00AD5C2E" w:rsidRPr="00116729" w:rsidRDefault="00AD5C2E" w:rsidP="00AD5C2E">
            <w:pPr>
              <w:spacing w:after="0" w:line="240" w:lineRule="auto"/>
              <w:rPr>
                <w:rFonts w:ascii="Times New Roman" w:eastAsia="Times New Roman" w:hAnsi="Times New Roman" w:cs="Times New Roman"/>
                <w:sz w:val="24"/>
                <w:szCs w:val="24"/>
                <w:lang w:eastAsia="pt-BR"/>
              </w:rPr>
            </w:pPr>
          </w:p>
        </w:tc>
        <w:tc>
          <w:tcPr>
            <w:tcW w:w="867" w:type="dxa"/>
            <w:tcBorders>
              <w:top w:val="nil"/>
              <w:left w:val="nil"/>
              <w:bottom w:val="nil"/>
              <w:right w:val="nil"/>
            </w:tcBorders>
            <w:shd w:val="clear" w:color="auto" w:fill="auto"/>
            <w:noWrap/>
            <w:vAlign w:val="bottom"/>
            <w:hideMark/>
          </w:tcPr>
          <w:p w14:paraId="4DE62AF0" w14:textId="77777777" w:rsidR="00AD5C2E" w:rsidRPr="00116729" w:rsidRDefault="00AD5C2E" w:rsidP="00AD5C2E">
            <w:pPr>
              <w:spacing w:after="0" w:line="240" w:lineRule="auto"/>
              <w:rPr>
                <w:rFonts w:ascii="Times New Roman" w:eastAsia="Times New Roman" w:hAnsi="Times New Roman" w:cs="Times New Roman"/>
                <w:sz w:val="20"/>
                <w:szCs w:val="20"/>
                <w:lang w:eastAsia="pt-BR"/>
              </w:rPr>
            </w:pPr>
          </w:p>
        </w:tc>
        <w:tc>
          <w:tcPr>
            <w:tcW w:w="1725" w:type="dxa"/>
            <w:tcBorders>
              <w:top w:val="nil"/>
              <w:left w:val="nil"/>
              <w:bottom w:val="single" w:sz="4" w:space="0" w:color="auto"/>
              <w:right w:val="nil"/>
            </w:tcBorders>
            <w:shd w:val="clear" w:color="auto" w:fill="auto"/>
            <w:noWrap/>
            <w:vAlign w:val="bottom"/>
            <w:hideMark/>
          </w:tcPr>
          <w:p w14:paraId="120A13A1" w14:textId="77777777" w:rsidR="00AD5C2E" w:rsidRPr="00AC53F5" w:rsidRDefault="00AD5C2E" w:rsidP="00AD5C2E">
            <w:pPr>
              <w:spacing w:after="0" w:line="240" w:lineRule="auto"/>
              <w:jc w:val="center"/>
              <w:rPr>
                <w:rFonts w:ascii="Verdana" w:eastAsia="Times New Roman" w:hAnsi="Verdana" w:cs="Calibri"/>
                <w:b/>
                <w:bCs/>
                <w:sz w:val="18"/>
                <w:szCs w:val="18"/>
                <w:lang w:eastAsia="pt-BR"/>
              </w:rPr>
            </w:pPr>
            <w:r w:rsidRPr="00AC53F5">
              <w:rPr>
                <w:rFonts w:ascii="Verdana" w:eastAsia="Times New Roman" w:hAnsi="Verdana" w:cs="Calibri"/>
                <w:b/>
                <w:bCs/>
                <w:sz w:val="18"/>
                <w:szCs w:val="18"/>
                <w:lang w:eastAsia="pt-BR"/>
              </w:rPr>
              <w:t>Consolidado</w:t>
            </w:r>
          </w:p>
        </w:tc>
      </w:tr>
      <w:tr w:rsidR="00AD5C2E" w:rsidRPr="00AC53F5" w14:paraId="6F9CCDBC" w14:textId="77777777" w:rsidTr="00F7132F">
        <w:trPr>
          <w:trHeight w:val="210"/>
        </w:trPr>
        <w:tc>
          <w:tcPr>
            <w:tcW w:w="6646" w:type="dxa"/>
            <w:tcBorders>
              <w:top w:val="nil"/>
              <w:left w:val="nil"/>
              <w:bottom w:val="nil"/>
              <w:right w:val="nil"/>
            </w:tcBorders>
            <w:shd w:val="clear" w:color="auto" w:fill="auto"/>
            <w:noWrap/>
            <w:vAlign w:val="center"/>
            <w:hideMark/>
          </w:tcPr>
          <w:p w14:paraId="3735F77F" w14:textId="77777777" w:rsidR="00AD5C2E" w:rsidRPr="00AC53F5" w:rsidRDefault="00AD5C2E" w:rsidP="00AD5C2E">
            <w:pPr>
              <w:spacing w:after="0" w:line="240" w:lineRule="auto"/>
              <w:jc w:val="center"/>
              <w:rPr>
                <w:rFonts w:ascii="Verdana" w:eastAsia="Times New Roman" w:hAnsi="Verdana" w:cs="Calibri"/>
                <w:b/>
                <w:bCs/>
                <w:sz w:val="18"/>
                <w:szCs w:val="18"/>
                <w:lang w:eastAsia="pt-BR"/>
              </w:rPr>
            </w:pPr>
          </w:p>
        </w:tc>
        <w:tc>
          <w:tcPr>
            <w:tcW w:w="867" w:type="dxa"/>
            <w:tcBorders>
              <w:top w:val="nil"/>
              <w:left w:val="nil"/>
              <w:bottom w:val="nil"/>
              <w:right w:val="nil"/>
            </w:tcBorders>
            <w:shd w:val="clear" w:color="auto" w:fill="auto"/>
            <w:noWrap/>
            <w:vAlign w:val="center"/>
            <w:hideMark/>
          </w:tcPr>
          <w:p w14:paraId="2C64945C" w14:textId="77777777" w:rsidR="00AD5C2E" w:rsidRPr="00AC53F5" w:rsidRDefault="00AD5C2E" w:rsidP="00AD5C2E">
            <w:pPr>
              <w:spacing w:after="0" w:line="240" w:lineRule="auto"/>
              <w:rPr>
                <w:rFonts w:ascii="Times New Roman" w:eastAsia="Times New Roman" w:hAnsi="Times New Roman" w:cs="Times New Roman"/>
                <w:sz w:val="20"/>
                <w:szCs w:val="20"/>
                <w:lang w:eastAsia="pt-BR"/>
              </w:rPr>
            </w:pPr>
          </w:p>
        </w:tc>
        <w:tc>
          <w:tcPr>
            <w:tcW w:w="1725" w:type="dxa"/>
            <w:tcBorders>
              <w:top w:val="nil"/>
              <w:left w:val="nil"/>
              <w:bottom w:val="single" w:sz="4" w:space="0" w:color="auto"/>
              <w:right w:val="nil"/>
            </w:tcBorders>
            <w:shd w:val="clear" w:color="auto" w:fill="auto"/>
            <w:noWrap/>
            <w:vAlign w:val="center"/>
            <w:hideMark/>
          </w:tcPr>
          <w:p w14:paraId="299C635E" w14:textId="77777777" w:rsidR="00AD5C2E" w:rsidRPr="00AC53F5" w:rsidRDefault="00AD5C2E" w:rsidP="00AD5C2E">
            <w:pPr>
              <w:spacing w:after="0" w:line="240" w:lineRule="auto"/>
              <w:jc w:val="center"/>
              <w:rPr>
                <w:rFonts w:ascii="Verdana" w:eastAsia="Times New Roman" w:hAnsi="Verdana" w:cs="Calibri"/>
                <w:b/>
                <w:bCs/>
                <w:sz w:val="18"/>
                <w:szCs w:val="18"/>
                <w:lang w:eastAsia="pt-BR"/>
              </w:rPr>
            </w:pPr>
            <w:r w:rsidRPr="00AC53F5">
              <w:rPr>
                <w:rFonts w:ascii="Verdana" w:eastAsia="Times New Roman" w:hAnsi="Verdana" w:cs="Calibri"/>
                <w:b/>
                <w:bCs/>
                <w:sz w:val="18"/>
                <w:szCs w:val="18"/>
                <w:lang w:eastAsia="pt-BR"/>
              </w:rPr>
              <w:t>30/06/2022</w:t>
            </w:r>
          </w:p>
        </w:tc>
      </w:tr>
      <w:tr w:rsidR="00AD5C2E" w:rsidRPr="00AC53F5" w14:paraId="2B0A74BC" w14:textId="77777777" w:rsidTr="00F7132F">
        <w:trPr>
          <w:trHeight w:val="210"/>
        </w:trPr>
        <w:tc>
          <w:tcPr>
            <w:tcW w:w="6646" w:type="dxa"/>
            <w:tcBorders>
              <w:top w:val="nil"/>
              <w:left w:val="nil"/>
              <w:bottom w:val="nil"/>
              <w:right w:val="nil"/>
            </w:tcBorders>
            <w:shd w:val="clear" w:color="auto" w:fill="auto"/>
            <w:noWrap/>
            <w:vAlign w:val="center"/>
            <w:hideMark/>
          </w:tcPr>
          <w:p w14:paraId="6D8D952A" w14:textId="77777777" w:rsidR="00AD5C2E" w:rsidRPr="00AC53F5" w:rsidRDefault="00AD5C2E" w:rsidP="00AD5C2E">
            <w:pPr>
              <w:spacing w:after="0" w:line="240" w:lineRule="auto"/>
              <w:rPr>
                <w:rFonts w:ascii="Verdana" w:eastAsia="Times New Roman" w:hAnsi="Verdana" w:cs="Calibri"/>
                <w:sz w:val="18"/>
                <w:szCs w:val="18"/>
                <w:lang w:eastAsia="pt-BR"/>
              </w:rPr>
            </w:pPr>
            <w:r w:rsidRPr="00AC53F5">
              <w:rPr>
                <w:rFonts w:ascii="Verdana" w:eastAsia="Times New Roman" w:hAnsi="Verdana" w:cs="Calibri"/>
                <w:sz w:val="18"/>
                <w:szCs w:val="18"/>
                <w:lang w:eastAsia="pt-BR"/>
              </w:rPr>
              <w:t> </w:t>
            </w:r>
          </w:p>
        </w:tc>
        <w:tc>
          <w:tcPr>
            <w:tcW w:w="867" w:type="dxa"/>
            <w:tcBorders>
              <w:top w:val="nil"/>
              <w:left w:val="nil"/>
              <w:bottom w:val="nil"/>
              <w:right w:val="nil"/>
            </w:tcBorders>
            <w:shd w:val="clear" w:color="auto" w:fill="auto"/>
            <w:noWrap/>
            <w:vAlign w:val="center"/>
            <w:hideMark/>
          </w:tcPr>
          <w:p w14:paraId="6BA04D70" w14:textId="77777777" w:rsidR="00AD5C2E" w:rsidRPr="00AC53F5" w:rsidRDefault="00AD5C2E" w:rsidP="00AD5C2E">
            <w:pPr>
              <w:spacing w:after="0" w:line="240" w:lineRule="auto"/>
              <w:jc w:val="center"/>
              <w:rPr>
                <w:rFonts w:ascii="Verdana" w:eastAsia="Times New Roman" w:hAnsi="Verdana" w:cs="Calibri"/>
                <w:sz w:val="18"/>
                <w:szCs w:val="18"/>
                <w:lang w:eastAsia="pt-BR"/>
              </w:rPr>
            </w:pPr>
            <w:r w:rsidRPr="00AC53F5">
              <w:rPr>
                <w:rFonts w:ascii="Verdana" w:eastAsia="Times New Roman" w:hAnsi="Verdana" w:cs="Calibri"/>
                <w:sz w:val="18"/>
                <w:szCs w:val="18"/>
                <w:lang w:eastAsia="pt-BR"/>
              </w:rPr>
              <w:t> </w:t>
            </w:r>
          </w:p>
        </w:tc>
        <w:tc>
          <w:tcPr>
            <w:tcW w:w="1725" w:type="dxa"/>
            <w:tcBorders>
              <w:top w:val="nil"/>
              <w:left w:val="nil"/>
              <w:bottom w:val="nil"/>
              <w:right w:val="nil"/>
            </w:tcBorders>
            <w:shd w:val="clear" w:color="auto" w:fill="auto"/>
            <w:noWrap/>
            <w:vAlign w:val="center"/>
            <w:hideMark/>
          </w:tcPr>
          <w:p w14:paraId="7FC7B227" w14:textId="77777777" w:rsidR="00AD5C2E" w:rsidRPr="00AC53F5" w:rsidRDefault="00AD5C2E" w:rsidP="00AD5C2E">
            <w:pPr>
              <w:spacing w:after="0" w:line="240" w:lineRule="auto"/>
              <w:jc w:val="center"/>
              <w:rPr>
                <w:rFonts w:ascii="Verdana" w:eastAsia="Times New Roman" w:hAnsi="Verdana" w:cs="Calibri"/>
                <w:sz w:val="18"/>
                <w:szCs w:val="18"/>
                <w:lang w:eastAsia="pt-BR"/>
              </w:rPr>
            </w:pPr>
            <w:r w:rsidRPr="00AC53F5">
              <w:rPr>
                <w:rFonts w:ascii="Verdana" w:eastAsia="Times New Roman" w:hAnsi="Verdana" w:cs="Calibri"/>
                <w:sz w:val="18"/>
                <w:szCs w:val="18"/>
                <w:lang w:eastAsia="pt-BR"/>
              </w:rPr>
              <w:t> </w:t>
            </w:r>
          </w:p>
        </w:tc>
      </w:tr>
      <w:tr w:rsidR="00AD5C2E" w:rsidRPr="00AC53F5" w14:paraId="2EB02A4E" w14:textId="77777777" w:rsidTr="00F7132F">
        <w:trPr>
          <w:trHeight w:val="210"/>
        </w:trPr>
        <w:tc>
          <w:tcPr>
            <w:tcW w:w="6646" w:type="dxa"/>
            <w:tcBorders>
              <w:top w:val="nil"/>
              <w:left w:val="nil"/>
              <w:bottom w:val="nil"/>
              <w:right w:val="nil"/>
            </w:tcBorders>
            <w:shd w:val="clear" w:color="auto" w:fill="auto"/>
            <w:noWrap/>
            <w:vAlign w:val="center"/>
            <w:hideMark/>
          </w:tcPr>
          <w:p w14:paraId="4B2D1FCC" w14:textId="77777777" w:rsidR="00AD5C2E" w:rsidRPr="00AC53F5" w:rsidRDefault="00AD5C2E" w:rsidP="00AD5C2E">
            <w:pPr>
              <w:spacing w:after="0" w:line="240" w:lineRule="auto"/>
              <w:rPr>
                <w:rFonts w:ascii="Verdana" w:eastAsia="Times New Roman" w:hAnsi="Verdana" w:cs="Calibri"/>
                <w:sz w:val="18"/>
                <w:szCs w:val="18"/>
                <w:lang w:eastAsia="pt-BR"/>
              </w:rPr>
            </w:pPr>
            <w:r w:rsidRPr="00AC53F5">
              <w:rPr>
                <w:rFonts w:ascii="Verdana" w:eastAsia="Times New Roman" w:hAnsi="Verdana" w:cs="Calibri"/>
                <w:sz w:val="18"/>
                <w:szCs w:val="18"/>
                <w:lang w:eastAsia="pt-BR"/>
              </w:rPr>
              <w:t>Total dos empréstimos e financiamentos</w:t>
            </w:r>
          </w:p>
        </w:tc>
        <w:tc>
          <w:tcPr>
            <w:tcW w:w="867" w:type="dxa"/>
            <w:tcBorders>
              <w:top w:val="nil"/>
              <w:left w:val="nil"/>
              <w:bottom w:val="nil"/>
              <w:right w:val="nil"/>
            </w:tcBorders>
            <w:shd w:val="clear" w:color="auto" w:fill="auto"/>
            <w:noWrap/>
            <w:vAlign w:val="center"/>
            <w:hideMark/>
          </w:tcPr>
          <w:p w14:paraId="1D29A43C" w14:textId="77777777" w:rsidR="00AD5C2E" w:rsidRPr="00AC53F5" w:rsidRDefault="00AD5C2E" w:rsidP="00AD5C2E">
            <w:pPr>
              <w:spacing w:after="0" w:line="240" w:lineRule="auto"/>
              <w:rPr>
                <w:rFonts w:ascii="Verdana" w:eastAsia="Times New Roman" w:hAnsi="Verdana" w:cs="Calibri"/>
                <w:sz w:val="18"/>
                <w:szCs w:val="18"/>
                <w:lang w:eastAsia="pt-BR"/>
              </w:rPr>
            </w:pPr>
          </w:p>
        </w:tc>
        <w:tc>
          <w:tcPr>
            <w:tcW w:w="1725" w:type="dxa"/>
            <w:tcBorders>
              <w:top w:val="nil"/>
              <w:left w:val="nil"/>
              <w:bottom w:val="nil"/>
              <w:right w:val="nil"/>
            </w:tcBorders>
            <w:shd w:val="clear" w:color="auto" w:fill="auto"/>
            <w:noWrap/>
            <w:vAlign w:val="center"/>
            <w:hideMark/>
          </w:tcPr>
          <w:p w14:paraId="618E6471" w14:textId="77777777" w:rsidR="00AD5C2E" w:rsidRPr="00AC53F5" w:rsidRDefault="00AD5C2E" w:rsidP="00AD5C2E">
            <w:pPr>
              <w:spacing w:after="0" w:line="240" w:lineRule="auto"/>
              <w:jc w:val="right"/>
              <w:rPr>
                <w:rFonts w:ascii="Verdana" w:eastAsia="Times New Roman" w:hAnsi="Verdana" w:cs="Calibri"/>
                <w:sz w:val="18"/>
                <w:szCs w:val="18"/>
                <w:lang w:eastAsia="pt-BR"/>
              </w:rPr>
            </w:pPr>
            <w:r w:rsidRPr="00AC53F5">
              <w:rPr>
                <w:rFonts w:ascii="Verdana" w:eastAsia="Times New Roman" w:hAnsi="Verdana" w:cs="Calibri"/>
                <w:sz w:val="18"/>
                <w:szCs w:val="18"/>
                <w:lang w:eastAsia="pt-BR"/>
              </w:rPr>
              <w:t xml:space="preserve">         7.176.633 </w:t>
            </w:r>
          </w:p>
        </w:tc>
      </w:tr>
      <w:tr w:rsidR="00AD5C2E" w:rsidRPr="00AC53F5" w14:paraId="2AB237E4" w14:textId="77777777" w:rsidTr="00F7132F">
        <w:trPr>
          <w:trHeight w:val="210"/>
        </w:trPr>
        <w:tc>
          <w:tcPr>
            <w:tcW w:w="6646" w:type="dxa"/>
            <w:tcBorders>
              <w:top w:val="nil"/>
              <w:left w:val="nil"/>
              <w:bottom w:val="nil"/>
              <w:right w:val="nil"/>
            </w:tcBorders>
            <w:shd w:val="clear" w:color="auto" w:fill="auto"/>
            <w:noWrap/>
            <w:vAlign w:val="center"/>
            <w:hideMark/>
          </w:tcPr>
          <w:p w14:paraId="3753B15A" w14:textId="77777777" w:rsidR="00AD5C2E" w:rsidRPr="00AC53F5" w:rsidRDefault="00AD5C2E" w:rsidP="00AD5C2E">
            <w:pPr>
              <w:spacing w:after="0" w:line="240" w:lineRule="auto"/>
              <w:rPr>
                <w:rFonts w:ascii="Verdana" w:eastAsia="Times New Roman" w:hAnsi="Verdana" w:cs="Calibri"/>
                <w:sz w:val="18"/>
                <w:szCs w:val="18"/>
                <w:lang w:eastAsia="pt-BR"/>
              </w:rPr>
            </w:pPr>
            <w:r w:rsidRPr="00AC53F5">
              <w:rPr>
                <w:rFonts w:ascii="Verdana" w:eastAsia="Times New Roman" w:hAnsi="Verdana" w:cs="Calibri"/>
                <w:sz w:val="18"/>
                <w:szCs w:val="18"/>
                <w:lang w:eastAsia="pt-BR"/>
              </w:rPr>
              <w:t>(-) Caixa e equivalentes de caixa</w:t>
            </w:r>
            <w:r w:rsidR="00AC53F5">
              <w:rPr>
                <w:rFonts w:ascii="Verdana" w:eastAsia="Times New Roman" w:hAnsi="Verdana" w:cs="Calibri"/>
                <w:sz w:val="18"/>
                <w:szCs w:val="18"/>
                <w:lang w:eastAsia="pt-BR"/>
              </w:rPr>
              <w:t xml:space="preserve"> (exceto caixa restrito)</w:t>
            </w:r>
          </w:p>
        </w:tc>
        <w:tc>
          <w:tcPr>
            <w:tcW w:w="867" w:type="dxa"/>
            <w:tcBorders>
              <w:top w:val="nil"/>
              <w:left w:val="nil"/>
              <w:bottom w:val="nil"/>
              <w:right w:val="nil"/>
            </w:tcBorders>
            <w:shd w:val="clear" w:color="auto" w:fill="auto"/>
            <w:noWrap/>
            <w:vAlign w:val="center"/>
            <w:hideMark/>
          </w:tcPr>
          <w:p w14:paraId="20C79A52" w14:textId="77777777" w:rsidR="00AD5C2E" w:rsidRPr="00AC53F5" w:rsidRDefault="00AD5C2E" w:rsidP="00AD5C2E">
            <w:pPr>
              <w:spacing w:after="0" w:line="240" w:lineRule="auto"/>
              <w:rPr>
                <w:rFonts w:ascii="Verdana" w:eastAsia="Times New Roman" w:hAnsi="Verdana" w:cs="Calibri"/>
                <w:sz w:val="18"/>
                <w:szCs w:val="18"/>
                <w:lang w:eastAsia="pt-BR"/>
              </w:rPr>
            </w:pPr>
            <w:r w:rsidRPr="00AC53F5">
              <w:rPr>
                <w:rFonts w:ascii="Verdana" w:eastAsia="Times New Roman" w:hAnsi="Verdana" w:cs="Calibri"/>
                <w:sz w:val="18"/>
                <w:szCs w:val="18"/>
                <w:lang w:eastAsia="pt-BR"/>
              </w:rPr>
              <w:t> </w:t>
            </w:r>
          </w:p>
        </w:tc>
        <w:tc>
          <w:tcPr>
            <w:tcW w:w="1725" w:type="dxa"/>
            <w:tcBorders>
              <w:top w:val="nil"/>
              <w:left w:val="nil"/>
              <w:bottom w:val="nil"/>
              <w:right w:val="nil"/>
            </w:tcBorders>
            <w:shd w:val="clear" w:color="auto" w:fill="auto"/>
            <w:noWrap/>
            <w:vAlign w:val="center"/>
            <w:hideMark/>
          </w:tcPr>
          <w:p w14:paraId="2478005A" w14:textId="77777777" w:rsidR="00AD5C2E" w:rsidRPr="00AC53F5" w:rsidRDefault="00AD5C2E" w:rsidP="00AD5C2E">
            <w:pPr>
              <w:spacing w:after="0" w:line="240" w:lineRule="auto"/>
              <w:jc w:val="right"/>
              <w:rPr>
                <w:rFonts w:ascii="Verdana" w:eastAsia="Times New Roman" w:hAnsi="Verdana" w:cs="Calibri"/>
                <w:sz w:val="18"/>
                <w:szCs w:val="18"/>
                <w:lang w:eastAsia="pt-BR"/>
              </w:rPr>
            </w:pPr>
            <w:r w:rsidRPr="00AC53F5">
              <w:rPr>
                <w:rFonts w:ascii="Verdana" w:eastAsia="Times New Roman" w:hAnsi="Verdana" w:cs="Calibri"/>
                <w:sz w:val="18"/>
                <w:szCs w:val="18"/>
                <w:lang w:eastAsia="pt-BR"/>
              </w:rPr>
              <w:t xml:space="preserve">          (602.928)</w:t>
            </w:r>
          </w:p>
        </w:tc>
      </w:tr>
      <w:tr w:rsidR="00AD5C2E" w:rsidRPr="00AC53F5" w14:paraId="1365FDA1" w14:textId="77777777" w:rsidTr="00F7132F">
        <w:trPr>
          <w:trHeight w:val="210"/>
        </w:trPr>
        <w:tc>
          <w:tcPr>
            <w:tcW w:w="6646" w:type="dxa"/>
            <w:tcBorders>
              <w:top w:val="nil"/>
              <w:left w:val="nil"/>
              <w:bottom w:val="nil"/>
              <w:right w:val="nil"/>
            </w:tcBorders>
            <w:shd w:val="clear" w:color="auto" w:fill="auto"/>
            <w:noWrap/>
            <w:vAlign w:val="center"/>
            <w:hideMark/>
          </w:tcPr>
          <w:p w14:paraId="1216EC57" w14:textId="77777777" w:rsidR="00AD5C2E" w:rsidRPr="00AC53F5" w:rsidRDefault="00AD5C2E" w:rsidP="00AD5C2E">
            <w:pPr>
              <w:spacing w:after="0" w:line="240" w:lineRule="auto"/>
              <w:rPr>
                <w:rFonts w:ascii="Verdana" w:eastAsia="Times New Roman" w:hAnsi="Verdana" w:cs="Calibri"/>
                <w:sz w:val="18"/>
                <w:szCs w:val="18"/>
                <w:lang w:eastAsia="pt-BR"/>
              </w:rPr>
            </w:pPr>
            <w:r w:rsidRPr="00AC53F5">
              <w:rPr>
                <w:rFonts w:ascii="Verdana" w:eastAsia="Times New Roman" w:hAnsi="Verdana" w:cs="Calibri"/>
                <w:sz w:val="18"/>
                <w:szCs w:val="18"/>
                <w:lang w:eastAsia="pt-BR"/>
              </w:rPr>
              <w:t>(-) Títulos e valores mobiliários (CP)</w:t>
            </w:r>
          </w:p>
        </w:tc>
        <w:tc>
          <w:tcPr>
            <w:tcW w:w="867" w:type="dxa"/>
            <w:tcBorders>
              <w:top w:val="nil"/>
              <w:left w:val="nil"/>
              <w:bottom w:val="nil"/>
              <w:right w:val="nil"/>
            </w:tcBorders>
            <w:shd w:val="clear" w:color="auto" w:fill="auto"/>
            <w:noWrap/>
            <w:vAlign w:val="center"/>
            <w:hideMark/>
          </w:tcPr>
          <w:p w14:paraId="14757629" w14:textId="77777777" w:rsidR="00AD5C2E" w:rsidRPr="00AC53F5" w:rsidRDefault="00AD5C2E" w:rsidP="00AD5C2E">
            <w:pPr>
              <w:spacing w:after="0" w:line="240" w:lineRule="auto"/>
              <w:rPr>
                <w:rFonts w:ascii="Verdana" w:eastAsia="Times New Roman" w:hAnsi="Verdana" w:cs="Calibri"/>
                <w:sz w:val="18"/>
                <w:szCs w:val="18"/>
                <w:lang w:eastAsia="pt-BR"/>
              </w:rPr>
            </w:pPr>
          </w:p>
        </w:tc>
        <w:tc>
          <w:tcPr>
            <w:tcW w:w="1725" w:type="dxa"/>
            <w:tcBorders>
              <w:top w:val="nil"/>
              <w:left w:val="nil"/>
              <w:bottom w:val="nil"/>
              <w:right w:val="nil"/>
            </w:tcBorders>
            <w:shd w:val="clear" w:color="auto" w:fill="auto"/>
            <w:noWrap/>
            <w:vAlign w:val="center"/>
            <w:hideMark/>
          </w:tcPr>
          <w:p w14:paraId="7942D157" w14:textId="77777777" w:rsidR="00AD5C2E" w:rsidRPr="00AC53F5" w:rsidRDefault="00AD5C2E" w:rsidP="00AD5C2E">
            <w:pPr>
              <w:spacing w:after="0" w:line="240" w:lineRule="auto"/>
              <w:jc w:val="right"/>
              <w:rPr>
                <w:rFonts w:ascii="Verdana" w:eastAsia="Times New Roman" w:hAnsi="Verdana" w:cs="Calibri"/>
                <w:sz w:val="18"/>
                <w:szCs w:val="18"/>
                <w:lang w:eastAsia="pt-BR"/>
              </w:rPr>
            </w:pPr>
            <w:r w:rsidRPr="00AC53F5">
              <w:rPr>
                <w:rFonts w:ascii="Verdana" w:eastAsia="Times New Roman" w:hAnsi="Verdana" w:cs="Calibri"/>
                <w:sz w:val="18"/>
                <w:szCs w:val="18"/>
                <w:lang w:eastAsia="pt-BR"/>
              </w:rPr>
              <w:t xml:space="preserve">       (3.553.956)</w:t>
            </w:r>
          </w:p>
        </w:tc>
      </w:tr>
      <w:tr w:rsidR="00AD5C2E" w:rsidRPr="00AC53F5" w14:paraId="080545AF" w14:textId="77777777" w:rsidTr="00F7132F">
        <w:trPr>
          <w:trHeight w:val="210"/>
        </w:trPr>
        <w:tc>
          <w:tcPr>
            <w:tcW w:w="6646" w:type="dxa"/>
            <w:tcBorders>
              <w:top w:val="nil"/>
              <w:left w:val="nil"/>
              <w:bottom w:val="nil"/>
              <w:right w:val="nil"/>
            </w:tcBorders>
            <w:shd w:val="clear" w:color="auto" w:fill="auto"/>
            <w:noWrap/>
            <w:vAlign w:val="center"/>
            <w:hideMark/>
          </w:tcPr>
          <w:p w14:paraId="4ABFC940" w14:textId="77777777" w:rsidR="00AD5C2E" w:rsidRPr="00AC53F5" w:rsidRDefault="00AD5C2E" w:rsidP="00AD5C2E">
            <w:pPr>
              <w:spacing w:after="0" w:line="240" w:lineRule="auto"/>
              <w:rPr>
                <w:rFonts w:ascii="Verdana" w:eastAsia="Times New Roman" w:hAnsi="Verdana" w:cs="Calibri"/>
                <w:sz w:val="18"/>
                <w:szCs w:val="18"/>
                <w:lang w:eastAsia="pt-BR"/>
              </w:rPr>
            </w:pPr>
            <w:r w:rsidRPr="00AC53F5">
              <w:rPr>
                <w:rFonts w:ascii="Verdana" w:eastAsia="Times New Roman" w:hAnsi="Verdana" w:cs="Calibri"/>
                <w:sz w:val="18"/>
                <w:szCs w:val="18"/>
                <w:lang w:eastAsia="pt-BR"/>
              </w:rPr>
              <w:t>Exposição líquida</w:t>
            </w:r>
          </w:p>
        </w:tc>
        <w:tc>
          <w:tcPr>
            <w:tcW w:w="867" w:type="dxa"/>
            <w:tcBorders>
              <w:top w:val="nil"/>
              <w:left w:val="nil"/>
              <w:bottom w:val="nil"/>
              <w:right w:val="nil"/>
            </w:tcBorders>
            <w:shd w:val="clear" w:color="auto" w:fill="auto"/>
            <w:noWrap/>
            <w:vAlign w:val="center"/>
            <w:hideMark/>
          </w:tcPr>
          <w:p w14:paraId="3A988C32" w14:textId="77777777" w:rsidR="00AD5C2E" w:rsidRPr="00AC53F5" w:rsidRDefault="00AD5C2E" w:rsidP="00AD5C2E">
            <w:pPr>
              <w:spacing w:after="0" w:line="240" w:lineRule="auto"/>
              <w:rPr>
                <w:rFonts w:ascii="Verdana" w:eastAsia="Times New Roman" w:hAnsi="Verdana" w:cs="Calibri"/>
                <w:sz w:val="18"/>
                <w:szCs w:val="18"/>
                <w:lang w:eastAsia="pt-BR"/>
              </w:rPr>
            </w:pPr>
            <w:r w:rsidRPr="00AC53F5">
              <w:rPr>
                <w:rFonts w:ascii="Verdana" w:eastAsia="Times New Roman" w:hAnsi="Verdana" w:cs="Calibri"/>
                <w:sz w:val="18"/>
                <w:szCs w:val="18"/>
                <w:lang w:eastAsia="pt-BR"/>
              </w:rPr>
              <w:t> </w:t>
            </w:r>
          </w:p>
        </w:tc>
        <w:tc>
          <w:tcPr>
            <w:tcW w:w="1725" w:type="dxa"/>
            <w:tcBorders>
              <w:top w:val="single" w:sz="4" w:space="0" w:color="auto"/>
              <w:left w:val="nil"/>
              <w:bottom w:val="nil"/>
              <w:right w:val="nil"/>
            </w:tcBorders>
            <w:shd w:val="clear" w:color="auto" w:fill="auto"/>
            <w:noWrap/>
            <w:vAlign w:val="center"/>
            <w:hideMark/>
          </w:tcPr>
          <w:p w14:paraId="09471BE1" w14:textId="77777777" w:rsidR="00AD5C2E" w:rsidRPr="00AC53F5" w:rsidRDefault="00AD5C2E" w:rsidP="00AD5C2E">
            <w:pPr>
              <w:spacing w:after="0" w:line="240" w:lineRule="auto"/>
              <w:jc w:val="right"/>
              <w:rPr>
                <w:rFonts w:ascii="Verdana" w:eastAsia="Times New Roman" w:hAnsi="Verdana" w:cs="Calibri"/>
                <w:sz w:val="18"/>
                <w:szCs w:val="18"/>
                <w:lang w:eastAsia="pt-BR"/>
              </w:rPr>
            </w:pPr>
            <w:r w:rsidRPr="00AC53F5">
              <w:rPr>
                <w:rFonts w:ascii="Verdana" w:eastAsia="Times New Roman" w:hAnsi="Verdana" w:cs="Calibri"/>
                <w:sz w:val="18"/>
                <w:szCs w:val="18"/>
                <w:lang w:eastAsia="pt-BR"/>
              </w:rPr>
              <w:t xml:space="preserve">         3.019.749 </w:t>
            </w:r>
          </w:p>
        </w:tc>
      </w:tr>
      <w:tr w:rsidR="00AD5C2E" w:rsidRPr="00AC53F5" w14:paraId="1BB345B3" w14:textId="77777777" w:rsidTr="00F7132F">
        <w:trPr>
          <w:trHeight w:val="210"/>
        </w:trPr>
        <w:tc>
          <w:tcPr>
            <w:tcW w:w="7513" w:type="dxa"/>
            <w:gridSpan w:val="2"/>
            <w:tcBorders>
              <w:top w:val="nil"/>
              <w:left w:val="nil"/>
              <w:bottom w:val="nil"/>
              <w:right w:val="nil"/>
            </w:tcBorders>
            <w:shd w:val="clear" w:color="auto" w:fill="auto"/>
            <w:noWrap/>
            <w:vAlign w:val="center"/>
            <w:hideMark/>
          </w:tcPr>
          <w:p w14:paraId="4D4EEDDD" w14:textId="77777777" w:rsidR="00AD5C2E" w:rsidRPr="00AC53F5" w:rsidRDefault="00AD5C2E" w:rsidP="00AD5C2E">
            <w:pPr>
              <w:spacing w:after="0" w:line="240" w:lineRule="auto"/>
              <w:rPr>
                <w:rFonts w:ascii="Verdana" w:eastAsia="Times New Roman" w:hAnsi="Verdana" w:cs="Calibri"/>
                <w:sz w:val="18"/>
                <w:szCs w:val="18"/>
                <w:lang w:eastAsia="pt-BR"/>
              </w:rPr>
            </w:pPr>
            <w:r w:rsidRPr="00AC53F5">
              <w:rPr>
                <w:rFonts w:ascii="Verdana" w:eastAsia="Times New Roman" w:hAnsi="Verdana" w:cs="Calibri"/>
                <w:sz w:val="18"/>
                <w:szCs w:val="18"/>
                <w:lang w:eastAsia="pt-BR"/>
              </w:rPr>
              <w:t>(+) Total do Patrimônio líquido mais a participação de não controladores</w:t>
            </w:r>
          </w:p>
        </w:tc>
        <w:tc>
          <w:tcPr>
            <w:tcW w:w="1725" w:type="dxa"/>
            <w:tcBorders>
              <w:top w:val="nil"/>
              <w:left w:val="nil"/>
              <w:bottom w:val="nil"/>
              <w:right w:val="nil"/>
            </w:tcBorders>
            <w:shd w:val="clear" w:color="auto" w:fill="auto"/>
            <w:noWrap/>
            <w:vAlign w:val="center"/>
            <w:hideMark/>
          </w:tcPr>
          <w:p w14:paraId="68082654" w14:textId="77777777" w:rsidR="00AD5C2E" w:rsidRPr="00AC53F5" w:rsidRDefault="00AD5C2E" w:rsidP="00F7132F">
            <w:pPr>
              <w:spacing w:after="0" w:line="240" w:lineRule="auto"/>
              <w:jc w:val="right"/>
              <w:rPr>
                <w:rFonts w:ascii="Verdana" w:eastAsia="Times New Roman" w:hAnsi="Verdana" w:cs="Calibri"/>
                <w:sz w:val="18"/>
                <w:szCs w:val="18"/>
                <w:lang w:eastAsia="pt-BR"/>
              </w:rPr>
            </w:pPr>
            <w:r w:rsidRPr="00AC53F5">
              <w:rPr>
                <w:rFonts w:ascii="Verdana" w:eastAsia="Times New Roman" w:hAnsi="Verdana" w:cs="Calibri"/>
                <w:sz w:val="18"/>
                <w:szCs w:val="18"/>
                <w:lang w:eastAsia="pt-BR"/>
              </w:rPr>
              <w:t>10.651.063</w:t>
            </w:r>
          </w:p>
        </w:tc>
      </w:tr>
      <w:tr w:rsidR="00AD5C2E" w:rsidRPr="00AC53F5" w14:paraId="6633464D" w14:textId="77777777" w:rsidTr="00F7132F">
        <w:trPr>
          <w:trHeight w:val="210"/>
        </w:trPr>
        <w:tc>
          <w:tcPr>
            <w:tcW w:w="6646" w:type="dxa"/>
            <w:tcBorders>
              <w:top w:val="nil"/>
              <w:left w:val="nil"/>
              <w:bottom w:val="nil"/>
              <w:right w:val="nil"/>
            </w:tcBorders>
            <w:shd w:val="clear" w:color="auto" w:fill="auto"/>
            <w:noWrap/>
            <w:vAlign w:val="center"/>
            <w:hideMark/>
          </w:tcPr>
          <w:p w14:paraId="4785AE0E" w14:textId="77777777" w:rsidR="00AD5C2E" w:rsidRPr="00AC53F5" w:rsidRDefault="00AD5C2E" w:rsidP="00AD5C2E">
            <w:pPr>
              <w:spacing w:after="0" w:line="240" w:lineRule="auto"/>
              <w:rPr>
                <w:rFonts w:ascii="Verdana" w:eastAsia="Times New Roman" w:hAnsi="Verdana" w:cs="Calibri"/>
                <w:b/>
                <w:sz w:val="18"/>
                <w:szCs w:val="18"/>
                <w:lang w:eastAsia="pt-BR"/>
              </w:rPr>
            </w:pPr>
            <w:r w:rsidRPr="00AC53F5">
              <w:rPr>
                <w:rFonts w:ascii="Verdana" w:eastAsia="Times New Roman" w:hAnsi="Verdana" w:cs="Calibri"/>
                <w:b/>
                <w:sz w:val="18"/>
                <w:szCs w:val="18"/>
                <w:lang w:eastAsia="pt-BR"/>
              </w:rPr>
              <w:t>Total do capital</w:t>
            </w:r>
          </w:p>
        </w:tc>
        <w:tc>
          <w:tcPr>
            <w:tcW w:w="867" w:type="dxa"/>
            <w:tcBorders>
              <w:top w:val="nil"/>
              <w:left w:val="nil"/>
              <w:bottom w:val="nil"/>
              <w:right w:val="nil"/>
            </w:tcBorders>
            <w:shd w:val="clear" w:color="auto" w:fill="auto"/>
            <w:noWrap/>
            <w:vAlign w:val="center"/>
            <w:hideMark/>
          </w:tcPr>
          <w:p w14:paraId="6E733A9B" w14:textId="77777777" w:rsidR="00AD5C2E" w:rsidRPr="00AC53F5" w:rsidRDefault="00AD5C2E" w:rsidP="00AD5C2E">
            <w:pPr>
              <w:spacing w:after="0" w:line="240" w:lineRule="auto"/>
              <w:rPr>
                <w:rFonts w:ascii="Verdana" w:eastAsia="Times New Roman" w:hAnsi="Verdana" w:cs="Calibri"/>
                <w:b/>
                <w:sz w:val="18"/>
                <w:szCs w:val="18"/>
                <w:lang w:eastAsia="pt-BR"/>
              </w:rPr>
            </w:pPr>
            <w:r w:rsidRPr="00AC53F5">
              <w:rPr>
                <w:rFonts w:ascii="Verdana" w:eastAsia="Times New Roman" w:hAnsi="Verdana" w:cs="Calibri"/>
                <w:b/>
                <w:sz w:val="18"/>
                <w:szCs w:val="18"/>
                <w:lang w:eastAsia="pt-BR"/>
              </w:rPr>
              <w:t> </w:t>
            </w:r>
          </w:p>
        </w:tc>
        <w:tc>
          <w:tcPr>
            <w:tcW w:w="1725" w:type="dxa"/>
            <w:tcBorders>
              <w:top w:val="single" w:sz="4" w:space="0" w:color="auto"/>
              <w:left w:val="nil"/>
              <w:bottom w:val="nil"/>
              <w:right w:val="nil"/>
            </w:tcBorders>
            <w:shd w:val="clear" w:color="auto" w:fill="auto"/>
            <w:noWrap/>
            <w:vAlign w:val="center"/>
            <w:hideMark/>
          </w:tcPr>
          <w:p w14:paraId="559C3F3F" w14:textId="77777777" w:rsidR="00AD5C2E" w:rsidRPr="00AC53F5" w:rsidRDefault="00AD5C2E" w:rsidP="00AD5C2E">
            <w:pPr>
              <w:spacing w:after="0" w:line="240" w:lineRule="auto"/>
              <w:jc w:val="right"/>
              <w:rPr>
                <w:rFonts w:ascii="Verdana" w:eastAsia="Times New Roman" w:hAnsi="Verdana" w:cs="Calibri"/>
                <w:b/>
                <w:sz w:val="18"/>
                <w:szCs w:val="18"/>
                <w:lang w:eastAsia="pt-BR"/>
              </w:rPr>
            </w:pPr>
            <w:r w:rsidRPr="00AC53F5">
              <w:rPr>
                <w:rFonts w:ascii="Verdana" w:eastAsia="Times New Roman" w:hAnsi="Verdana" w:cs="Calibri"/>
                <w:b/>
                <w:sz w:val="18"/>
                <w:szCs w:val="18"/>
                <w:lang w:eastAsia="pt-BR"/>
              </w:rPr>
              <w:t xml:space="preserve">       13.670.812 </w:t>
            </w:r>
          </w:p>
        </w:tc>
      </w:tr>
      <w:tr w:rsidR="00AD5C2E" w:rsidRPr="00116729" w14:paraId="29D66A95" w14:textId="77777777" w:rsidTr="00F7132F">
        <w:trPr>
          <w:trHeight w:val="210"/>
        </w:trPr>
        <w:tc>
          <w:tcPr>
            <w:tcW w:w="6646" w:type="dxa"/>
            <w:tcBorders>
              <w:top w:val="nil"/>
              <w:left w:val="nil"/>
              <w:bottom w:val="nil"/>
              <w:right w:val="nil"/>
            </w:tcBorders>
            <w:shd w:val="clear" w:color="auto" w:fill="auto"/>
            <w:noWrap/>
            <w:vAlign w:val="center"/>
            <w:hideMark/>
          </w:tcPr>
          <w:p w14:paraId="581CDFD2" w14:textId="77777777" w:rsidR="00AD5C2E" w:rsidRPr="00AC53F5" w:rsidRDefault="00AD5C2E" w:rsidP="00AD5C2E">
            <w:pPr>
              <w:spacing w:after="0" w:line="240" w:lineRule="auto"/>
              <w:rPr>
                <w:rFonts w:ascii="Verdana" w:eastAsia="Times New Roman" w:hAnsi="Verdana" w:cs="Calibri"/>
                <w:sz w:val="18"/>
                <w:szCs w:val="18"/>
                <w:lang w:eastAsia="pt-BR"/>
              </w:rPr>
            </w:pPr>
            <w:r w:rsidRPr="00AC53F5">
              <w:rPr>
                <w:rFonts w:ascii="Verdana" w:eastAsia="Times New Roman" w:hAnsi="Verdana" w:cs="Calibri"/>
                <w:sz w:val="18"/>
                <w:szCs w:val="18"/>
                <w:lang w:eastAsia="pt-BR"/>
              </w:rPr>
              <w:t>Índice de alavancagem financeira</w:t>
            </w:r>
          </w:p>
        </w:tc>
        <w:tc>
          <w:tcPr>
            <w:tcW w:w="867" w:type="dxa"/>
            <w:tcBorders>
              <w:top w:val="nil"/>
              <w:left w:val="nil"/>
              <w:bottom w:val="nil"/>
              <w:right w:val="nil"/>
            </w:tcBorders>
            <w:shd w:val="clear" w:color="auto" w:fill="auto"/>
            <w:noWrap/>
            <w:vAlign w:val="center"/>
            <w:hideMark/>
          </w:tcPr>
          <w:p w14:paraId="66C3720C" w14:textId="77777777" w:rsidR="00AD5C2E" w:rsidRPr="00AC53F5" w:rsidRDefault="00AD5C2E" w:rsidP="00AD5C2E">
            <w:pPr>
              <w:spacing w:after="0" w:line="240" w:lineRule="auto"/>
              <w:rPr>
                <w:rFonts w:ascii="Verdana" w:eastAsia="Times New Roman" w:hAnsi="Verdana" w:cs="Calibri"/>
                <w:sz w:val="18"/>
                <w:szCs w:val="18"/>
                <w:lang w:eastAsia="pt-BR"/>
              </w:rPr>
            </w:pPr>
          </w:p>
        </w:tc>
        <w:tc>
          <w:tcPr>
            <w:tcW w:w="1725" w:type="dxa"/>
            <w:tcBorders>
              <w:top w:val="nil"/>
              <w:left w:val="nil"/>
              <w:bottom w:val="nil"/>
              <w:right w:val="nil"/>
            </w:tcBorders>
            <w:shd w:val="clear" w:color="auto" w:fill="auto"/>
            <w:noWrap/>
            <w:vAlign w:val="center"/>
            <w:hideMark/>
          </w:tcPr>
          <w:p w14:paraId="72FB32BD" w14:textId="77777777" w:rsidR="00AD5C2E" w:rsidRPr="00F7132F" w:rsidRDefault="00AD5C2E" w:rsidP="00AD5C2E">
            <w:pPr>
              <w:spacing w:after="0" w:line="240" w:lineRule="auto"/>
              <w:jc w:val="right"/>
              <w:rPr>
                <w:rFonts w:ascii="Verdana" w:eastAsia="Times New Roman" w:hAnsi="Verdana" w:cs="Calibri"/>
                <w:sz w:val="18"/>
                <w:szCs w:val="18"/>
                <w:lang w:eastAsia="pt-BR"/>
              </w:rPr>
            </w:pPr>
            <w:r w:rsidRPr="00AC53F5">
              <w:rPr>
                <w:rFonts w:ascii="Verdana" w:eastAsia="Times New Roman" w:hAnsi="Verdana" w:cs="Calibri"/>
                <w:sz w:val="18"/>
                <w:szCs w:val="18"/>
                <w:lang w:eastAsia="pt-BR"/>
              </w:rPr>
              <w:t>22%</w:t>
            </w:r>
          </w:p>
        </w:tc>
      </w:tr>
    </w:tbl>
    <w:p w14:paraId="21C39B97" w14:textId="77777777" w:rsidR="00A0648E" w:rsidRPr="00116729" w:rsidRDefault="00A0648E" w:rsidP="00C144BB">
      <w:pPr>
        <w:spacing w:after="0"/>
        <w:rPr>
          <w:rFonts w:ascii="Verdana" w:hAnsi="Verdana" w:cstheme="minorHAnsi"/>
          <w:noProof/>
          <w:lang w:eastAsia="pt-BR"/>
        </w:rPr>
      </w:pPr>
    </w:p>
    <w:p w14:paraId="6834B1F1" w14:textId="77777777" w:rsidR="00A0648E" w:rsidRPr="00F7132F" w:rsidRDefault="00AD7DA9" w:rsidP="005C2926">
      <w:pPr>
        <w:pStyle w:val="Default"/>
        <w:spacing w:after="160"/>
        <w:jc w:val="both"/>
        <w:rPr>
          <w:rFonts w:eastAsiaTheme="minorHAnsi" w:cstheme="minorHAnsi"/>
          <w:b/>
          <w:bCs/>
          <w:color w:val="auto"/>
          <w:sz w:val="22"/>
          <w:szCs w:val="22"/>
          <w:lang w:eastAsia="en-US"/>
        </w:rPr>
      </w:pPr>
      <w:r w:rsidRPr="00F7132F">
        <w:rPr>
          <w:rFonts w:eastAsiaTheme="minorHAnsi" w:cstheme="minorHAnsi"/>
          <w:b/>
          <w:bCs/>
          <w:color w:val="auto"/>
          <w:sz w:val="22"/>
          <w:szCs w:val="22"/>
          <w:lang w:eastAsia="en-US"/>
        </w:rPr>
        <w:t>30</w:t>
      </w:r>
      <w:r w:rsidR="00A0648E" w:rsidRPr="00F7132F">
        <w:rPr>
          <w:rFonts w:eastAsiaTheme="minorHAnsi" w:cstheme="minorHAnsi"/>
          <w:b/>
          <w:bCs/>
          <w:color w:val="auto"/>
          <w:sz w:val="22"/>
          <w:szCs w:val="22"/>
          <w:lang w:eastAsia="en-US"/>
        </w:rPr>
        <w:t>.2 – Classificação por categoria de instrumentos financeiros</w:t>
      </w:r>
    </w:p>
    <w:p w14:paraId="489B4C55" w14:textId="46157D54" w:rsidR="00A0648E" w:rsidRPr="00116729" w:rsidRDefault="00A0648E" w:rsidP="005C2926">
      <w:pPr>
        <w:pStyle w:val="SemEspaamento"/>
        <w:spacing w:after="160"/>
        <w:jc w:val="both"/>
        <w:rPr>
          <w:rFonts w:ascii="Verdana" w:hAnsi="Verdana" w:cstheme="minorHAnsi"/>
          <w:sz w:val="22"/>
          <w:szCs w:val="22"/>
        </w:rPr>
      </w:pPr>
      <w:r w:rsidRPr="00116729">
        <w:rPr>
          <w:rFonts w:ascii="Verdana" w:hAnsi="Verdana" w:cstheme="minorHAnsi"/>
          <w:sz w:val="22"/>
          <w:szCs w:val="22"/>
        </w:rPr>
        <w:t xml:space="preserve">A classificação dos ativos financeiros depende do modelo de negócio para gestão e das características do fluxo de caixa contratual. </w:t>
      </w:r>
      <w:r w:rsidRPr="007622F9">
        <w:rPr>
          <w:rFonts w:ascii="Verdana" w:hAnsi="Verdana" w:cstheme="minorHAnsi"/>
          <w:sz w:val="22"/>
          <w:szCs w:val="22"/>
        </w:rPr>
        <w:t xml:space="preserve">A </w:t>
      </w:r>
      <w:r w:rsidR="00A779BB" w:rsidRPr="007622F9">
        <w:rPr>
          <w:rFonts w:ascii="Verdana" w:hAnsi="Verdana" w:cstheme="minorHAnsi"/>
          <w:sz w:val="22"/>
          <w:szCs w:val="22"/>
        </w:rPr>
        <w:t>Controlada</w:t>
      </w:r>
      <w:r w:rsidR="00A779BB" w:rsidRPr="00116729">
        <w:rPr>
          <w:rFonts w:ascii="Verdana" w:hAnsi="Verdana" w:cstheme="minorHAnsi"/>
          <w:sz w:val="22"/>
          <w:szCs w:val="22"/>
        </w:rPr>
        <w:t xml:space="preserve"> </w:t>
      </w:r>
      <w:r w:rsidRPr="00116729">
        <w:rPr>
          <w:rFonts w:ascii="Verdana" w:hAnsi="Verdana" w:cstheme="minorHAnsi"/>
          <w:sz w:val="22"/>
          <w:szCs w:val="22"/>
        </w:rPr>
        <w:t>cla</w:t>
      </w:r>
      <w:r w:rsidR="003154F8" w:rsidRPr="00116729">
        <w:rPr>
          <w:rFonts w:ascii="Verdana" w:hAnsi="Verdana" w:cstheme="minorHAnsi"/>
          <w:sz w:val="22"/>
          <w:szCs w:val="22"/>
        </w:rPr>
        <w:t>s</w:t>
      </w:r>
      <w:r w:rsidRPr="00116729">
        <w:rPr>
          <w:rFonts w:ascii="Verdana" w:hAnsi="Verdana" w:cstheme="minorHAnsi"/>
          <w:sz w:val="22"/>
          <w:szCs w:val="22"/>
        </w:rPr>
        <w:t xml:space="preserve">sifica os ativos financeiros nas seguintes categorias: </w:t>
      </w:r>
    </w:p>
    <w:p w14:paraId="08CC344C" w14:textId="77777777" w:rsidR="00A0648E" w:rsidRPr="00C144BB" w:rsidRDefault="00AD7DA9" w:rsidP="005C2926">
      <w:pPr>
        <w:pStyle w:val="Default"/>
        <w:spacing w:after="160"/>
        <w:jc w:val="both"/>
        <w:rPr>
          <w:rFonts w:cstheme="minorHAnsi"/>
          <w:b/>
          <w:bCs/>
          <w:color w:val="auto"/>
          <w:sz w:val="22"/>
          <w:szCs w:val="22"/>
        </w:rPr>
      </w:pPr>
      <w:r w:rsidRPr="00C144BB">
        <w:rPr>
          <w:rFonts w:eastAsiaTheme="minorHAnsi" w:cstheme="minorHAnsi"/>
          <w:b/>
          <w:bCs/>
          <w:color w:val="auto"/>
          <w:sz w:val="22"/>
          <w:szCs w:val="22"/>
          <w:lang w:eastAsia="en-US"/>
        </w:rPr>
        <w:t>30</w:t>
      </w:r>
      <w:r w:rsidR="00720E7B" w:rsidRPr="00C144BB">
        <w:rPr>
          <w:rFonts w:eastAsiaTheme="minorHAnsi" w:cstheme="minorHAnsi"/>
          <w:b/>
          <w:bCs/>
          <w:color w:val="auto"/>
          <w:sz w:val="22"/>
          <w:szCs w:val="22"/>
          <w:lang w:eastAsia="en-US"/>
        </w:rPr>
        <w:t xml:space="preserve">.2.1 - </w:t>
      </w:r>
      <w:r w:rsidR="00A0648E" w:rsidRPr="00C144BB">
        <w:rPr>
          <w:rFonts w:eastAsiaTheme="minorHAnsi" w:cstheme="minorHAnsi"/>
          <w:b/>
          <w:bCs/>
          <w:color w:val="auto"/>
          <w:sz w:val="22"/>
          <w:szCs w:val="22"/>
          <w:lang w:eastAsia="en-US"/>
        </w:rPr>
        <w:t>Custo amortizado</w:t>
      </w:r>
    </w:p>
    <w:p w14:paraId="1CFEEBCD" w14:textId="77777777" w:rsidR="00A0648E" w:rsidRPr="00116729" w:rsidRDefault="00A0648E" w:rsidP="005C2926">
      <w:pPr>
        <w:autoSpaceDE w:val="0"/>
        <w:autoSpaceDN w:val="0"/>
        <w:adjustRightInd w:val="0"/>
        <w:jc w:val="both"/>
        <w:rPr>
          <w:rFonts w:ascii="Verdana" w:hAnsi="Verdana" w:cstheme="minorHAnsi"/>
        </w:rPr>
      </w:pPr>
      <w:r w:rsidRPr="00116729">
        <w:rPr>
          <w:rFonts w:ascii="Verdana" w:hAnsi="Verdana" w:cstheme="minorHAnsi"/>
        </w:rPr>
        <w:t>Os ativos financeiros que são detidos e gerenciados num modelo de negócios cujo objetivo é de recolher apenas fluxos de caixa contratuais (juros e principal) devem ser classificados como ativos financeiros ao custo amortizado. Em resumo, se o ativo financeiro é um instrumento de dívida simples cujo objetivo consiste em receber apenas juros e principal, ele deve ser classificado e contabilizado ao custo amortizado.</w:t>
      </w:r>
    </w:p>
    <w:p w14:paraId="7AA8E70B" w14:textId="77777777" w:rsidR="00A0648E" w:rsidRDefault="00A0648E" w:rsidP="005C2926">
      <w:pPr>
        <w:pStyle w:val="SemEspaamento"/>
        <w:spacing w:after="160"/>
        <w:jc w:val="both"/>
        <w:rPr>
          <w:rFonts w:ascii="Verdana" w:hAnsi="Verdana" w:cstheme="minorHAnsi"/>
          <w:sz w:val="22"/>
          <w:szCs w:val="22"/>
        </w:rPr>
      </w:pPr>
      <w:r w:rsidRPr="00116729">
        <w:rPr>
          <w:rFonts w:ascii="Verdana" w:hAnsi="Verdana" w:cstheme="minorHAnsi"/>
          <w:sz w:val="22"/>
          <w:szCs w:val="22"/>
        </w:rPr>
        <w:lastRenderedPageBreak/>
        <w:t xml:space="preserve">As receitas com juros provenientes desses ativos financeiros são registradas em receitas financeiras usando o método da taxa efetiva de juros. As perdas por </w:t>
      </w:r>
      <w:proofErr w:type="spellStart"/>
      <w:r w:rsidRPr="00116729">
        <w:rPr>
          <w:rFonts w:ascii="Verdana" w:hAnsi="Verdana" w:cstheme="minorHAnsi"/>
          <w:i/>
          <w:sz w:val="22"/>
          <w:szCs w:val="22"/>
        </w:rPr>
        <w:t>impairment</w:t>
      </w:r>
      <w:proofErr w:type="spellEnd"/>
      <w:r w:rsidRPr="00116729">
        <w:rPr>
          <w:rFonts w:ascii="Verdana" w:hAnsi="Verdana" w:cstheme="minorHAnsi"/>
          <w:sz w:val="22"/>
          <w:szCs w:val="22"/>
        </w:rPr>
        <w:t xml:space="preserve"> são apresentadas em uma conta separada na demonstração do resultado.</w:t>
      </w:r>
    </w:p>
    <w:p w14:paraId="3CB48D74" w14:textId="77777777" w:rsidR="00A0648E" w:rsidRPr="00F7132F" w:rsidRDefault="00AD7DA9" w:rsidP="005C2926">
      <w:pPr>
        <w:pStyle w:val="Default"/>
        <w:spacing w:after="160"/>
        <w:jc w:val="both"/>
        <w:rPr>
          <w:rFonts w:eastAsiaTheme="minorHAnsi" w:cstheme="minorHAnsi"/>
          <w:b/>
          <w:bCs/>
          <w:color w:val="auto"/>
          <w:sz w:val="22"/>
          <w:szCs w:val="22"/>
          <w:lang w:eastAsia="en-US"/>
        </w:rPr>
      </w:pPr>
      <w:r w:rsidRPr="00F7132F">
        <w:rPr>
          <w:rFonts w:eastAsiaTheme="minorHAnsi" w:cstheme="minorHAnsi"/>
          <w:b/>
          <w:bCs/>
          <w:color w:val="auto"/>
          <w:sz w:val="22"/>
          <w:szCs w:val="22"/>
          <w:lang w:eastAsia="en-US"/>
        </w:rPr>
        <w:t>30</w:t>
      </w:r>
      <w:r w:rsidR="00720E7B" w:rsidRPr="00F7132F">
        <w:rPr>
          <w:rFonts w:eastAsiaTheme="minorHAnsi" w:cstheme="minorHAnsi"/>
          <w:b/>
          <w:bCs/>
          <w:color w:val="auto"/>
          <w:sz w:val="22"/>
          <w:szCs w:val="22"/>
          <w:lang w:eastAsia="en-US"/>
        </w:rPr>
        <w:t xml:space="preserve">.2.2 - </w:t>
      </w:r>
      <w:r w:rsidR="00A0648E" w:rsidRPr="00F7132F">
        <w:rPr>
          <w:rFonts w:eastAsiaTheme="minorHAnsi" w:cstheme="minorHAnsi"/>
          <w:b/>
          <w:bCs/>
          <w:color w:val="auto"/>
          <w:sz w:val="22"/>
          <w:szCs w:val="22"/>
          <w:lang w:eastAsia="en-US"/>
        </w:rPr>
        <w:t>Ativos financeiros ao valor justo por meio de resultado</w:t>
      </w:r>
    </w:p>
    <w:p w14:paraId="75A369BD" w14:textId="77777777" w:rsidR="00A0648E" w:rsidRPr="00116729" w:rsidRDefault="00A0648E" w:rsidP="005C2926">
      <w:pPr>
        <w:pStyle w:val="SemEspaamento"/>
        <w:spacing w:after="160"/>
        <w:jc w:val="both"/>
        <w:rPr>
          <w:rFonts w:ascii="Verdana" w:hAnsi="Verdana" w:cstheme="minorHAnsi"/>
          <w:sz w:val="22"/>
          <w:szCs w:val="22"/>
        </w:rPr>
      </w:pPr>
      <w:r w:rsidRPr="00116729">
        <w:rPr>
          <w:rFonts w:ascii="Verdana" w:hAnsi="Verdana" w:cstheme="minorHAnsi"/>
          <w:sz w:val="22"/>
          <w:szCs w:val="22"/>
        </w:rPr>
        <w:t>Quaisquer ativos financeiros que não sejam classificados nas categorias de custo amortizado ou de valor justo por meio de outros resultados abrangentes devem ser mensurados e reconhecidos ao justo valor por meio do resultado. Portanto, a categoria de ativos financeiros ao valor justo por meio do resultado representa uma categoria “residual”. Os ativos financeiros que são detidos para negociação e gerenciados com base no justo valor, também estão incluídos nesta categoria.</w:t>
      </w:r>
    </w:p>
    <w:p w14:paraId="191C6642" w14:textId="77777777" w:rsidR="00A0648E" w:rsidRPr="00116729" w:rsidRDefault="00A0648E" w:rsidP="005C2926">
      <w:pPr>
        <w:pStyle w:val="SemEspaamento"/>
        <w:spacing w:after="160"/>
        <w:jc w:val="both"/>
        <w:rPr>
          <w:rFonts w:ascii="Verdana" w:hAnsi="Verdana" w:cstheme="minorHAnsi"/>
          <w:sz w:val="22"/>
          <w:szCs w:val="22"/>
        </w:rPr>
      </w:pPr>
      <w:r w:rsidRPr="00116729">
        <w:rPr>
          <w:rFonts w:ascii="Verdana" w:hAnsi="Verdana" w:cstheme="minorHAnsi"/>
          <w:sz w:val="22"/>
          <w:szCs w:val="22"/>
        </w:rPr>
        <w:t>Eventuais ganhos ou perdas em um investimento em título de dívida que seja subsequentemente mensurado ao valor justo por meio do resultado são reconhecidos no resultado e apresentados líquidos em resultado financeiro, no período em que ocorrerem.</w:t>
      </w:r>
    </w:p>
    <w:p w14:paraId="718BA959" w14:textId="77777777" w:rsidR="00A0648E" w:rsidRPr="00F7132F" w:rsidRDefault="00AD7DA9" w:rsidP="005C2926">
      <w:pPr>
        <w:pStyle w:val="Default"/>
        <w:spacing w:after="160"/>
        <w:jc w:val="both"/>
        <w:rPr>
          <w:rFonts w:eastAsiaTheme="minorHAnsi" w:cstheme="minorHAnsi"/>
          <w:b/>
          <w:bCs/>
          <w:color w:val="auto"/>
          <w:sz w:val="22"/>
          <w:szCs w:val="22"/>
          <w:lang w:eastAsia="en-US"/>
        </w:rPr>
      </w:pPr>
      <w:r w:rsidRPr="00F7132F">
        <w:rPr>
          <w:rFonts w:eastAsiaTheme="minorHAnsi" w:cstheme="minorHAnsi"/>
          <w:b/>
          <w:bCs/>
          <w:color w:val="auto"/>
          <w:sz w:val="22"/>
          <w:szCs w:val="22"/>
          <w:lang w:eastAsia="en-US"/>
        </w:rPr>
        <w:t>30</w:t>
      </w:r>
      <w:r w:rsidR="00720E7B" w:rsidRPr="00F7132F">
        <w:rPr>
          <w:rFonts w:eastAsiaTheme="minorHAnsi" w:cstheme="minorHAnsi"/>
          <w:b/>
          <w:bCs/>
          <w:color w:val="auto"/>
          <w:sz w:val="22"/>
          <w:szCs w:val="22"/>
          <w:lang w:eastAsia="en-US"/>
        </w:rPr>
        <w:t xml:space="preserve">.2.3 - </w:t>
      </w:r>
      <w:r w:rsidR="00A0648E" w:rsidRPr="00F7132F">
        <w:rPr>
          <w:rFonts w:eastAsiaTheme="minorHAnsi" w:cstheme="minorHAnsi"/>
          <w:b/>
          <w:bCs/>
          <w:color w:val="auto"/>
          <w:sz w:val="22"/>
          <w:szCs w:val="22"/>
          <w:lang w:eastAsia="en-US"/>
        </w:rPr>
        <w:t xml:space="preserve">Passivos financeiros </w:t>
      </w:r>
    </w:p>
    <w:p w14:paraId="15EC9E17" w14:textId="77777777" w:rsidR="00A0648E" w:rsidRPr="00116729" w:rsidRDefault="00A0648E" w:rsidP="005C2926">
      <w:pPr>
        <w:jc w:val="both"/>
        <w:rPr>
          <w:rFonts w:ascii="Verdana" w:hAnsi="Verdana" w:cstheme="minorHAnsi"/>
        </w:rPr>
      </w:pPr>
      <w:r w:rsidRPr="00116729">
        <w:rPr>
          <w:rFonts w:ascii="Verdana" w:hAnsi="Verdana" w:cstheme="minorHAnsi"/>
        </w:rPr>
        <w:t>São classificados como “Passivos financeiros ao custo amortizado”.</w:t>
      </w:r>
    </w:p>
    <w:p w14:paraId="31799B6B" w14:textId="77777777" w:rsidR="001A3CF3" w:rsidRPr="00116729" w:rsidRDefault="00A0648E" w:rsidP="00F7132F">
      <w:pPr>
        <w:jc w:val="both"/>
        <w:rPr>
          <w:rFonts w:ascii="Verdana" w:hAnsi="Verdana" w:cstheme="minorHAnsi"/>
          <w:noProof/>
          <w:lang w:eastAsia="pt-BR"/>
        </w:rPr>
      </w:pPr>
      <w:r w:rsidRPr="00116729">
        <w:rPr>
          <w:rFonts w:ascii="Verdana" w:hAnsi="Verdana" w:cstheme="minorHAnsi"/>
        </w:rPr>
        <w:t xml:space="preserve">Os saldos contábeis de certos ativos e passivos financeiros representam uma aproximação razoável do valor justo. A Companhia usa a seguinte classificação para enquadrar os seus instrumentos financeiros: </w:t>
      </w:r>
    </w:p>
    <w:tbl>
      <w:tblPr>
        <w:tblW w:w="9313" w:type="dxa"/>
        <w:tblCellMar>
          <w:left w:w="70" w:type="dxa"/>
          <w:right w:w="70" w:type="dxa"/>
        </w:tblCellMar>
        <w:tblLook w:val="04A0" w:firstRow="1" w:lastRow="0" w:firstColumn="1" w:lastColumn="0" w:noHBand="0" w:noVBand="1"/>
      </w:tblPr>
      <w:tblGrid>
        <w:gridCol w:w="5493"/>
        <w:gridCol w:w="209"/>
        <w:gridCol w:w="1701"/>
        <w:gridCol w:w="209"/>
        <w:gridCol w:w="1701"/>
      </w:tblGrid>
      <w:tr w:rsidR="001A3CF3" w:rsidRPr="00116729" w14:paraId="268D1C53" w14:textId="77777777" w:rsidTr="001A3CF3">
        <w:trPr>
          <w:trHeight w:val="22"/>
        </w:trPr>
        <w:tc>
          <w:tcPr>
            <w:tcW w:w="5493" w:type="dxa"/>
            <w:tcBorders>
              <w:top w:val="nil"/>
              <w:left w:val="nil"/>
              <w:bottom w:val="nil"/>
              <w:right w:val="nil"/>
            </w:tcBorders>
            <w:shd w:val="clear" w:color="auto" w:fill="auto"/>
            <w:noWrap/>
            <w:vAlign w:val="bottom"/>
            <w:hideMark/>
          </w:tcPr>
          <w:p w14:paraId="214C2127" w14:textId="77777777" w:rsidR="001A3CF3" w:rsidRPr="00116729" w:rsidRDefault="001A3CF3" w:rsidP="001A3CF3">
            <w:pPr>
              <w:spacing w:after="0" w:line="240" w:lineRule="auto"/>
              <w:rPr>
                <w:rFonts w:ascii="Times New Roman" w:eastAsia="Times New Roman" w:hAnsi="Times New Roman" w:cs="Times New Roman"/>
                <w:sz w:val="24"/>
                <w:szCs w:val="24"/>
                <w:lang w:eastAsia="pt-BR"/>
              </w:rPr>
            </w:pPr>
          </w:p>
        </w:tc>
        <w:tc>
          <w:tcPr>
            <w:tcW w:w="209" w:type="dxa"/>
            <w:tcBorders>
              <w:top w:val="nil"/>
              <w:left w:val="nil"/>
              <w:bottom w:val="nil"/>
              <w:right w:val="nil"/>
            </w:tcBorders>
            <w:shd w:val="clear" w:color="auto" w:fill="auto"/>
            <w:noWrap/>
            <w:vAlign w:val="bottom"/>
            <w:hideMark/>
          </w:tcPr>
          <w:p w14:paraId="00A0A160" w14:textId="77777777" w:rsidR="001A3CF3" w:rsidRPr="00116729" w:rsidRDefault="001A3CF3" w:rsidP="001A3CF3">
            <w:pPr>
              <w:spacing w:after="0" w:line="240" w:lineRule="auto"/>
              <w:rPr>
                <w:rFonts w:ascii="Times New Roman" w:eastAsia="Times New Roman" w:hAnsi="Times New Roman" w:cs="Times New Roman"/>
                <w:sz w:val="20"/>
                <w:szCs w:val="20"/>
                <w:lang w:eastAsia="pt-BR"/>
              </w:rPr>
            </w:pPr>
          </w:p>
        </w:tc>
        <w:tc>
          <w:tcPr>
            <w:tcW w:w="1701" w:type="dxa"/>
            <w:tcBorders>
              <w:top w:val="nil"/>
              <w:left w:val="nil"/>
              <w:bottom w:val="single" w:sz="4" w:space="0" w:color="auto"/>
              <w:right w:val="nil"/>
            </w:tcBorders>
            <w:shd w:val="clear" w:color="auto" w:fill="auto"/>
            <w:noWrap/>
            <w:vAlign w:val="bottom"/>
            <w:hideMark/>
          </w:tcPr>
          <w:p w14:paraId="2D5B88F0" w14:textId="77777777" w:rsidR="001A3CF3" w:rsidRPr="00F7132F" w:rsidRDefault="001A3CF3" w:rsidP="001A3CF3">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Controladora</w:t>
            </w:r>
          </w:p>
        </w:tc>
        <w:tc>
          <w:tcPr>
            <w:tcW w:w="209" w:type="dxa"/>
            <w:tcBorders>
              <w:top w:val="nil"/>
              <w:left w:val="nil"/>
              <w:bottom w:val="nil"/>
              <w:right w:val="nil"/>
            </w:tcBorders>
            <w:shd w:val="clear" w:color="auto" w:fill="auto"/>
            <w:noWrap/>
            <w:vAlign w:val="bottom"/>
            <w:hideMark/>
          </w:tcPr>
          <w:p w14:paraId="2BA12759" w14:textId="77777777" w:rsidR="001A3CF3" w:rsidRPr="00F7132F" w:rsidRDefault="001A3CF3" w:rsidP="001A3CF3">
            <w:pPr>
              <w:spacing w:after="0" w:line="240" w:lineRule="auto"/>
              <w:jc w:val="center"/>
              <w:rPr>
                <w:rFonts w:ascii="Verdana" w:eastAsia="Times New Roman" w:hAnsi="Verdana" w:cs="Calibri"/>
                <w:b/>
                <w:bCs/>
                <w:sz w:val="18"/>
                <w:szCs w:val="18"/>
                <w:lang w:eastAsia="pt-BR"/>
              </w:rPr>
            </w:pPr>
          </w:p>
        </w:tc>
        <w:tc>
          <w:tcPr>
            <w:tcW w:w="1701" w:type="dxa"/>
            <w:tcBorders>
              <w:top w:val="nil"/>
              <w:left w:val="nil"/>
              <w:bottom w:val="single" w:sz="4" w:space="0" w:color="auto"/>
              <w:right w:val="nil"/>
            </w:tcBorders>
            <w:shd w:val="clear" w:color="auto" w:fill="auto"/>
            <w:noWrap/>
            <w:vAlign w:val="bottom"/>
            <w:hideMark/>
          </w:tcPr>
          <w:p w14:paraId="606F3D3C" w14:textId="77777777" w:rsidR="001A3CF3" w:rsidRPr="00F7132F" w:rsidRDefault="001A3CF3" w:rsidP="001A3CF3">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Consolidado</w:t>
            </w:r>
          </w:p>
        </w:tc>
      </w:tr>
      <w:tr w:rsidR="001A3CF3" w:rsidRPr="00116729" w14:paraId="037202B1" w14:textId="77777777" w:rsidTr="00F7132F">
        <w:trPr>
          <w:trHeight w:val="22"/>
        </w:trPr>
        <w:tc>
          <w:tcPr>
            <w:tcW w:w="5493" w:type="dxa"/>
            <w:tcBorders>
              <w:top w:val="nil"/>
              <w:left w:val="nil"/>
              <w:bottom w:val="nil"/>
              <w:right w:val="nil"/>
            </w:tcBorders>
            <w:shd w:val="clear" w:color="auto" w:fill="auto"/>
            <w:noWrap/>
            <w:vAlign w:val="center"/>
            <w:hideMark/>
          </w:tcPr>
          <w:p w14:paraId="0E845F24" w14:textId="77777777" w:rsidR="001A3CF3" w:rsidRPr="00F7132F" w:rsidRDefault="001A3CF3" w:rsidP="001A3CF3">
            <w:pPr>
              <w:spacing w:after="0" w:line="240" w:lineRule="auto"/>
              <w:jc w:val="center"/>
              <w:rPr>
                <w:rFonts w:ascii="Verdana" w:eastAsia="Times New Roman" w:hAnsi="Verdana" w:cs="Calibri"/>
                <w:b/>
                <w:bCs/>
                <w:sz w:val="18"/>
                <w:szCs w:val="18"/>
                <w:lang w:eastAsia="pt-BR"/>
              </w:rPr>
            </w:pPr>
          </w:p>
        </w:tc>
        <w:tc>
          <w:tcPr>
            <w:tcW w:w="209" w:type="dxa"/>
            <w:tcBorders>
              <w:top w:val="nil"/>
              <w:left w:val="nil"/>
              <w:bottom w:val="nil"/>
              <w:right w:val="nil"/>
            </w:tcBorders>
            <w:shd w:val="clear" w:color="auto" w:fill="auto"/>
            <w:noWrap/>
            <w:vAlign w:val="center"/>
            <w:hideMark/>
          </w:tcPr>
          <w:p w14:paraId="0742AA65" w14:textId="77777777" w:rsidR="001A3CF3" w:rsidRPr="00116729" w:rsidRDefault="001A3CF3" w:rsidP="001A3CF3">
            <w:pPr>
              <w:spacing w:after="0" w:line="240" w:lineRule="auto"/>
              <w:rPr>
                <w:rFonts w:ascii="Times New Roman" w:eastAsia="Times New Roman" w:hAnsi="Times New Roman" w:cs="Times New Roman"/>
                <w:sz w:val="20"/>
                <w:szCs w:val="20"/>
                <w:lang w:eastAsia="pt-BR"/>
              </w:rPr>
            </w:pPr>
          </w:p>
        </w:tc>
        <w:tc>
          <w:tcPr>
            <w:tcW w:w="1701" w:type="dxa"/>
            <w:tcBorders>
              <w:top w:val="nil"/>
              <w:left w:val="nil"/>
              <w:bottom w:val="single" w:sz="4" w:space="0" w:color="auto"/>
              <w:right w:val="nil"/>
            </w:tcBorders>
            <w:shd w:val="clear" w:color="auto" w:fill="auto"/>
            <w:noWrap/>
            <w:vAlign w:val="center"/>
            <w:hideMark/>
          </w:tcPr>
          <w:p w14:paraId="238F8EA7" w14:textId="77777777" w:rsidR="001A3CF3" w:rsidRPr="00F7132F" w:rsidRDefault="001A3CF3" w:rsidP="001A3CF3">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30/06/2022</w:t>
            </w:r>
          </w:p>
        </w:tc>
        <w:tc>
          <w:tcPr>
            <w:tcW w:w="209" w:type="dxa"/>
            <w:tcBorders>
              <w:top w:val="nil"/>
              <w:left w:val="nil"/>
              <w:bottom w:val="nil"/>
              <w:right w:val="nil"/>
            </w:tcBorders>
            <w:shd w:val="clear" w:color="auto" w:fill="auto"/>
            <w:noWrap/>
            <w:vAlign w:val="center"/>
            <w:hideMark/>
          </w:tcPr>
          <w:p w14:paraId="55606BB7" w14:textId="77777777" w:rsidR="001A3CF3" w:rsidRPr="00F7132F" w:rsidRDefault="001A3CF3" w:rsidP="001A3CF3">
            <w:pPr>
              <w:spacing w:after="0" w:line="240" w:lineRule="auto"/>
              <w:jc w:val="center"/>
              <w:rPr>
                <w:rFonts w:ascii="Verdana" w:eastAsia="Times New Roman" w:hAnsi="Verdana" w:cs="Calibri"/>
                <w:b/>
                <w:bCs/>
                <w:sz w:val="18"/>
                <w:szCs w:val="18"/>
                <w:lang w:eastAsia="pt-BR"/>
              </w:rPr>
            </w:pPr>
          </w:p>
        </w:tc>
        <w:tc>
          <w:tcPr>
            <w:tcW w:w="1701" w:type="dxa"/>
            <w:tcBorders>
              <w:top w:val="nil"/>
              <w:left w:val="nil"/>
              <w:bottom w:val="single" w:sz="4" w:space="0" w:color="auto"/>
              <w:right w:val="nil"/>
            </w:tcBorders>
            <w:shd w:val="clear" w:color="auto" w:fill="auto"/>
            <w:noWrap/>
            <w:vAlign w:val="center"/>
            <w:hideMark/>
          </w:tcPr>
          <w:p w14:paraId="6F113D85" w14:textId="77777777" w:rsidR="001A3CF3" w:rsidRPr="00F7132F" w:rsidRDefault="001A3CF3" w:rsidP="001A3CF3">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30/06/2022</w:t>
            </w:r>
          </w:p>
        </w:tc>
      </w:tr>
      <w:tr w:rsidR="001A3CF3" w:rsidRPr="00116729" w14:paraId="090A1335" w14:textId="77777777" w:rsidTr="00F7132F">
        <w:trPr>
          <w:trHeight w:val="22"/>
        </w:trPr>
        <w:tc>
          <w:tcPr>
            <w:tcW w:w="5493" w:type="dxa"/>
            <w:tcBorders>
              <w:top w:val="nil"/>
              <w:left w:val="nil"/>
              <w:bottom w:val="nil"/>
              <w:right w:val="nil"/>
            </w:tcBorders>
            <w:shd w:val="clear" w:color="auto" w:fill="auto"/>
            <w:noWrap/>
            <w:vAlign w:val="center"/>
            <w:hideMark/>
          </w:tcPr>
          <w:p w14:paraId="47DDFF04" w14:textId="77777777" w:rsidR="001A3CF3" w:rsidRPr="00F7132F" w:rsidRDefault="001A3CF3" w:rsidP="001A3CF3">
            <w:pPr>
              <w:spacing w:after="0" w:line="240" w:lineRule="auto"/>
              <w:rPr>
                <w:rFonts w:ascii="Verdana" w:eastAsia="Times New Roman" w:hAnsi="Verdana" w:cs="Calibri"/>
                <w:b/>
                <w:sz w:val="18"/>
                <w:szCs w:val="18"/>
                <w:lang w:eastAsia="pt-BR"/>
              </w:rPr>
            </w:pPr>
            <w:r w:rsidRPr="00F7132F">
              <w:rPr>
                <w:rFonts w:ascii="Verdana" w:eastAsia="Times New Roman" w:hAnsi="Verdana" w:cs="Calibri"/>
                <w:b/>
                <w:sz w:val="18"/>
                <w:szCs w:val="18"/>
                <w:lang w:eastAsia="pt-BR"/>
              </w:rPr>
              <w:t>ATIVOS FINANCEIROS</w:t>
            </w:r>
          </w:p>
        </w:tc>
        <w:tc>
          <w:tcPr>
            <w:tcW w:w="209" w:type="dxa"/>
            <w:tcBorders>
              <w:top w:val="nil"/>
              <w:left w:val="nil"/>
              <w:bottom w:val="nil"/>
              <w:right w:val="nil"/>
            </w:tcBorders>
            <w:shd w:val="clear" w:color="auto" w:fill="auto"/>
            <w:noWrap/>
            <w:vAlign w:val="center"/>
            <w:hideMark/>
          </w:tcPr>
          <w:p w14:paraId="2A8D1791" w14:textId="77777777" w:rsidR="001A3CF3" w:rsidRPr="00F7132F" w:rsidRDefault="001A3CF3" w:rsidP="001A3CF3">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701" w:type="dxa"/>
            <w:tcBorders>
              <w:top w:val="nil"/>
              <w:left w:val="nil"/>
              <w:bottom w:val="nil"/>
              <w:right w:val="nil"/>
            </w:tcBorders>
            <w:shd w:val="clear" w:color="auto" w:fill="auto"/>
            <w:noWrap/>
            <w:vAlign w:val="center"/>
            <w:hideMark/>
          </w:tcPr>
          <w:p w14:paraId="01CDEAB9" w14:textId="77777777" w:rsidR="001A3CF3" w:rsidRPr="00F7132F" w:rsidRDefault="001A3CF3" w:rsidP="001A3CF3">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09" w:type="dxa"/>
            <w:tcBorders>
              <w:top w:val="nil"/>
              <w:left w:val="nil"/>
              <w:bottom w:val="nil"/>
              <w:right w:val="nil"/>
            </w:tcBorders>
            <w:shd w:val="clear" w:color="auto" w:fill="auto"/>
            <w:noWrap/>
            <w:vAlign w:val="center"/>
            <w:hideMark/>
          </w:tcPr>
          <w:p w14:paraId="53B274E7" w14:textId="77777777" w:rsidR="001A3CF3" w:rsidRPr="00F7132F" w:rsidRDefault="001A3CF3" w:rsidP="001A3CF3">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701" w:type="dxa"/>
            <w:tcBorders>
              <w:top w:val="nil"/>
              <w:left w:val="nil"/>
              <w:bottom w:val="nil"/>
              <w:right w:val="nil"/>
            </w:tcBorders>
            <w:shd w:val="clear" w:color="auto" w:fill="auto"/>
            <w:noWrap/>
            <w:vAlign w:val="center"/>
            <w:hideMark/>
          </w:tcPr>
          <w:p w14:paraId="003B9685" w14:textId="77777777" w:rsidR="001A3CF3" w:rsidRPr="00F7132F" w:rsidRDefault="001A3CF3" w:rsidP="001A3CF3">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r>
      <w:tr w:rsidR="001A3CF3" w:rsidRPr="00116729" w14:paraId="7111A6D7" w14:textId="77777777" w:rsidTr="00F7132F">
        <w:trPr>
          <w:trHeight w:val="22"/>
        </w:trPr>
        <w:tc>
          <w:tcPr>
            <w:tcW w:w="5493" w:type="dxa"/>
            <w:tcBorders>
              <w:top w:val="nil"/>
              <w:left w:val="nil"/>
              <w:bottom w:val="single" w:sz="4" w:space="0" w:color="auto"/>
              <w:right w:val="nil"/>
            </w:tcBorders>
            <w:shd w:val="clear" w:color="auto" w:fill="auto"/>
            <w:noWrap/>
            <w:vAlign w:val="center"/>
            <w:hideMark/>
          </w:tcPr>
          <w:p w14:paraId="628F9625" w14:textId="77777777" w:rsidR="001A3CF3" w:rsidRPr="00F7132F" w:rsidRDefault="001A3CF3" w:rsidP="001A3CF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Custo amortizado</w:t>
            </w:r>
          </w:p>
        </w:tc>
        <w:tc>
          <w:tcPr>
            <w:tcW w:w="209" w:type="dxa"/>
            <w:tcBorders>
              <w:top w:val="nil"/>
              <w:left w:val="nil"/>
              <w:bottom w:val="nil"/>
              <w:right w:val="nil"/>
            </w:tcBorders>
            <w:shd w:val="clear" w:color="auto" w:fill="auto"/>
            <w:noWrap/>
            <w:vAlign w:val="center"/>
            <w:hideMark/>
          </w:tcPr>
          <w:p w14:paraId="397FF302" w14:textId="77777777" w:rsidR="001A3CF3" w:rsidRPr="00F7132F" w:rsidRDefault="001A3CF3" w:rsidP="001A3CF3">
            <w:pPr>
              <w:spacing w:after="0" w:line="240" w:lineRule="auto"/>
              <w:rPr>
                <w:rFonts w:ascii="Verdana" w:eastAsia="Times New Roman" w:hAnsi="Verdana" w:cs="Calibri"/>
                <w:sz w:val="18"/>
                <w:szCs w:val="18"/>
                <w:lang w:eastAsia="pt-BR"/>
              </w:rPr>
            </w:pPr>
          </w:p>
        </w:tc>
        <w:tc>
          <w:tcPr>
            <w:tcW w:w="1701" w:type="dxa"/>
            <w:tcBorders>
              <w:top w:val="nil"/>
              <w:left w:val="nil"/>
              <w:bottom w:val="single" w:sz="4" w:space="0" w:color="auto"/>
              <w:right w:val="nil"/>
            </w:tcBorders>
            <w:shd w:val="clear" w:color="auto" w:fill="auto"/>
            <w:noWrap/>
            <w:vAlign w:val="center"/>
            <w:hideMark/>
          </w:tcPr>
          <w:p w14:paraId="7C9A5BA8" w14:textId="77777777" w:rsidR="001A3CF3" w:rsidRPr="00F7132F" w:rsidRDefault="001A3CF3" w:rsidP="001A3CF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2.944.519 </w:t>
            </w:r>
          </w:p>
        </w:tc>
        <w:tc>
          <w:tcPr>
            <w:tcW w:w="209" w:type="dxa"/>
            <w:tcBorders>
              <w:top w:val="nil"/>
              <w:left w:val="nil"/>
              <w:bottom w:val="nil"/>
              <w:right w:val="nil"/>
            </w:tcBorders>
            <w:shd w:val="clear" w:color="auto" w:fill="auto"/>
            <w:noWrap/>
            <w:vAlign w:val="center"/>
            <w:hideMark/>
          </w:tcPr>
          <w:p w14:paraId="48BB2442" w14:textId="77777777" w:rsidR="001A3CF3" w:rsidRPr="00F7132F" w:rsidRDefault="001A3CF3" w:rsidP="001A3CF3">
            <w:pPr>
              <w:spacing w:after="0" w:line="240" w:lineRule="auto"/>
              <w:jc w:val="right"/>
              <w:rPr>
                <w:rFonts w:ascii="Verdana" w:eastAsia="Times New Roman" w:hAnsi="Verdana" w:cs="Calibri"/>
                <w:sz w:val="18"/>
                <w:szCs w:val="18"/>
                <w:lang w:eastAsia="pt-BR"/>
              </w:rPr>
            </w:pPr>
          </w:p>
        </w:tc>
        <w:tc>
          <w:tcPr>
            <w:tcW w:w="1701" w:type="dxa"/>
            <w:tcBorders>
              <w:top w:val="nil"/>
              <w:left w:val="nil"/>
              <w:bottom w:val="single" w:sz="4" w:space="0" w:color="auto"/>
              <w:right w:val="nil"/>
            </w:tcBorders>
            <w:shd w:val="clear" w:color="auto" w:fill="auto"/>
            <w:noWrap/>
            <w:vAlign w:val="center"/>
            <w:hideMark/>
          </w:tcPr>
          <w:p w14:paraId="4E6AC4ED" w14:textId="77777777" w:rsidR="001A3CF3" w:rsidRPr="00F7132F" w:rsidRDefault="001A3CF3" w:rsidP="001A3CF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3.448.695 </w:t>
            </w:r>
          </w:p>
        </w:tc>
      </w:tr>
      <w:tr w:rsidR="001A3CF3" w:rsidRPr="00116729" w14:paraId="390B8B25" w14:textId="77777777" w:rsidTr="00F7132F">
        <w:trPr>
          <w:trHeight w:val="22"/>
        </w:trPr>
        <w:tc>
          <w:tcPr>
            <w:tcW w:w="5493" w:type="dxa"/>
            <w:tcBorders>
              <w:top w:val="nil"/>
              <w:left w:val="nil"/>
              <w:bottom w:val="nil"/>
              <w:right w:val="nil"/>
            </w:tcBorders>
            <w:shd w:val="clear" w:color="auto" w:fill="auto"/>
            <w:noWrap/>
            <w:vAlign w:val="center"/>
            <w:hideMark/>
          </w:tcPr>
          <w:p w14:paraId="4D3A71C7" w14:textId="77777777" w:rsidR="001A3CF3" w:rsidRPr="00F7132F" w:rsidRDefault="001A3CF3" w:rsidP="001A3CF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Caixa e equivalentes de caixa</w:t>
            </w:r>
          </w:p>
        </w:tc>
        <w:tc>
          <w:tcPr>
            <w:tcW w:w="209" w:type="dxa"/>
            <w:tcBorders>
              <w:top w:val="nil"/>
              <w:left w:val="nil"/>
              <w:bottom w:val="nil"/>
              <w:right w:val="nil"/>
            </w:tcBorders>
            <w:shd w:val="clear" w:color="auto" w:fill="auto"/>
            <w:noWrap/>
            <w:vAlign w:val="center"/>
            <w:hideMark/>
          </w:tcPr>
          <w:p w14:paraId="562BB9E1" w14:textId="77777777" w:rsidR="001A3CF3" w:rsidRPr="00F7132F" w:rsidRDefault="001A3CF3" w:rsidP="001A3CF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701" w:type="dxa"/>
            <w:tcBorders>
              <w:top w:val="nil"/>
              <w:left w:val="nil"/>
              <w:bottom w:val="nil"/>
              <w:right w:val="nil"/>
            </w:tcBorders>
            <w:shd w:val="clear" w:color="auto" w:fill="auto"/>
            <w:noWrap/>
            <w:vAlign w:val="center"/>
            <w:hideMark/>
          </w:tcPr>
          <w:p w14:paraId="6686DDBA" w14:textId="77777777" w:rsidR="001A3CF3" w:rsidRPr="00F7132F" w:rsidRDefault="004A40FC" w:rsidP="001A3CF3">
            <w:pPr>
              <w:spacing w:after="0" w:line="240" w:lineRule="auto"/>
              <w:jc w:val="right"/>
              <w:rPr>
                <w:rFonts w:ascii="Verdana" w:eastAsia="Times New Roman" w:hAnsi="Verdana" w:cs="Calibri"/>
                <w:sz w:val="18"/>
                <w:szCs w:val="18"/>
                <w:lang w:eastAsia="pt-BR"/>
              </w:rPr>
            </w:pPr>
            <w:r>
              <w:rPr>
                <w:rFonts w:ascii="Verdana" w:eastAsia="Times New Roman" w:hAnsi="Verdana" w:cs="Calibri"/>
                <w:sz w:val="18"/>
                <w:szCs w:val="18"/>
                <w:lang w:eastAsia="pt-BR"/>
              </w:rPr>
              <w:t>1.545.707</w:t>
            </w:r>
            <w:r w:rsidR="001A3CF3" w:rsidRPr="00F7132F">
              <w:rPr>
                <w:rFonts w:ascii="Verdana" w:eastAsia="Times New Roman" w:hAnsi="Verdana" w:cs="Calibri"/>
                <w:sz w:val="18"/>
                <w:szCs w:val="18"/>
                <w:lang w:eastAsia="pt-BR"/>
              </w:rPr>
              <w:t xml:space="preserve"> </w:t>
            </w:r>
          </w:p>
        </w:tc>
        <w:tc>
          <w:tcPr>
            <w:tcW w:w="209" w:type="dxa"/>
            <w:tcBorders>
              <w:top w:val="nil"/>
              <w:left w:val="nil"/>
              <w:bottom w:val="nil"/>
              <w:right w:val="nil"/>
            </w:tcBorders>
            <w:shd w:val="clear" w:color="auto" w:fill="auto"/>
            <w:noWrap/>
            <w:vAlign w:val="center"/>
            <w:hideMark/>
          </w:tcPr>
          <w:p w14:paraId="5EF52579" w14:textId="77777777" w:rsidR="001A3CF3" w:rsidRPr="00F7132F" w:rsidRDefault="001A3CF3" w:rsidP="001A3CF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701" w:type="dxa"/>
            <w:tcBorders>
              <w:top w:val="nil"/>
              <w:left w:val="nil"/>
              <w:bottom w:val="nil"/>
              <w:right w:val="nil"/>
            </w:tcBorders>
            <w:shd w:val="clear" w:color="auto" w:fill="auto"/>
            <w:noWrap/>
            <w:vAlign w:val="center"/>
            <w:hideMark/>
          </w:tcPr>
          <w:p w14:paraId="7DAB8B4A" w14:textId="77777777" w:rsidR="001A3CF3" w:rsidRPr="00F7132F" w:rsidRDefault="001A3CF3" w:rsidP="001A3CF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w:t>
            </w:r>
            <w:r w:rsidR="004A40FC">
              <w:rPr>
                <w:rFonts w:ascii="Verdana" w:eastAsia="Times New Roman" w:hAnsi="Verdana" w:cs="Calibri"/>
                <w:sz w:val="18"/>
                <w:szCs w:val="18"/>
                <w:lang w:eastAsia="pt-BR"/>
              </w:rPr>
              <w:t>1.552.317</w:t>
            </w:r>
            <w:r w:rsidRPr="00F7132F">
              <w:rPr>
                <w:rFonts w:ascii="Verdana" w:eastAsia="Times New Roman" w:hAnsi="Verdana" w:cs="Calibri"/>
                <w:sz w:val="18"/>
                <w:szCs w:val="18"/>
                <w:lang w:eastAsia="pt-BR"/>
              </w:rPr>
              <w:t xml:space="preserve"> </w:t>
            </w:r>
          </w:p>
        </w:tc>
      </w:tr>
      <w:tr w:rsidR="001A3CF3" w:rsidRPr="00116729" w14:paraId="3FE53CD3" w14:textId="77777777" w:rsidTr="00F7132F">
        <w:trPr>
          <w:trHeight w:val="22"/>
        </w:trPr>
        <w:tc>
          <w:tcPr>
            <w:tcW w:w="5493" w:type="dxa"/>
            <w:tcBorders>
              <w:top w:val="nil"/>
              <w:left w:val="nil"/>
              <w:bottom w:val="nil"/>
              <w:right w:val="nil"/>
            </w:tcBorders>
            <w:shd w:val="clear" w:color="auto" w:fill="auto"/>
            <w:noWrap/>
            <w:vAlign w:val="center"/>
            <w:hideMark/>
          </w:tcPr>
          <w:p w14:paraId="0AE5EEA0" w14:textId="77777777" w:rsidR="001A3CF3" w:rsidRPr="00F7132F" w:rsidRDefault="001A3CF3" w:rsidP="001A3CF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Clientes</w:t>
            </w:r>
          </w:p>
        </w:tc>
        <w:tc>
          <w:tcPr>
            <w:tcW w:w="209" w:type="dxa"/>
            <w:tcBorders>
              <w:top w:val="nil"/>
              <w:left w:val="nil"/>
              <w:bottom w:val="nil"/>
              <w:right w:val="nil"/>
            </w:tcBorders>
            <w:shd w:val="clear" w:color="auto" w:fill="auto"/>
            <w:noWrap/>
            <w:vAlign w:val="center"/>
            <w:hideMark/>
          </w:tcPr>
          <w:p w14:paraId="32001DFB" w14:textId="77777777" w:rsidR="001A3CF3" w:rsidRPr="00F7132F" w:rsidRDefault="001A3CF3" w:rsidP="001A3CF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701" w:type="dxa"/>
            <w:tcBorders>
              <w:top w:val="nil"/>
              <w:left w:val="nil"/>
              <w:bottom w:val="nil"/>
              <w:right w:val="nil"/>
            </w:tcBorders>
            <w:shd w:val="clear" w:color="auto" w:fill="auto"/>
            <w:noWrap/>
            <w:vAlign w:val="center"/>
            <w:hideMark/>
          </w:tcPr>
          <w:p w14:paraId="498B0651" w14:textId="77777777" w:rsidR="001A3CF3" w:rsidRPr="00F7132F" w:rsidRDefault="001A3CF3" w:rsidP="001A3CF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1.398.220 </w:t>
            </w:r>
          </w:p>
        </w:tc>
        <w:tc>
          <w:tcPr>
            <w:tcW w:w="209" w:type="dxa"/>
            <w:tcBorders>
              <w:top w:val="nil"/>
              <w:left w:val="nil"/>
              <w:bottom w:val="nil"/>
              <w:right w:val="nil"/>
            </w:tcBorders>
            <w:shd w:val="clear" w:color="auto" w:fill="auto"/>
            <w:noWrap/>
            <w:vAlign w:val="center"/>
            <w:hideMark/>
          </w:tcPr>
          <w:p w14:paraId="757E2CFC" w14:textId="77777777" w:rsidR="001A3CF3" w:rsidRPr="00F7132F" w:rsidRDefault="001A3CF3" w:rsidP="001A3CF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701" w:type="dxa"/>
            <w:tcBorders>
              <w:top w:val="nil"/>
              <w:left w:val="nil"/>
              <w:bottom w:val="nil"/>
              <w:right w:val="nil"/>
            </w:tcBorders>
            <w:shd w:val="clear" w:color="auto" w:fill="auto"/>
            <w:noWrap/>
            <w:vAlign w:val="center"/>
            <w:hideMark/>
          </w:tcPr>
          <w:p w14:paraId="0490BE68" w14:textId="77777777" w:rsidR="001A3CF3" w:rsidRPr="00F7132F" w:rsidRDefault="001A3CF3" w:rsidP="001A3CF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1.828.878 </w:t>
            </w:r>
          </w:p>
        </w:tc>
      </w:tr>
      <w:tr w:rsidR="001A3CF3" w:rsidRPr="00116729" w14:paraId="38F99F91" w14:textId="77777777" w:rsidTr="00F7132F">
        <w:trPr>
          <w:trHeight w:val="22"/>
        </w:trPr>
        <w:tc>
          <w:tcPr>
            <w:tcW w:w="5493" w:type="dxa"/>
            <w:tcBorders>
              <w:top w:val="nil"/>
              <w:left w:val="nil"/>
              <w:bottom w:val="nil"/>
              <w:right w:val="nil"/>
            </w:tcBorders>
            <w:shd w:val="clear" w:color="auto" w:fill="auto"/>
            <w:noWrap/>
            <w:vAlign w:val="center"/>
            <w:hideMark/>
          </w:tcPr>
          <w:p w14:paraId="585B4876" w14:textId="77777777" w:rsidR="001A3CF3" w:rsidRPr="00F7132F" w:rsidRDefault="001A3CF3" w:rsidP="001A3CF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Depósitos judiciais</w:t>
            </w:r>
          </w:p>
        </w:tc>
        <w:tc>
          <w:tcPr>
            <w:tcW w:w="209" w:type="dxa"/>
            <w:tcBorders>
              <w:top w:val="nil"/>
              <w:left w:val="nil"/>
              <w:bottom w:val="nil"/>
              <w:right w:val="nil"/>
            </w:tcBorders>
            <w:shd w:val="clear" w:color="auto" w:fill="auto"/>
            <w:noWrap/>
            <w:vAlign w:val="center"/>
            <w:hideMark/>
          </w:tcPr>
          <w:p w14:paraId="40F7C097" w14:textId="77777777" w:rsidR="001A3CF3" w:rsidRPr="00F7132F" w:rsidRDefault="001A3CF3" w:rsidP="001A3CF3">
            <w:pPr>
              <w:spacing w:after="0" w:line="240" w:lineRule="auto"/>
              <w:rPr>
                <w:rFonts w:ascii="Verdana" w:eastAsia="Times New Roman" w:hAnsi="Verdana" w:cs="Calibri"/>
                <w:sz w:val="18"/>
                <w:szCs w:val="18"/>
                <w:lang w:eastAsia="pt-BR"/>
              </w:rPr>
            </w:pPr>
          </w:p>
        </w:tc>
        <w:tc>
          <w:tcPr>
            <w:tcW w:w="1701" w:type="dxa"/>
            <w:tcBorders>
              <w:top w:val="nil"/>
              <w:left w:val="nil"/>
              <w:bottom w:val="nil"/>
              <w:right w:val="nil"/>
            </w:tcBorders>
            <w:shd w:val="clear" w:color="auto" w:fill="auto"/>
            <w:noWrap/>
            <w:vAlign w:val="center"/>
            <w:hideMark/>
          </w:tcPr>
          <w:p w14:paraId="7BA44601" w14:textId="77777777" w:rsidR="001A3CF3" w:rsidRPr="00F7132F" w:rsidRDefault="001A3CF3" w:rsidP="001A3CF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592 </w:t>
            </w:r>
          </w:p>
        </w:tc>
        <w:tc>
          <w:tcPr>
            <w:tcW w:w="209" w:type="dxa"/>
            <w:tcBorders>
              <w:top w:val="nil"/>
              <w:left w:val="nil"/>
              <w:bottom w:val="nil"/>
              <w:right w:val="nil"/>
            </w:tcBorders>
            <w:shd w:val="clear" w:color="auto" w:fill="auto"/>
            <w:noWrap/>
            <w:vAlign w:val="center"/>
            <w:hideMark/>
          </w:tcPr>
          <w:p w14:paraId="681E9CCE" w14:textId="77777777" w:rsidR="001A3CF3" w:rsidRPr="00F7132F" w:rsidRDefault="001A3CF3" w:rsidP="001A3CF3">
            <w:pPr>
              <w:spacing w:after="0" w:line="240" w:lineRule="auto"/>
              <w:jc w:val="right"/>
              <w:rPr>
                <w:rFonts w:ascii="Verdana" w:eastAsia="Times New Roman" w:hAnsi="Verdana" w:cs="Calibri"/>
                <w:sz w:val="18"/>
                <w:szCs w:val="18"/>
                <w:lang w:eastAsia="pt-BR"/>
              </w:rPr>
            </w:pPr>
          </w:p>
        </w:tc>
        <w:tc>
          <w:tcPr>
            <w:tcW w:w="1701" w:type="dxa"/>
            <w:tcBorders>
              <w:top w:val="nil"/>
              <w:left w:val="nil"/>
              <w:bottom w:val="nil"/>
              <w:right w:val="nil"/>
            </w:tcBorders>
            <w:shd w:val="clear" w:color="auto" w:fill="auto"/>
            <w:noWrap/>
            <w:vAlign w:val="center"/>
            <w:hideMark/>
          </w:tcPr>
          <w:p w14:paraId="79728232" w14:textId="77777777" w:rsidR="001A3CF3" w:rsidRPr="00F7132F" w:rsidRDefault="001A3CF3" w:rsidP="001A3CF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67.500 </w:t>
            </w:r>
          </w:p>
        </w:tc>
      </w:tr>
      <w:tr w:rsidR="001A3CF3" w:rsidRPr="00116729" w14:paraId="2F03F64D" w14:textId="77777777" w:rsidTr="00F7132F">
        <w:trPr>
          <w:trHeight w:val="22"/>
        </w:trPr>
        <w:tc>
          <w:tcPr>
            <w:tcW w:w="5493" w:type="dxa"/>
            <w:tcBorders>
              <w:top w:val="nil"/>
              <w:left w:val="nil"/>
              <w:bottom w:val="nil"/>
              <w:right w:val="nil"/>
            </w:tcBorders>
            <w:shd w:val="clear" w:color="auto" w:fill="auto"/>
            <w:noWrap/>
            <w:vAlign w:val="center"/>
            <w:hideMark/>
          </w:tcPr>
          <w:p w14:paraId="5B6B4AA0" w14:textId="77777777" w:rsidR="001A3CF3" w:rsidRPr="00F7132F" w:rsidRDefault="001A3CF3" w:rsidP="001A3CF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09" w:type="dxa"/>
            <w:tcBorders>
              <w:top w:val="nil"/>
              <w:left w:val="nil"/>
              <w:bottom w:val="nil"/>
              <w:right w:val="nil"/>
            </w:tcBorders>
            <w:shd w:val="clear" w:color="auto" w:fill="auto"/>
            <w:noWrap/>
            <w:vAlign w:val="center"/>
            <w:hideMark/>
          </w:tcPr>
          <w:p w14:paraId="3E1ACADF" w14:textId="77777777" w:rsidR="001A3CF3" w:rsidRPr="00F7132F" w:rsidRDefault="001A3CF3" w:rsidP="001A3CF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701" w:type="dxa"/>
            <w:tcBorders>
              <w:top w:val="nil"/>
              <w:left w:val="nil"/>
              <w:bottom w:val="nil"/>
              <w:right w:val="nil"/>
            </w:tcBorders>
            <w:shd w:val="clear" w:color="auto" w:fill="auto"/>
            <w:noWrap/>
            <w:vAlign w:val="center"/>
            <w:hideMark/>
          </w:tcPr>
          <w:p w14:paraId="24E59253" w14:textId="77777777" w:rsidR="001A3CF3" w:rsidRPr="00F7132F" w:rsidRDefault="001A3CF3" w:rsidP="001A3CF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09" w:type="dxa"/>
            <w:tcBorders>
              <w:top w:val="nil"/>
              <w:left w:val="nil"/>
              <w:bottom w:val="nil"/>
              <w:right w:val="nil"/>
            </w:tcBorders>
            <w:shd w:val="clear" w:color="auto" w:fill="auto"/>
            <w:noWrap/>
            <w:vAlign w:val="center"/>
            <w:hideMark/>
          </w:tcPr>
          <w:p w14:paraId="162B2E4E" w14:textId="77777777" w:rsidR="001A3CF3" w:rsidRPr="00F7132F" w:rsidRDefault="001A3CF3" w:rsidP="001A3CF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701" w:type="dxa"/>
            <w:tcBorders>
              <w:top w:val="nil"/>
              <w:left w:val="nil"/>
              <w:bottom w:val="nil"/>
              <w:right w:val="nil"/>
            </w:tcBorders>
            <w:shd w:val="clear" w:color="auto" w:fill="auto"/>
            <w:noWrap/>
            <w:vAlign w:val="center"/>
            <w:hideMark/>
          </w:tcPr>
          <w:p w14:paraId="119C2A00" w14:textId="77777777" w:rsidR="001A3CF3" w:rsidRPr="00F7132F" w:rsidRDefault="001A3CF3" w:rsidP="001A3CF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r>
      <w:tr w:rsidR="001A3CF3" w:rsidRPr="00116729" w14:paraId="7335CCBF" w14:textId="77777777" w:rsidTr="00F7132F">
        <w:trPr>
          <w:trHeight w:val="22"/>
        </w:trPr>
        <w:tc>
          <w:tcPr>
            <w:tcW w:w="5493" w:type="dxa"/>
            <w:tcBorders>
              <w:top w:val="nil"/>
              <w:left w:val="nil"/>
              <w:bottom w:val="single" w:sz="4" w:space="0" w:color="auto"/>
              <w:right w:val="nil"/>
            </w:tcBorders>
            <w:shd w:val="clear" w:color="auto" w:fill="auto"/>
            <w:noWrap/>
            <w:vAlign w:val="center"/>
            <w:hideMark/>
          </w:tcPr>
          <w:p w14:paraId="460CB992" w14:textId="77777777" w:rsidR="001A3CF3" w:rsidRPr="00F7132F" w:rsidRDefault="001A3CF3" w:rsidP="001A3CF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Valor justo por meio do resultado</w:t>
            </w:r>
          </w:p>
        </w:tc>
        <w:tc>
          <w:tcPr>
            <w:tcW w:w="209" w:type="dxa"/>
            <w:tcBorders>
              <w:top w:val="nil"/>
              <w:left w:val="nil"/>
              <w:bottom w:val="nil"/>
              <w:right w:val="nil"/>
            </w:tcBorders>
            <w:shd w:val="clear" w:color="auto" w:fill="auto"/>
            <w:noWrap/>
            <w:vAlign w:val="center"/>
            <w:hideMark/>
          </w:tcPr>
          <w:p w14:paraId="7137E875" w14:textId="77777777" w:rsidR="001A3CF3" w:rsidRPr="00F7132F" w:rsidRDefault="001A3CF3" w:rsidP="001A3CF3">
            <w:pPr>
              <w:spacing w:after="0" w:line="240" w:lineRule="auto"/>
              <w:rPr>
                <w:rFonts w:ascii="Verdana" w:eastAsia="Times New Roman" w:hAnsi="Verdana" w:cs="Calibri"/>
                <w:sz w:val="18"/>
                <w:szCs w:val="18"/>
                <w:lang w:eastAsia="pt-BR"/>
              </w:rPr>
            </w:pPr>
          </w:p>
        </w:tc>
        <w:tc>
          <w:tcPr>
            <w:tcW w:w="1701" w:type="dxa"/>
            <w:tcBorders>
              <w:top w:val="nil"/>
              <w:left w:val="nil"/>
              <w:bottom w:val="single" w:sz="4" w:space="0" w:color="auto"/>
              <w:right w:val="nil"/>
            </w:tcBorders>
            <w:shd w:val="clear" w:color="auto" w:fill="auto"/>
            <w:noWrap/>
            <w:vAlign w:val="center"/>
            <w:hideMark/>
          </w:tcPr>
          <w:p w14:paraId="08DDC938" w14:textId="77777777" w:rsidR="001A3CF3" w:rsidRPr="00F7132F" w:rsidRDefault="001A3CF3" w:rsidP="001A3CF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209" w:type="dxa"/>
            <w:tcBorders>
              <w:top w:val="nil"/>
              <w:left w:val="nil"/>
              <w:bottom w:val="nil"/>
              <w:right w:val="nil"/>
            </w:tcBorders>
            <w:shd w:val="clear" w:color="auto" w:fill="auto"/>
            <w:noWrap/>
            <w:vAlign w:val="center"/>
            <w:hideMark/>
          </w:tcPr>
          <w:p w14:paraId="3F7D0E6F" w14:textId="77777777" w:rsidR="001A3CF3" w:rsidRPr="00F7132F" w:rsidRDefault="001A3CF3" w:rsidP="001A3CF3">
            <w:pPr>
              <w:spacing w:after="0" w:line="240" w:lineRule="auto"/>
              <w:jc w:val="right"/>
              <w:rPr>
                <w:rFonts w:ascii="Verdana" w:eastAsia="Times New Roman" w:hAnsi="Verdana" w:cs="Calibri"/>
                <w:sz w:val="18"/>
                <w:szCs w:val="18"/>
                <w:lang w:eastAsia="pt-BR"/>
              </w:rPr>
            </w:pPr>
          </w:p>
        </w:tc>
        <w:tc>
          <w:tcPr>
            <w:tcW w:w="1701" w:type="dxa"/>
            <w:tcBorders>
              <w:top w:val="nil"/>
              <w:left w:val="nil"/>
              <w:bottom w:val="single" w:sz="4" w:space="0" w:color="auto"/>
              <w:right w:val="nil"/>
            </w:tcBorders>
            <w:shd w:val="clear" w:color="auto" w:fill="auto"/>
            <w:noWrap/>
            <w:vAlign w:val="center"/>
            <w:hideMark/>
          </w:tcPr>
          <w:p w14:paraId="3B9F8ECB" w14:textId="77777777" w:rsidR="001A3CF3" w:rsidRPr="00F7132F" w:rsidRDefault="001A3CF3" w:rsidP="001A3CF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5.805.390 </w:t>
            </w:r>
          </w:p>
        </w:tc>
      </w:tr>
      <w:tr w:rsidR="001A3CF3" w:rsidRPr="00116729" w14:paraId="1CAD0B84" w14:textId="77777777" w:rsidTr="00F7132F">
        <w:trPr>
          <w:trHeight w:val="22"/>
        </w:trPr>
        <w:tc>
          <w:tcPr>
            <w:tcW w:w="5493" w:type="dxa"/>
            <w:tcBorders>
              <w:top w:val="nil"/>
              <w:left w:val="nil"/>
              <w:bottom w:val="nil"/>
              <w:right w:val="nil"/>
            </w:tcBorders>
            <w:shd w:val="clear" w:color="auto" w:fill="auto"/>
            <w:noWrap/>
            <w:vAlign w:val="center"/>
            <w:hideMark/>
          </w:tcPr>
          <w:p w14:paraId="71FCB4C5" w14:textId="77777777" w:rsidR="001A3CF3" w:rsidRPr="00F7132F" w:rsidRDefault="001A3CF3" w:rsidP="001A3CF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Títulos e valores mobiliários</w:t>
            </w:r>
          </w:p>
        </w:tc>
        <w:tc>
          <w:tcPr>
            <w:tcW w:w="209" w:type="dxa"/>
            <w:tcBorders>
              <w:top w:val="nil"/>
              <w:left w:val="nil"/>
              <w:bottom w:val="nil"/>
              <w:right w:val="nil"/>
            </w:tcBorders>
            <w:shd w:val="clear" w:color="auto" w:fill="auto"/>
            <w:noWrap/>
            <w:vAlign w:val="center"/>
            <w:hideMark/>
          </w:tcPr>
          <w:p w14:paraId="06AFCD4D" w14:textId="77777777" w:rsidR="001A3CF3" w:rsidRPr="00F7132F" w:rsidRDefault="001A3CF3" w:rsidP="001A3CF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701" w:type="dxa"/>
            <w:tcBorders>
              <w:top w:val="nil"/>
              <w:left w:val="nil"/>
              <w:bottom w:val="nil"/>
              <w:right w:val="nil"/>
            </w:tcBorders>
            <w:shd w:val="clear" w:color="auto" w:fill="auto"/>
            <w:noWrap/>
            <w:vAlign w:val="center"/>
            <w:hideMark/>
          </w:tcPr>
          <w:p w14:paraId="2163AD76" w14:textId="77777777" w:rsidR="001A3CF3" w:rsidRPr="00F7132F" w:rsidRDefault="001A3CF3" w:rsidP="001A3CF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209" w:type="dxa"/>
            <w:tcBorders>
              <w:top w:val="nil"/>
              <w:left w:val="nil"/>
              <w:bottom w:val="nil"/>
              <w:right w:val="nil"/>
            </w:tcBorders>
            <w:shd w:val="clear" w:color="auto" w:fill="auto"/>
            <w:noWrap/>
            <w:vAlign w:val="center"/>
            <w:hideMark/>
          </w:tcPr>
          <w:p w14:paraId="08023AF9" w14:textId="77777777" w:rsidR="001A3CF3" w:rsidRPr="00F7132F" w:rsidRDefault="001A3CF3" w:rsidP="001A3CF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701" w:type="dxa"/>
            <w:tcBorders>
              <w:top w:val="nil"/>
              <w:left w:val="nil"/>
              <w:bottom w:val="nil"/>
              <w:right w:val="nil"/>
            </w:tcBorders>
            <w:shd w:val="clear" w:color="auto" w:fill="auto"/>
            <w:noWrap/>
            <w:vAlign w:val="center"/>
            <w:hideMark/>
          </w:tcPr>
          <w:p w14:paraId="589D1149" w14:textId="77777777" w:rsidR="001A3CF3" w:rsidRPr="00F7132F" w:rsidRDefault="001A3CF3" w:rsidP="001A3CF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5.805.390 </w:t>
            </w:r>
          </w:p>
        </w:tc>
      </w:tr>
      <w:tr w:rsidR="001A3CF3" w:rsidRPr="00116729" w14:paraId="294BD9C8" w14:textId="77777777" w:rsidTr="001A3CF3">
        <w:trPr>
          <w:trHeight w:val="22"/>
        </w:trPr>
        <w:tc>
          <w:tcPr>
            <w:tcW w:w="5493" w:type="dxa"/>
            <w:tcBorders>
              <w:top w:val="nil"/>
              <w:left w:val="nil"/>
              <w:bottom w:val="nil"/>
              <w:right w:val="nil"/>
            </w:tcBorders>
            <w:shd w:val="clear" w:color="auto" w:fill="auto"/>
            <w:noWrap/>
            <w:vAlign w:val="center"/>
          </w:tcPr>
          <w:p w14:paraId="359F934E" w14:textId="77777777" w:rsidR="001A3CF3" w:rsidRPr="00F7132F" w:rsidRDefault="001A3CF3" w:rsidP="001A3CF3">
            <w:pPr>
              <w:spacing w:after="0" w:line="240" w:lineRule="auto"/>
              <w:rPr>
                <w:rFonts w:ascii="Verdana" w:eastAsia="Times New Roman" w:hAnsi="Verdana" w:cs="Calibri"/>
                <w:sz w:val="18"/>
                <w:szCs w:val="18"/>
                <w:lang w:eastAsia="pt-BR"/>
              </w:rPr>
            </w:pPr>
          </w:p>
        </w:tc>
        <w:tc>
          <w:tcPr>
            <w:tcW w:w="209" w:type="dxa"/>
            <w:tcBorders>
              <w:top w:val="nil"/>
              <w:left w:val="nil"/>
              <w:bottom w:val="nil"/>
              <w:right w:val="nil"/>
            </w:tcBorders>
            <w:shd w:val="clear" w:color="auto" w:fill="auto"/>
            <w:noWrap/>
            <w:vAlign w:val="center"/>
          </w:tcPr>
          <w:p w14:paraId="45E2F4B2" w14:textId="77777777" w:rsidR="001A3CF3" w:rsidRPr="00F7132F" w:rsidRDefault="001A3CF3" w:rsidP="001A3CF3">
            <w:pPr>
              <w:spacing w:after="0" w:line="240" w:lineRule="auto"/>
              <w:rPr>
                <w:rFonts w:ascii="Verdana" w:eastAsia="Times New Roman" w:hAnsi="Verdana" w:cs="Calibri"/>
                <w:sz w:val="18"/>
                <w:szCs w:val="18"/>
                <w:lang w:eastAsia="pt-BR"/>
              </w:rPr>
            </w:pPr>
          </w:p>
        </w:tc>
        <w:tc>
          <w:tcPr>
            <w:tcW w:w="1701" w:type="dxa"/>
            <w:tcBorders>
              <w:top w:val="nil"/>
              <w:left w:val="nil"/>
              <w:bottom w:val="nil"/>
              <w:right w:val="nil"/>
            </w:tcBorders>
            <w:shd w:val="clear" w:color="auto" w:fill="auto"/>
            <w:noWrap/>
            <w:vAlign w:val="center"/>
          </w:tcPr>
          <w:p w14:paraId="2ED236F1" w14:textId="77777777" w:rsidR="001A3CF3" w:rsidRPr="00F7132F" w:rsidRDefault="001A3CF3" w:rsidP="001A3CF3">
            <w:pPr>
              <w:spacing w:after="0" w:line="240" w:lineRule="auto"/>
              <w:jc w:val="right"/>
              <w:rPr>
                <w:rFonts w:ascii="Verdana" w:eastAsia="Times New Roman" w:hAnsi="Verdana" w:cs="Calibri"/>
                <w:sz w:val="18"/>
                <w:szCs w:val="18"/>
                <w:lang w:eastAsia="pt-BR"/>
              </w:rPr>
            </w:pPr>
          </w:p>
        </w:tc>
        <w:tc>
          <w:tcPr>
            <w:tcW w:w="209" w:type="dxa"/>
            <w:tcBorders>
              <w:top w:val="nil"/>
              <w:left w:val="nil"/>
              <w:bottom w:val="nil"/>
              <w:right w:val="nil"/>
            </w:tcBorders>
            <w:shd w:val="clear" w:color="auto" w:fill="auto"/>
            <w:noWrap/>
            <w:vAlign w:val="center"/>
          </w:tcPr>
          <w:p w14:paraId="51929311" w14:textId="77777777" w:rsidR="001A3CF3" w:rsidRPr="00F7132F" w:rsidRDefault="001A3CF3" w:rsidP="001A3CF3">
            <w:pPr>
              <w:spacing w:after="0" w:line="240" w:lineRule="auto"/>
              <w:rPr>
                <w:rFonts w:ascii="Verdana" w:eastAsia="Times New Roman" w:hAnsi="Verdana" w:cs="Calibri"/>
                <w:sz w:val="18"/>
                <w:szCs w:val="18"/>
                <w:lang w:eastAsia="pt-BR"/>
              </w:rPr>
            </w:pPr>
          </w:p>
        </w:tc>
        <w:tc>
          <w:tcPr>
            <w:tcW w:w="1701" w:type="dxa"/>
            <w:tcBorders>
              <w:top w:val="nil"/>
              <w:left w:val="nil"/>
              <w:bottom w:val="nil"/>
              <w:right w:val="nil"/>
            </w:tcBorders>
            <w:shd w:val="clear" w:color="auto" w:fill="auto"/>
            <w:noWrap/>
            <w:vAlign w:val="center"/>
          </w:tcPr>
          <w:p w14:paraId="7F20D301" w14:textId="77777777" w:rsidR="001A3CF3" w:rsidRPr="00F7132F" w:rsidRDefault="001A3CF3" w:rsidP="001A3CF3">
            <w:pPr>
              <w:spacing w:after="0" w:line="240" w:lineRule="auto"/>
              <w:jc w:val="right"/>
              <w:rPr>
                <w:rFonts w:ascii="Verdana" w:eastAsia="Times New Roman" w:hAnsi="Verdana" w:cs="Calibri"/>
                <w:sz w:val="18"/>
                <w:szCs w:val="18"/>
                <w:lang w:eastAsia="pt-BR"/>
              </w:rPr>
            </w:pPr>
          </w:p>
        </w:tc>
      </w:tr>
      <w:tr w:rsidR="001A3CF3" w:rsidRPr="00116729" w14:paraId="1297CA66" w14:textId="77777777" w:rsidTr="00F7132F">
        <w:trPr>
          <w:trHeight w:val="22"/>
        </w:trPr>
        <w:tc>
          <w:tcPr>
            <w:tcW w:w="5493" w:type="dxa"/>
            <w:tcBorders>
              <w:top w:val="nil"/>
              <w:left w:val="nil"/>
              <w:bottom w:val="nil"/>
              <w:right w:val="nil"/>
            </w:tcBorders>
            <w:shd w:val="clear" w:color="auto" w:fill="auto"/>
            <w:noWrap/>
            <w:vAlign w:val="bottom"/>
            <w:hideMark/>
          </w:tcPr>
          <w:p w14:paraId="5DEE906A" w14:textId="77777777" w:rsidR="001A3CF3" w:rsidRPr="00F7132F" w:rsidRDefault="001A3CF3" w:rsidP="001A3CF3">
            <w:pPr>
              <w:spacing w:after="0" w:line="240" w:lineRule="auto"/>
              <w:jc w:val="right"/>
              <w:rPr>
                <w:rFonts w:ascii="Verdana" w:eastAsia="Times New Roman" w:hAnsi="Verdana" w:cs="Calibri"/>
                <w:sz w:val="18"/>
                <w:szCs w:val="18"/>
                <w:lang w:eastAsia="pt-BR"/>
              </w:rPr>
            </w:pPr>
          </w:p>
        </w:tc>
        <w:tc>
          <w:tcPr>
            <w:tcW w:w="209" w:type="dxa"/>
            <w:tcBorders>
              <w:top w:val="nil"/>
              <w:left w:val="nil"/>
              <w:bottom w:val="nil"/>
              <w:right w:val="nil"/>
            </w:tcBorders>
            <w:shd w:val="clear" w:color="auto" w:fill="auto"/>
            <w:noWrap/>
            <w:vAlign w:val="bottom"/>
            <w:hideMark/>
          </w:tcPr>
          <w:p w14:paraId="24272CA5" w14:textId="77777777" w:rsidR="001A3CF3" w:rsidRPr="00116729" w:rsidRDefault="001A3CF3" w:rsidP="001A3CF3">
            <w:pPr>
              <w:spacing w:after="0" w:line="240" w:lineRule="auto"/>
              <w:rPr>
                <w:rFonts w:ascii="Times New Roman" w:eastAsia="Times New Roman" w:hAnsi="Times New Roman" w:cs="Times New Roman"/>
                <w:sz w:val="20"/>
                <w:szCs w:val="20"/>
                <w:lang w:eastAsia="pt-BR"/>
              </w:rPr>
            </w:pPr>
          </w:p>
        </w:tc>
        <w:tc>
          <w:tcPr>
            <w:tcW w:w="1701" w:type="dxa"/>
            <w:tcBorders>
              <w:top w:val="nil"/>
              <w:left w:val="nil"/>
              <w:bottom w:val="nil"/>
              <w:right w:val="nil"/>
            </w:tcBorders>
            <w:shd w:val="clear" w:color="auto" w:fill="auto"/>
            <w:noWrap/>
            <w:vAlign w:val="bottom"/>
            <w:hideMark/>
          </w:tcPr>
          <w:p w14:paraId="0DE86C45" w14:textId="77777777" w:rsidR="001A3CF3" w:rsidRPr="00116729" w:rsidRDefault="001A3CF3" w:rsidP="001A3CF3">
            <w:pPr>
              <w:spacing w:after="0" w:line="240" w:lineRule="auto"/>
              <w:rPr>
                <w:rFonts w:ascii="Times New Roman" w:eastAsia="Times New Roman" w:hAnsi="Times New Roman" w:cs="Times New Roman"/>
                <w:sz w:val="20"/>
                <w:szCs w:val="20"/>
                <w:lang w:eastAsia="pt-BR"/>
              </w:rPr>
            </w:pPr>
          </w:p>
        </w:tc>
        <w:tc>
          <w:tcPr>
            <w:tcW w:w="209" w:type="dxa"/>
            <w:tcBorders>
              <w:top w:val="nil"/>
              <w:left w:val="nil"/>
              <w:bottom w:val="nil"/>
              <w:right w:val="nil"/>
            </w:tcBorders>
            <w:shd w:val="clear" w:color="auto" w:fill="auto"/>
            <w:noWrap/>
            <w:vAlign w:val="bottom"/>
            <w:hideMark/>
          </w:tcPr>
          <w:p w14:paraId="288E3AA1" w14:textId="77777777" w:rsidR="001A3CF3" w:rsidRPr="00116729" w:rsidRDefault="001A3CF3" w:rsidP="001A3CF3">
            <w:pPr>
              <w:spacing w:after="0" w:line="240" w:lineRule="auto"/>
              <w:rPr>
                <w:rFonts w:ascii="Times New Roman" w:eastAsia="Times New Roman" w:hAnsi="Times New Roman" w:cs="Times New Roman"/>
                <w:sz w:val="20"/>
                <w:szCs w:val="20"/>
                <w:lang w:eastAsia="pt-BR"/>
              </w:rPr>
            </w:pPr>
          </w:p>
        </w:tc>
        <w:tc>
          <w:tcPr>
            <w:tcW w:w="1701" w:type="dxa"/>
            <w:tcBorders>
              <w:top w:val="nil"/>
              <w:left w:val="nil"/>
              <w:bottom w:val="nil"/>
              <w:right w:val="nil"/>
            </w:tcBorders>
            <w:shd w:val="clear" w:color="auto" w:fill="auto"/>
            <w:noWrap/>
            <w:vAlign w:val="bottom"/>
            <w:hideMark/>
          </w:tcPr>
          <w:p w14:paraId="736C08BA" w14:textId="77777777" w:rsidR="001A3CF3" w:rsidRPr="00116729" w:rsidRDefault="001A3CF3" w:rsidP="001A3CF3">
            <w:pPr>
              <w:spacing w:after="0" w:line="240" w:lineRule="auto"/>
              <w:rPr>
                <w:rFonts w:ascii="Times New Roman" w:eastAsia="Times New Roman" w:hAnsi="Times New Roman" w:cs="Times New Roman"/>
                <w:sz w:val="20"/>
                <w:szCs w:val="20"/>
                <w:lang w:eastAsia="pt-BR"/>
              </w:rPr>
            </w:pPr>
          </w:p>
        </w:tc>
      </w:tr>
      <w:tr w:rsidR="001A3CF3" w:rsidRPr="00116729" w14:paraId="33BD9FB1" w14:textId="77777777" w:rsidTr="00F7132F">
        <w:trPr>
          <w:trHeight w:val="22"/>
        </w:trPr>
        <w:tc>
          <w:tcPr>
            <w:tcW w:w="5493" w:type="dxa"/>
            <w:tcBorders>
              <w:top w:val="nil"/>
              <w:left w:val="nil"/>
              <w:bottom w:val="nil"/>
              <w:right w:val="nil"/>
            </w:tcBorders>
            <w:shd w:val="clear" w:color="auto" w:fill="auto"/>
            <w:noWrap/>
            <w:vAlign w:val="center"/>
            <w:hideMark/>
          </w:tcPr>
          <w:p w14:paraId="643C6439" w14:textId="77777777" w:rsidR="001A3CF3" w:rsidRPr="00F7132F" w:rsidRDefault="001A3CF3" w:rsidP="001A3CF3">
            <w:pPr>
              <w:spacing w:after="0" w:line="240" w:lineRule="auto"/>
              <w:rPr>
                <w:rFonts w:ascii="Verdana" w:eastAsia="Times New Roman" w:hAnsi="Verdana" w:cs="Calibri"/>
                <w:b/>
                <w:sz w:val="18"/>
                <w:szCs w:val="18"/>
                <w:lang w:eastAsia="pt-BR"/>
              </w:rPr>
            </w:pPr>
            <w:r w:rsidRPr="00F7132F">
              <w:rPr>
                <w:rFonts w:ascii="Verdana" w:eastAsia="Times New Roman" w:hAnsi="Verdana" w:cs="Calibri"/>
                <w:b/>
                <w:sz w:val="18"/>
                <w:szCs w:val="18"/>
                <w:lang w:eastAsia="pt-BR"/>
              </w:rPr>
              <w:t>PASSIVOS FINANCEIROS</w:t>
            </w:r>
          </w:p>
        </w:tc>
        <w:tc>
          <w:tcPr>
            <w:tcW w:w="209" w:type="dxa"/>
            <w:tcBorders>
              <w:top w:val="nil"/>
              <w:left w:val="nil"/>
              <w:bottom w:val="nil"/>
              <w:right w:val="nil"/>
            </w:tcBorders>
            <w:shd w:val="clear" w:color="auto" w:fill="auto"/>
            <w:noWrap/>
            <w:vAlign w:val="center"/>
            <w:hideMark/>
          </w:tcPr>
          <w:p w14:paraId="7BDDCF3F" w14:textId="77777777" w:rsidR="001A3CF3" w:rsidRPr="00F7132F" w:rsidRDefault="001A3CF3" w:rsidP="001A3CF3">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701" w:type="dxa"/>
            <w:tcBorders>
              <w:top w:val="nil"/>
              <w:left w:val="nil"/>
              <w:bottom w:val="nil"/>
              <w:right w:val="nil"/>
            </w:tcBorders>
            <w:shd w:val="clear" w:color="auto" w:fill="auto"/>
            <w:noWrap/>
            <w:vAlign w:val="center"/>
            <w:hideMark/>
          </w:tcPr>
          <w:p w14:paraId="07649D59" w14:textId="77777777" w:rsidR="001A3CF3" w:rsidRPr="00F7132F" w:rsidRDefault="001A3CF3" w:rsidP="001A3CF3">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09" w:type="dxa"/>
            <w:tcBorders>
              <w:top w:val="nil"/>
              <w:left w:val="nil"/>
              <w:bottom w:val="nil"/>
              <w:right w:val="nil"/>
            </w:tcBorders>
            <w:shd w:val="clear" w:color="auto" w:fill="auto"/>
            <w:noWrap/>
            <w:vAlign w:val="center"/>
            <w:hideMark/>
          </w:tcPr>
          <w:p w14:paraId="39F523BE" w14:textId="77777777" w:rsidR="001A3CF3" w:rsidRPr="00F7132F" w:rsidRDefault="001A3CF3" w:rsidP="001A3CF3">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701" w:type="dxa"/>
            <w:tcBorders>
              <w:top w:val="nil"/>
              <w:left w:val="nil"/>
              <w:bottom w:val="nil"/>
              <w:right w:val="nil"/>
            </w:tcBorders>
            <w:shd w:val="clear" w:color="auto" w:fill="auto"/>
            <w:noWrap/>
            <w:vAlign w:val="center"/>
            <w:hideMark/>
          </w:tcPr>
          <w:p w14:paraId="0C6903A6" w14:textId="77777777" w:rsidR="001A3CF3" w:rsidRPr="00F7132F" w:rsidRDefault="001A3CF3" w:rsidP="001A3CF3">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r>
      <w:tr w:rsidR="001A3CF3" w:rsidRPr="00116729" w14:paraId="46041EEB" w14:textId="77777777" w:rsidTr="00F7132F">
        <w:trPr>
          <w:trHeight w:val="22"/>
        </w:trPr>
        <w:tc>
          <w:tcPr>
            <w:tcW w:w="5493" w:type="dxa"/>
            <w:tcBorders>
              <w:top w:val="nil"/>
              <w:left w:val="nil"/>
              <w:bottom w:val="single" w:sz="4" w:space="0" w:color="auto"/>
              <w:right w:val="nil"/>
            </w:tcBorders>
            <w:shd w:val="clear" w:color="auto" w:fill="auto"/>
            <w:noWrap/>
            <w:vAlign w:val="center"/>
            <w:hideMark/>
          </w:tcPr>
          <w:p w14:paraId="0CA41F79" w14:textId="77777777" w:rsidR="001A3CF3" w:rsidRPr="00F7132F" w:rsidRDefault="001A3CF3" w:rsidP="001A3CF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Custo amortizado</w:t>
            </w:r>
          </w:p>
        </w:tc>
        <w:tc>
          <w:tcPr>
            <w:tcW w:w="209" w:type="dxa"/>
            <w:tcBorders>
              <w:top w:val="nil"/>
              <w:left w:val="nil"/>
              <w:bottom w:val="nil"/>
              <w:right w:val="nil"/>
            </w:tcBorders>
            <w:shd w:val="clear" w:color="auto" w:fill="auto"/>
            <w:noWrap/>
            <w:vAlign w:val="center"/>
            <w:hideMark/>
          </w:tcPr>
          <w:p w14:paraId="0F581417" w14:textId="77777777" w:rsidR="001A3CF3" w:rsidRPr="00F7132F" w:rsidRDefault="001A3CF3" w:rsidP="001A3CF3">
            <w:pPr>
              <w:spacing w:after="0" w:line="240" w:lineRule="auto"/>
              <w:rPr>
                <w:rFonts w:ascii="Verdana" w:eastAsia="Times New Roman" w:hAnsi="Verdana" w:cs="Calibri"/>
                <w:sz w:val="18"/>
                <w:szCs w:val="18"/>
                <w:lang w:eastAsia="pt-BR"/>
              </w:rPr>
            </w:pPr>
          </w:p>
        </w:tc>
        <w:tc>
          <w:tcPr>
            <w:tcW w:w="1701" w:type="dxa"/>
            <w:tcBorders>
              <w:top w:val="nil"/>
              <w:left w:val="nil"/>
              <w:bottom w:val="single" w:sz="4" w:space="0" w:color="auto"/>
              <w:right w:val="nil"/>
            </w:tcBorders>
            <w:shd w:val="clear" w:color="auto" w:fill="auto"/>
            <w:noWrap/>
            <w:vAlign w:val="center"/>
            <w:hideMark/>
          </w:tcPr>
          <w:p w14:paraId="4107737F" w14:textId="77777777" w:rsidR="001A3CF3" w:rsidRPr="00F7132F" w:rsidRDefault="001A3CF3" w:rsidP="001A3CF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2.661.257 </w:t>
            </w:r>
          </w:p>
        </w:tc>
        <w:tc>
          <w:tcPr>
            <w:tcW w:w="209" w:type="dxa"/>
            <w:tcBorders>
              <w:top w:val="nil"/>
              <w:left w:val="nil"/>
              <w:bottom w:val="nil"/>
              <w:right w:val="nil"/>
            </w:tcBorders>
            <w:shd w:val="clear" w:color="auto" w:fill="auto"/>
            <w:noWrap/>
            <w:vAlign w:val="center"/>
            <w:hideMark/>
          </w:tcPr>
          <w:p w14:paraId="55E6B15E" w14:textId="77777777" w:rsidR="001A3CF3" w:rsidRPr="00F7132F" w:rsidRDefault="001A3CF3" w:rsidP="001A3CF3">
            <w:pPr>
              <w:spacing w:after="0" w:line="240" w:lineRule="auto"/>
              <w:jc w:val="right"/>
              <w:rPr>
                <w:rFonts w:ascii="Verdana" w:eastAsia="Times New Roman" w:hAnsi="Verdana" w:cs="Calibri"/>
                <w:sz w:val="18"/>
                <w:szCs w:val="18"/>
                <w:lang w:eastAsia="pt-BR"/>
              </w:rPr>
            </w:pPr>
          </w:p>
        </w:tc>
        <w:tc>
          <w:tcPr>
            <w:tcW w:w="1701" w:type="dxa"/>
            <w:tcBorders>
              <w:top w:val="nil"/>
              <w:left w:val="nil"/>
              <w:bottom w:val="single" w:sz="4" w:space="0" w:color="auto"/>
              <w:right w:val="nil"/>
            </w:tcBorders>
            <w:shd w:val="clear" w:color="auto" w:fill="auto"/>
            <w:noWrap/>
            <w:vAlign w:val="center"/>
            <w:hideMark/>
          </w:tcPr>
          <w:p w14:paraId="0E2F4203" w14:textId="77777777" w:rsidR="001A3CF3" w:rsidRPr="00F7132F" w:rsidRDefault="001A3CF3" w:rsidP="001A3CF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10.745.397 </w:t>
            </w:r>
          </w:p>
        </w:tc>
      </w:tr>
      <w:tr w:rsidR="001A3CF3" w:rsidRPr="00116729" w14:paraId="43AEFB4E" w14:textId="77777777" w:rsidTr="00F7132F">
        <w:trPr>
          <w:trHeight w:val="22"/>
        </w:trPr>
        <w:tc>
          <w:tcPr>
            <w:tcW w:w="5493" w:type="dxa"/>
            <w:tcBorders>
              <w:top w:val="nil"/>
              <w:left w:val="nil"/>
              <w:bottom w:val="nil"/>
              <w:right w:val="nil"/>
            </w:tcBorders>
            <w:shd w:val="clear" w:color="auto" w:fill="auto"/>
            <w:noWrap/>
            <w:vAlign w:val="center"/>
            <w:hideMark/>
          </w:tcPr>
          <w:p w14:paraId="2722EF32" w14:textId="77777777" w:rsidR="001A3CF3" w:rsidRPr="00F7132F" w:rsidRDefault="001A3CF3" w:rsidP="001A3CF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Fornecedores</w:t>
            </w:r>
          </w:p>
        </w:tc>
        <w:tc>
          <w:tcPr>
            <w:tcW w:w="209" w:type="dxa"/>
            <w:tcBorders>
              <w:top w:val="nil"/>
              <w:left w:val="nil"/>
              <w:bottom w:val="nil"/>
              <w:right w:val="nil"/>
            </w:tcBorders>
            <w:shd w:val="clear" w:color="auto" w:fill="auto"/>
            <w:noWrap/>
            <w:vAlign w:val="center"/>
            <w:hideMark/>
          </w:tcPr>
          <w:p w14:paraId="023F1222" w14:textId="77777777" w:rsidR="001A3CF3" w:rsidRPr="00F7132F" w:rsidRDefault="001A3CF3" w:rsidP="001A3CF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701" w:type="dxa"/>
            <w:tcBorders>
              <w:top w:val="nil"/>
              <w:left w:val="nil"/>
              <w:bottom w:val="nil"/>
              <w:right w:val="nil"/>
            </w:tcBorders>
            <w:shd w:val="clear" w:color="auto" w:fill="auto"/>
            <w:noWrap/>
            <w:vAlign w:val="center"/>
            <w:hideMark/>
          </w:tcPr>
          <w:p w14:paraId="48A741F9" w14:textId="77777777" w:rsidR="001A3CF3" w:rsidRPr="00F7132F" w:rsidRDefault="001A3CF3" w:rsidP="001A3CF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1.335.190 </w:t>
            </w:r>
          </w:p>
        </w:tc>
        <w:tc>
          <w:tcPr>
            <w:tcW w:w="209" w:type="dxa"/>
            <w:tcBorders>
              <w:top w:val="nil"/>
              <w:left w:val="nil"/>
              <w:bottom w:val="nil"/>
              <w:right w:val="nil"/>
            </w:tcBorders>
            <w:shd w:val="clear" w:color="auto" w:fill="auto"/>
            <w:noWrap/>
            <w:vAlign w:val="center"/>
            <w:hideMark/>
          </w:tcPr>
          <w:p w14:paraId="539AB9F6" w14:textId="77777777" w:rsidR="001A3CF3" w:rsidRPr="00F7132F" w:rsidRDefault="001A3CF3" w:rsidP="001A3CF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701" w:type="dxa"/>
            <w:tcBorders>
              <w:top w:val="nil"/>
              <w:left w:val="nil"/>
              <w:bottom w:val="nil"/>
              <w:right w:val="nil"/>
            </w:tcBorders>
            <w:shd w:val="clear" w:color="auto" w:fill="auto"/>
            <w:noWrap/>
            <w:vAlign w:val="center"/>
            <w:hideMark/>
          </w:tcPr>
          <w:p w14:paraId="71DCEE4D" w14:textId="77777777" w:rsidR="001A3CF3" w:rsidRPr="00F7132F" w:rsidRDefault="001A3CF3" w:rsidP="001A3CF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2.236.301 </w:t>
            </w:r>
          </w:p>
        </w:tc>
      </w:tr>
      <w:tr w:rsidR="001A3CF3" w:rsidRPr="00116729" w14:paraId="3BF7587D" w14:textId="77777777" w:rsidTr="00F7132F">
        <w:trPr>
          <w:trHeight w:val="22"/>
        </w:trPr>
        <w:tc>
          <w:tcPr>
            <w:tcW w:w="5493" w:type="dxa"/>
            <w:tcBorders>
              <w:top w:val="nil"/>
              <w:left w:val="nil"/>
              <w:bottom w:val="nil"/>
              <w:right w:val="nil"/>
            </w:tcBorders>
            <w:shd w:val="clear" w:color="auto" w:fill="auto"/>
            <w:noWrap/>
            <w:vAlign w:val="center"/>
            <w:hideMark/>
          </w:tcPr>
          <w:p w14:paraId="2AEBB894" w14:textId="77777777" w:rsidR="001A3CF3" w:rsidRPr="00F7132F" w:rsidRDefault="001A3CF3" w:rsidP="001A3CF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Empréstimos e Financiamentos</w:t>
            </w:r>
          </w:p>
        </w:tc>
        <w:tc>
          <w:tcPr>
            <w:tcW w:w="209" w:type="dxa"/>
            <w:tcBorders>
              <w:top w:val="nil"/>
              <w:left w:val="nil"/>
              <w:bottom w:val="nil"/>
              <w:right w:val="nil"/>
            </w:tcBorders>
            <w:shd w:val="clear" w:color="auto" w:fill="auto"/>
            <w:noWrap/>
            <w:vAlign w:val="center"/>
            <w:hideMark/>
          </w:tcPr>
          <w:p w14:paraId="3014C60E" w14:textId="77777777" w:rsidR="001A3CF3" w:rsidRPr="00F7132F" w:rsidRDefault="001A3CF3" w:rsidP="001A3CF3">
            <w:pPr>
              <w:spacing w:after="0" w:line="240" w:lineRule="auto"/>
              <w:rPr>
                <w:rFonts w:ascii="Verdana" w:eastAsia="Times New Roman" w:hAnsi="Verdana" w:cs="Calibri"/>
                <w:sz w:val="18"/>
                <w:szCs w:val="18"/>
                <w:lang w:eastAsia="pt-BR"/>
              </w:rPr>
            </w:pPr>
          </w:p>
        </w:tc>
        <w:tc>
          <w:tcPr>
            <w:tcW w:w="1701" w:type="dxa"/>
            <w:tcBorders>
              <w:top w:val="nil"/>
              <w:left w:val="nil"/>
              <w:bottom w:val="nil"/>
              <w:right w:val="nil"/>
            </w:tcBorders>
            <w:shd w:val="clear" w:color="auto" w:fill="auto"/>
            <w:noWrap/>
            <w:vAlign w:val="center"/>
            <w:hideMark/>
          </w:tcPr>
          <w:p w14:paraId="27FEDB15" w14:textId="77777777" w:rsidR="001A3CF3" w:rsidRPr="00F7132F" w:rsidRDefault="001A3CF3" w:rsidP="001A3CF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209" w:type="dxa"/>
            <w:tcBorders>
              <w:top w:val="nil"/>
              <w:left w:val="nil"/>
              <w:bottom w:val="nil"/>
              <w:right w:val="nil"/>
            </w:tcBorders>
            <w:shd w:val="clear" w:color="auto" w:fill="auto"/>
            <w:noWrap/>
            <w:vAlign w:val="center"/>
            <w:hideMark/>
          </w:tcPr>
          <w:p w14:paraId="77277FDB" w14:textId="77777777" w:rsidR="001A3CF3" w:rsidRPr="00F7132F" w:rsidRDefault="001A3CF3" w:rsidP="001A3CF3">
            <w:pPr>
              <w:spacing w:after="0" w:line="240" w:lineRule="auto"/>
              <w:jc w:val="right"/>
              <w:rPr>
                <w:rFonts w:ascii="Verdana" w:eastAsia="Times New Roman" w:hAnsi="Verdana" w:cs="Calibri"/>
                <w:sz w:val="18"/>
                <w:szCs w:val="18"/>
                <w:lang w:eastAsia="pt-BR"/>
              </w:rPr>
            </w:pPr>
          </w:p>
        </w:tc>
        <w:tc>
          <w:tcPr>
            <w:tcW w:w="1701" w:type="dxa"/>
            <w:tcBorders>
              <w:top w:val="nil"/>
              <w:left w:val="nil"/>
              <w:bottom w:val="nil"/>
              <w:right w:val="nil"/>
            </w:tcBorders>
            <w:shd w:val="clear" w:color="auto" w:fill="auto"/>
            <w:noWrap/>
            <w:vAlign w:val="center"/>
            <w:hideMark/>
          </w:tcPr>
          <w:p w14:paraId="4160DC7C" w14:textId="77777777" w:rsidR="001A3CF3" w:rsidRPr="00F7132F" w:rsidRDefault="001A3CF3" w:rsidP="001A3CF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7.176.633 </w:t>
            </w:r>
          </w:p>
        </w:tc>
      </w:tr>
      <w:tr w:rsidR="001A3CF3" w:rsidRPr="00116729" w14:paraId="3A2A5379" w14:textId="77777777" w:rsidTr="00F7132F">
        <w:trPr>
          <w:trHeight w:val="22"/>
        </w:trPr>
        <w:tc>
          <w:tcPr>
            <w:tcW w:w="5493" w:type="dxa"/>
            <w:tcBorders>
              <w:top w:val="nil"/>
              <w:left w:val="nil"/>
              <w:bottom w:val="nil"/>
              <w:right w:val="nil"/>
            </w:tcBorders>
            <w:shd w:val="clear" w:color="auto" w:fill="auto"/>
            <w:noWrap/>
            <w:vAlign w:val="center"/>
            <w:hideMark/>
          </w:tcPr>
          <w:p w14:paraId="1B0A8C47" w14:textId="77777777" w:rsidR="001A3CF3" w:rsidRPr="00F7132F" w:rsidRDefault="001A3CF3" w:rsidP="001A3CF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Arrendamentos</w:t>
            </w:r>
          </w:p>
        </w:tc>
        <w:tc>
          <w:tcPr>
            <w:tcW w:w="209" w:type="dxa"/>
            <w:tcBorders>
              <w:top w:val="nil"/>
              <w:left w:val="nil"/>
              <w:bottom w:val="nil"/>
              <w:right w:val="nil"/>
            </w:tcBorders>
            <w:shd w:val="clear" w:color="auto" w:fill="auto"/>
            <w:noWrap/>
            <w:vAlign w:val="center"/>
            <w:hideMark/>
          </w:tcPr>
          <w:p w14:paraId="7EB44399" w14:textId="77777777" w:rsidR="001A3CF3" w:rsidRPr="00F7132F" w:rsidRDefault="001A3CF3" w:rsidP="001A3CF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701" w:type="dxa"/>
            <w:tcBorders>
              <w:top w:val="nil"/>
              <w:left w:val="nil"/>
              <w:bottom w:val="nil"/>
              <w:right w:val="nil"/>
            </w:tcBorders>
            <w:shd w:val="clear" w:color="auto" w:fill="auto"/>
            <w:noWrap/>
            <w:vAlign w:val="center"/>
            <w:hideMark/>
          </w:tcPr>
          <w:p w14:paraId="6492538B" w14:textId="77777777" w:rsidR="001A3CF3" w:rsidRPr="00F7132F" w:rsidRDefault="001A3CF3" w:rsidP="001A3CF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8.508 </w:t>
            </w:r>
          </w:p>
        </w:tc>
        <w:tc>
          <w:tcPr>
            <w:tcW w:w="209" w:type="dxa"/>
            <w:tcBorders>
              <w:top w:val="nil"/>
              <w:left w:val="nil"/>
              <w:bottom w:val="nil"/>
              <w:right w:val="nil"/>
            </w:tcBorders>
            <w:shd w:val="clear" w:color="auto" w:fill="auto"/>
            <w:noWrap/>
            <w:vAlign w:val="center"/>
            <w:hideMark/>
          </w:tcPr>
          <w:p w14:paraId="5C9BEB36" w14:textId="77777777" w:rsidR="001A3CF3" w:rsidRPr="00F7132F" w:rsidRDefault="001A3CF3" w:rsidP="001A3CF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701" w:type="dxa"/>
            <w:tcBorders>
              <w:top w:val="nil"/>
              <w:left w:val="nil"/>
              <w:bottom w:val="nil"/>
              <w:right w:val="nil"/>
            </w:tcBorders>
            <w:shd w:val="clear" w:color="auto" w:fill="auto"/>
            <w:noWrap/>
            <w:vAlign w:val="center"/>
            <w:hideMark/>
          </w:tcPr>
          <w:p w14:paraId="649B7026" w14:textId="77777777" w:rsidR="001A3CF3" w:rsidRPr="00F7132F" w:rsidRDefault="001A3CF3" w:rsidP="001A3CF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14.904 </w:t>
            </w:r>
          </w:p>
        </w:tc>
      </w:tr>
      <w:tr w:rsidR="001A3CF3" w:rsidRPr="00116729" w14:paraId="06EB7C5A" w14:textId="77777777" w:rsidTr="00F7132F">
        <w:trPr>
          <w:trHeight w:val="22"/>
        </w:trPr>
        <w:tc>
          <w:tcPr>
            <w:tcW w:w="5493" w:type="dxa"/>
            <w:tcBorders>
              <w:top w:val="nil"/>
              <w:left w:val="nil"/>
              <w:bottom w:val="nil"/>
              <w:right w:val="nil"/>
            </w:tcBorders>
            <w:shd w:val="clear" w:color="auto" w:fill="auto"/>
            <w:noWrap/>
            <w:vAlign w:val="center"/>
            <w:hideMark/>
          </w:tcPr>
          <w:p w14:paraId="04D1117E" w14:textId="77777777" w:rsidR="001A3CF3" w:rsidRPr="00F7132F" w:rsidRDefault="001A3CF3" w:rsidP="001A3CF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Contas a pagar aquisição de investimentos</w:t>
            </w:r>
          </w:p>
        </w:tc>
        <w:tc>
          <w:tcPr>
            <w:tcW w:w="209" w:type="dxa"/>
            <w:tcBorders>
              <w:top w:val="nil"/>
              <w:left w:val="nil"/>
              <w:bottom w:val="nil"/>
              <w:right w:val="nil"/>
            </w:tcBorders>
            <w:shd w:val="clear" w:color="auto" w:fill="auto"/>
            <w:noWrap/>
            <w:vAlign w:val="center"/>
            <w:hideMark/>
          </w:tcPr>
          <w:p w14:paraId="6398BBA7" w14:textId="77777777" w:rsidR="001A3CF3" w:rsidRPr="00F7132F" w:rsidRDefault="001A3CF3" w:rsidP="001A3CF3">
            <w:pPr>
              <w:spacing w:after="0" w:line="240" w:lineRule="auto"/>
              <w:rPr>
                <w:rFonts w:ascii="Verdana" w:eastAsia="Times New Roman" w:hAnsi="Verdana" w:cs="Calibri"/>
                <w:sz w:val="18"/>
                <w:szCs w:val="18"/>
                <w:lang w:eastAsia="pt-BR"/>
              </w:rPr>
            </w:pPr>
          </w:p>
        </w:tc>
        <w:tc>
          <w:tcPr>
            <w:tcW w:w="1701" w:type="dxa"/>
            <w:tcBorders>
              <w:top w:val="nil"/>
              <w:left w:val="nil"/>
              <w:bottom w:val="nil"/>
              <w:right w:val="nil"/>
            </w:tcBorders>
            <w:shd w:val="clear" w:color="auto" w:fill="auto"/>
            <w:noWrap/>
            <w:vAlign w:val="center"/>
            <w:hideMark/>
          </w:tcPr>
          <w:p w14:paraId="7563EE4D" w14:textId="77777777" w:rsidR="001A3CF3" w:rsidRPr="00F7132F" w:rsidRDefault="001A3CF3" w:rsidP="001A3CF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1.317.559 </w:t>
            </w:r>
          </w:p>
        </w:tc>
        <w:tc>
          <w:tcPr>
            <w:tcW w:w="209" w:type="dxa"/>
            <w:tcBorders>
              <w:top w:val="nil"/>
              <w:left w:val="nil"/>
              <w:bottom w:val="nil"/>
              <w:right w:val="nil"/>
            </w:tcBorders>
            <w:shd w:val="clear" w:color="auto" w:fill="auto"/>
            <w:noWrap/>
            <w:vAlign w:val="center"/>
            <w:hideMark/>
          </w:tcPr>
          <w:p w14:paraId="15B9EAC0" w14:textId="77777777" w:rsidR="001A3CF3" w:rsidRPr="00F7132F" w:rsidRDefault="001A3CF3" w:rsidP="001A3CF3">
            <w:pPr>
              <w:spacing w:after="0" w:line="240" w:lineRule="auto"/>
              <w:jc w:val="right"/>
              <w:rPr>
                <w:rFonts w:ascii="Verdana" w:eastAsia="Times New Roman" w:hAnsi="Verdana" w:cs="Calibri"/>
                <w:sz w:val="18"/>
                <w:szCs w:val="18"/>
                <w:lang w:eastAsia="pt-BR"/>
              </w:rPr>
            </w:pPr>
          </w:p>
        </w:tc>
        <w:tc>
          <w:tcPr>
            <w:tcW w:w="1701" w:type="dxa"/>
            <w:tcBorders>
              <w:top w:val="nil"/>
              <w:left w:val="nil"/>
              <w:bottom w:val="nil"/>
              <w:right w:val="nil"/>
            </w:tcBorders>
            <w:shd w:val="clear" w:color="auto" w:fill="auto"/>
            <w:noWrap/>
            <w:vAlign w:val="center"/>
            <w:hideMark/>
          </w:tcPr>
          <w:p w14:paraId="186F7516" w14:textId="77777777" w:rsidR="001A3CF3" w:rsidRPr="00F7132F" w:rsidRDefault="001A3CF3" w:rsidP="001A3CF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1.317.559 </w:t>
            </w:r>
          </w:p>
        </w:tc>
      </w:tr>
    </w:tbl>
    <w:p w14:paraId="130E3462" w14:textId="77777777" w:rsidR="00A0648E" w:rsidRPr="00116729" w:rsidRDefault="00A0648E" w:rsidP="00C144BB">
      <w:pPr>
        <w:spacing w:after="0"/>
        <w:rPr>
          <w:rFonts w:ascii="Verdana" w:hAnsi="Verdana" w:cstheme="minorHAnsi"/>
          <w:noProof/>
          <w:lang w:eastAsia="pt-BR"/>
        </w:rPr>
      </w:pPr>
    </w:p>
    <w:p w14:paraId="22FC431C" w14:textId="77777777" w:rsidR="005525D1" w:rsidRPr="00F7132F" w:rsidRDefault="00AD7DA9" w:rsidP="005C2926">
      <w:pPr>
        <w:pStyle w:val="Default"/>
        <w:spacing w:after="160"/>
        <w:jc w:val="both"/>
        <w:rPr>
          <w:rFonts w:eastAsiaTheme="minorHAnsi" w:cstheme="minorHAnsi"/>
          <w:b/>
          <w:bCs/>
          <w:color w:val="auto"/>
          <w:sz w:val="22"/>
          <w:szCs w:val="22"/>
          <w:lang w:eastAsia="en-US"/>
        </w:rPr>
      </w:pPr>
      <w:r w:rsidRPr="00F7132F">
        <w:rPr>
          <w:rFonts w:eastAsiaTheme="minorHAnsi" w:cstheme="minorHAnsi"/>
          <w:b/>
          <w:bCs/>
          <w:color w:val="auto"/>
          <w:sz w:val="22"/>
          <w:szCs w:val="22"/>
          <w:lang w:eastAsia="en-US"/>
        </w:rPr>
        <w:t>30</w:t>
      </w:r>
      <w:r w:rsidR="005525D1" w:rsidRPr="00F7132F">
        <w:rPr>
          <w:rFonts w:eastAsiaTheme="minorHAnsi" w:cstheme="minorHAnsi"/>
          <w:b/>
          <w:bCs/>
          <w:color w:val="auto"/>
          <w:sz w:val="22"/>
          <w:szCs w:val="22"/>
          <w:lang w:eastAsia="en-US"/>
        </w:rPr>
        <w:t>.3   - Gestão de Riscos Financeiros</w:t>
      </w:r>
    </w:p>
    <w:p w14:paraId="42A742CB" w14:textId="4175CFFD" w:rsidR="005525D1" w:rsidRPr="00116729" w:rsidRDefault="005525D1" w:rsidP="005C2926">
      <w:pPr>
        <w:jc w:val="both"/>
        <w:rPr>
          <w:rFonts w:ascii="Verdana" w:hAnsi="Verdana" w:cstheme="minorHAnsi"/>
        </w:rPr>
      </w:pPr>
      <w:r w:rsidRPr="00116729">
        <w:rPr>
          <w:rFonts w:ascii="Verdana" w:hAnsi="Verdana" w:cstheme="minorHAnsi"/>
        </w:rPr>
        <w:t xml:space="preserve">No exercício de suas atividades a </w:t>
      </w:r>
      <w:r w:rsidR="00A779BB" w:rsidRPr="00116729">
        <w:rPr>
          <w:rFonts w:ascii="Verdana" w:hAnsi="Verdana" w:cstheme="minorHAnsi"/>
        </w:rPr>
        <w:t>C</w:t>
      </w:r>
      <w:r w:rsidR="00A779BB">
        <w:rPr>
          <w:rFonts w:ascii="Verdana" w:hAnsi="Verdana" w:cstheme="minorHAnsi"/>
        </w:rPr>
        <w:t>ontrolada</w:t>
      </w:r>
      <w:r w:rsidR="00A779BB" w:rsidRPr="00116729">
        <w:rPr>
          <w:rFonts w:ascii="Verdana" w:hAnsi="Verdana" w:cstheme="minorHAnsi"/>
        </w:rPr>
        <w:t xml:space="preserve"> </w:t>
      </w:r>
      <w:r w:rsidRPr="00116729">
        <w:rPr>
          <w:rFonts w:ascii="Verdana" w:hAnsi="Verdana" w:cstheme="minorHAnsi"/>
        </w:rPr>
        <w:t xml:space="preserve">é impactada por eventos de riscos que podem comprometer os seus objetivos estratégicos. O gerenciamento de riscos tem como principal objetivo antecipar e minimizar os efeitos adversos de tais eventos nos negócios e resultados econômico-financeiros da Companhia. </w:t>
      </w:r>
    </w:p>
    <w:p w14:paraId="25BA3360" w14:textId="77777777" w:rsidR="005525D1" w:rsidRPr="00116729" w:rsidRDefault="005525D1" w:rsidP="005C2926">
      <w:pPr>
        <w:jc w:val="both"/>
        <w:rPr>
          <w:rFonts w:ascii="Verdana" w:hAnsi="Verdana" w:cstheme="minorHAnsi"/>
        </w:rPr>
      </w:pPr>
      <w:r w:rsidRPr="00116729">
        <w:rPr>
          <w:rFonts w:ascii="Verdana" w:hAnsi="Verdana" w:cstheme="minorHAnsi"/>
        </w:rPr>
        <w:t xml:space="preserve">Para a gestão de riscos financeiros, a Companhia definiu políticas e estratégias operacionais e financeiras, aprovadas por comitês internos e pela administração, que </w:t>
      </w:r>
      <w:r w:rsidRPr="00116729">
        <w:rPr>
          <w:rFonts w:ascii="Verdana" w:hAnsi="Verdana" w:cstheme="minorHAnsi"/>
        </w:rPr>
        <w:lastRenderedPageBreak/>
        <w:t xml:space="preserve">visam conferir liquidez, segurança e rentabilidade a seus ativos e manter os níveis de endividamento e perfil da dívida definidos para os fluxos econômico-financeiros. </w:t>
      </w:r>
    </w:p>
    <w:p w14:paraId="7351A43E" w14:textId="77777777" w:rsidR="005525D1" w:rsidRPr="00116729" w:rsidRDefault="005525D1" w:rsidP="005C2926">
      <w:pPr>
        <w:jc w:val="both"/>
        <w:rPr>
          <w:rFonts w:ascii="Verdana" w:hAnsi="Verdana" w:cstheme="minorHAnsi"/>
        </w:rPr>
      </w:pPr>
      <w:r w:rsidRPr="00116729">
        <w:rPr>
          <w:rFonts w:ascii="Verdana" w:hAnsi="Verdana" w:cstheme="minorHAnsi"/>
        </w:rPr>
        <w:t>As análises de sensibilidade abaixo foram elaboradas tendo como objetivo mensurar o impacto das mudanças nas variáveis de mercado sobre cada instrumento financeiro da Companhia. Tratam-se, portanto, de projeções baseadas em avaliações de cenários macroeconômicos, não significando que as transações terão os valores apresentados no prazo de análise considerado</w:t>
      </w:r>
    </w:p>
    <w:p w14:paraId="1E16CB79" w14:textId="77777777" w:rsidR="005525D1" w:rsidRPr="00116729" w:rsidRDefault="005525D1" w:rsidP="005C2926">
      <w:pPr>
        <w:tabs>
          <w:tab w:val="left" w:pos="426"/>
          <w:tab w:val="left" w:pos="567"/>
          <w:tab w:val="left" w:pos="851"/>
          <w:tab w:val="left" w:pos="1134"/>
          <w:tab w:val="left" w:pos="1418"/>
          <w:tab w:val="left" w:pos="1702"/>
          <w:tab w:val="left" w:pos="1985"/>
          <w:tab w:val="left" w:pos="2269"/>
        </w:tabs>
        <w:jc w:val="both"/>
        <w:rPr>
          <w:rFonts w:ascii="Verdana" w:hAnsi="Verdana" w:cstheme="minorHAnsi"/>
        </w:rPr>
      </w:pPr>
      <w:r w:rsidRPr="00116729">
        <w:rPr>
          <w:rFonts w:ascii="Verdana" w:hAnsi="Verdana" w:cstheme="minorHAnsi"/>
        </w:rPr>
        <w:t>Os principais riscos financeiros identificados no processo de gerenciamento de riscos são:</w:t>
      </w:r>
    </w:p>
    <w:p w14:paraId="6B8898A0" w14:textId="77777777" w:rsidR="005525D1" w:rsidRPr="00F7132F" w:rsidRDefault="00AD7DA9" w:rsidP="005C2926">
      <w:pPr>
        <w:pStyle w:val="Default"/>
        <w:spacing w:after="160"/>
        <w:jc w:val="both"/>
        <w:rPr>
          <w:rFonts w:eastAsiaTheme="minorHAnsi" w:cstheme="minorHAnsi"/>
          <w:b/>
          <w:bCs/>
          <w:color w:val="auto"/>
          <w:sz w:val="22"/>
          <w:szCs w:val="22"/>
          <w:lang w:eastAsia="en-US"/>
        </w:rPr>
      </w:pPr>
      <w:bookmarkStart w:id="5" w:name="_Hlk94194422"/>
      <w:r w:rsidRPr="00F7132F">
        <w:rPr>
          <w:rFonts w:eastAsiaTheme="minorHAnsi" w:cstheme="minorHAnsi"/>
          <w:b/>
          <w:bCs/>
          <w:color w:val="auto"/>
          <w:sz w:val="22"/>
          <w:szCs w:val="22"/>
          <w:lang w:eastAsia="en-US"/>
        </w:rPr>
        <w:t>30</w:t>
      </w:r>
      <w:r w:rsidR="005525D1" w:rsidRPr="00F7132F">
        <w:rPr>
          <w:rFonts w:eastAsiaTheme="minorHAnsi" w:cstheme="minorHAnsi"/>
          <w:b/>
          <w:bCs/>
          <w:color w:val="auto"/>
          <w:sz w:val="22"/>
          <w:szCs w:val="22"/>
          <w:lang w:eastAsia="en-US"/>
        </w:rPr>
        <w:t>.3.1 - Risco de taxa de câmbio</w:t>
      </w:r>
    </w:p>
    <w:p w14:paraId="725430C0" w14:textId="77777777" w:rsidR="005525D1" w:rsidRPr="00F7132F" w:rsidRDefault="005525D1" w:rsidP="005C2926">
      <w:pPr>
        <w:tabs>
          <w:tab w:val="left" w:pos="426"/>
          <w:tab w:val="left" w:pos="567"/>
          <w:tab w:val="left" w:pos="851"/>
          <w:tab w:val="left" w:pos="1134"/>
          <w:tab w:val="left" w:pos="1418"/>
          <w:tab w:val="left" w:pos="1702"/>
          <w:tab w:val="left" w:pos="1985"/>
          <w:tab w:val="left" w:pos="2269"/>
        </w:tabs>
        <w:jc w:val="both"/>
        <w:rPr>
          <w:rFonts w:ascii="Verdana" w:hAnsi="Verdana" w:cstheme="minorHAnsi"/>
          <w:vanish/>
        </w:rPr>
      </w:pPr>
    </w:p>
    <w:p w14:paraId="22DF350E" w14:textId="77777777" w:rsidR="005525D1" w:rsidRPr="00F7132F" w:rsidRDefault="005525D1" w:rsidP="005C2926">
      <w:pPr>
        <w:pStyle w:val="PargrafodaLista"/>
        <w:numPr>
          <w:ilvl w:val="1"/>
          <w:numId w:val="13"/>
        </w:numPr>
        <w:autoSpaceDE w:val="0"/>
        <w:autoSpaceDN w:val="0"/>
        <w:adjustRightInd w:val="0"/>
        <w:spacing w:after="160"/>
        <w:ind w:left="0"/>
        <w:rPr>
          <w:rFonts w:ascii="Verdana" w:hAnsi="Verdana" w:cstheme="minorHAnsi"/>
          <w:vanish/>
          <w:szCs w:val="22"/>
        </w:rPr>
      </w:pPr>
    </w:p>
    <w:bookmarkEnd w:id="5"/>
    <w:p w14:paraId="680324F0" w14:textId="7D076907" w:rsidR="005525D1" w:rsidRPr="00116729" w:rsidRDefault="005525D1" w:rsidP="005C2926">
      <w:pPr>
        <w:jc w:val="both"/>
        <w:rPr>
          <w:rFonts w:ascii="Verdana" w:hAnsi="Verdana" w:cstheme="minorHAnsi"/>
        </w:rPr>
      </w:pPr>
      <w:r w:rsidRPr="00116729">
        <w:rPr>
          <w:rFonts w:ascii="Verdana" w:hAnsi="Verdana" w:cstheme="minorHAnsi"/>
        </w:rPr>
        <w:t xml:space="preserve">Esse risco decorre da possibilidade de a </w:t>
      </w:r>
      <w:r w:rsidR="00A779BB" w:rsidRPr="00116729">
        <w:rPr>
          <w:rFonts w:ascii="Verdana" w:hAnsi="Verdana" w:cstheme="minorHAnsi"/>
        </w:rPr>
        <w:t>C</w:t>
      </w:r>
      <w:r w:rsidR="00A779BB">
        <w:rPr>
          <w:rFonts w:ascii="Verdana" w:hAnsi="Verdana" w:cstheme="minorHAnsi"/>
        </w:rPr>
        <w:t>ontrolada</w:t>
      </w:r>
      <w:r w:rsidR="00A779BB" w:rsidRPr="00116729">
        <w:rPr>
          <w:rFonts w:ascii="Verdana" w:hAnsi="Verdana" w:cstheme="minorHAnsi"/>
        </w:rPr>
        <w:t xml:space="preserve"> </w:t>
      </w:r>
      <w:r w:rsidRPr="00116729">
        <w:rPr>
          <w:rFonts w:ascii="Verdana" w:hAnsi="Verdana" w:cstheme="minorHAnsi"/>
        </w:rPr>
        <w:t xml:space="preserve">ter seus demonstrativos econômico-financeiros impactados por flutuações nas taxas de câmbio. A Companhia apresenta exposição entre ativos e passivos indexados à moeda estrangeira, em especial ao dólar norte americano e euro, que causam volatilidade nos seus resultados bem como em seu fluxo de caixa. </w:t>
      </w:r>
    </w:p>
    <w:p w14:paraId="5BACF6A2" w14:textId="77777777" w:rsidR="005525D1" w:rsidRPr="00116729" w:rsidRDefault="005525D1" w:rsidP="00014731">
      <w:pPr>
        <w:jc w:val="both"/>
        <w:rPr>
          <w:rFonts w:ascii="Verdana" w:hAnsi="Verdana" w:cstheme="minorHAnsi"/>
        </w:rPr>
      </w:pPr>
      <w:r w:rsidRPr="00116729">
        <w:rPr>
          <w:rFonts w:ascii="Verdana" w:hAnsi="Verdana" w:cstheme="minorHAnsi"/>
        </w:rPr>
        <w:t xml:space="preserve">A </w:t>
      </w:r>
      <w:r w:rsidR="00E12154" w:rsidRPr="00116729">
        <w:rPr>
          <w:rFonts w:ascii="Verdana" w:hAnsi="Verdana" w:cstheme="minorHAnsi"/>
        </w:rPr>
        <w:t>Eletronuclear</w:t>
      </w:r>
      <w:r w:rsidRPr="00116729">
        <w:rPr>
          <w:rFonts w:ascii="Verdana" w:hAnsi="Verdana" w:cstheme="minorHAnsi"/>
        </w:rPr>
        <w:t xml:space="preserve"> possui uma Política de</w:t>
      </w:r>
      <w:r w:rsidRPr="00116729">
        <w:rPr>
          <w:rFonts w:ascii="Verdana" w:hAnsi="Verdana" w:cstheme="minorHAnsi"/>
          <w:i/>
          <w:iCs/>
        </w:rPr>
        <w:t xml:space="preserve"> Hedge</w:t>
      </w:r>
      <w:r w:rsidRPr="00116729">
        <w:rPr>
          <w:rFonts w:ascii="Verdana" w:hAnsi="Verdana" w:cstheme="minorHAnsi"/>
        </w:rPr>
        <w:t xml:space="preserve"> Financeiro cujo objetivo é monitorar e mitigar a exposição às variáveis de mercado que impactem seus ativos e passivos, reduzindo assim os efeitos de flutuações indesejáveis destas variáveis em suas demonstrações financeiras.</w:t>
      </w:r>
    </w:p>
    <w:p w14:paraId="157E90D3" w14:textId="77777777" w:rsidR="005525D1" w:rsidRDefault="005525D1" w:rsidP="00014731">
      <w:pPr>
        <w:jc w:val="both"/>
        <w:rPr>
          <w:rFonts w:ascii="Verdana" w:hAnsi="Verdana" w:cstheme="minorHAnsi"/>
        </w:rPr>
      </w:pPr>
      <w:r w:rsidRPr="00116729">
        <w:rPr>
          <w:rFonts w:ascii="Verdana" w:hAnsi="Verdana" w:cstheme="minorHAnsi"/>
        </w:rPr>
        <w:t>A referida política, portanto, visa que os resultados da Companhia reflitam fielmente o seu real desempenho operacional e que o seu fluxo de caixa projetado apresente menor volatilidade.</w:t>
      </w:r>
    </w:p>
    <w:p w14:paraId="3386BEAD" w14:textId="77777777" w:rsidR="00A610F5" w:rsidRPr="00A610F5" w:rsidRDefault="00C144BB" w:rsidP="00014731">
      <w:pPr>
        <w:jc w:val="both"/>
        <w:rPr>
          <w:rFonts w:ascii="Verdana" w:hAnsi="Verdana" w:cstheme="minorHAnsi"/>
        </w:rPr>
      </w:pPr>
      <w:r w:rsidRPr="00C144BB">
        <w:rPr>
          <w:rFonts w:ascii="Verdana" w:hAnsi="Verdana" w:cstheme="minorHAnsi"/>
        </w:rPr>
        <w:t>A</w:t>
      </w:r>
      <w:r w:rsidR="00A610F5" w:rsidRPr="00C144BB">
        <w:rPr>
          <w:rFonts w:ascii="Verdana" w:hAnsi="Verdana" w:cstheme="minorHAnsi"/>
        </w:rPr>
        <w:t xml:space="preserve"> Controladora </w:t>
      </w:r>
      <w:r w:rsidRPr="00C144BB">
        <w:rPr>
          <w:rFonts w:ascii="Verdana" w:hAnsi="Verdana" w:cstheme="minorHAnsi"/>
        </w:rPr>
        <w:t xml:space="preserve">possui operações passivas relevantes </w:t>
      </w:r>
      <w:r w:rsidR="00A610F5" w:rsidRPr="00C144BB">
        <w:rPr>
          <w:rFonts w:ascii="Verdana" w:hAnsi="Verdana" w:cstheme="minorHAnsi"/>
        </w:rPr>
        <w:t>em dólar,</w:t>
      </w:r>
      <w:r w:rsidRPr="00C144BB">
        <w:rPr>
          <w:rFonts w:ascii="Verdana" w:hAnsi="Verdana" w:cstheme="minorHAnsi"/>
        </w:rPr>
        <w:t xml:space="preserve"> porém há, para grande parcela desse compromisso,</w:t>
      </w:r>
      <w:r w:rsidR="00A610F5" w:rsidRPr="00C144BB">
        <w:rPr>
          <w:rFonts w:ascii="Verdana" w:hAnsi="Verdana" w:cstheme="minorHAnsi"/>
        </w:rPr>
        <w:t xml:space="preserve"> um hedge</w:t>
      </w:r>
      <w:r w:rsidRPr="00C144BB">
        <w:rPr>
          <w:rFonts w:ascii="Verdana" w:hAnsi="Verdana" w:cstheme="minorHAnsi"/>
        </w:rPr>
        <w:t xml:space="preserve"> natural</w:t>
      </w:r>
      <w:r w:rsidR="00A610F5" w:rsidRPr="00C144BB">
        <w:rPr>
          <w:rFonts w:ascii="Verdana" w:hAnsi="Verdana" w:cstheme="minorHAnsi"/>
        </w:rPr>
        <w:t xml:space="preserve">, </w:t>
      </w:r>
      <w:r w:rsidRPr="00C144BB">
        <w:rPr>
          <w:rFonts w:ascii="Verdana" w:hAnsi="Verdana" w:cstheme="minorHAnsi"/>
        </w:rPr>
        <w:t>referente aos recursos de remuneração de capital e ressarcimento de encargos de administração e supervisão recebidos de Itaipu que, também, são em dólar.</w:t>
      </w:r>
    </w:p>
    <w:p w14:paraId="534DCC63" w14:textId="77777777" w:rsidR="005525D1" w:rsidRPr="00116729" w:rsidRDefault="005525D1" w:rsidP="00014731">
      <w:pPr>
        <w:jc w:val="both"/>
        <w:rPr>
          <w:rFonts w:ascii="Verdana" w:hAnsi="Verdana" w:cstheme="minorHAnsi"/>
        </w:rPr>
      </w:pPr>
      <w:r w:rsidRPr="00116729">
        <w:rPr>
          <w:rFonts w:ascii="Verdana" w:hAnsi="Verdana" w:cstheme="minorHAnsi"/>
        </w:rPr>
        <w:t>Considerando as diferentes formas de se realizar o</w:t>
      </w:r>
      <w:r w:rsidRPr="00116729">
        <w:rPr>
          <w:rFonts w:ascii="Verdana" w:hAnsi="Verdana" w:cstheme="minorHAnsi"/>
          <w:i/>
          <w:iCs/>
        </w:rPr>
        <w:t xml:space="preserve"> hedge</w:t>
      </w:r>
      <w:r w:rsidRPr="00116729">
        <w:rPr>
          <w:rFonts w:ascii="Verdana" w:hAnsi="Verdana" w:cstheme="minorHAnsi"/>
        </w:rPr>
        <w:t xml:space="preserve"> dos descasamentos apresentados pela Companhia, a Política elenca uma escala de prioridades, priorizando a solução estrutural, e, apenas para os casos residuais, adoção de operações com instrumentos financeiros derivativos.</w:t>
      </w:r>
    </w:p>
    <w:p w14:paraId="6AA6CE20" w14:textId="06E706B9" w:rsidR="001A3CF3" w:rsidRPr="00116729" w:rsidRDefault="00182CB9" w:rsidP="00014731">
      <w:pPr>
        <w:jc w:val="both"/>
        <w:rPr>
          <w:rFonts w:ascii="Verdana" w:hAnsi="Verdana" w:cstheme="minorHAnsi"/>
          <w:noProof/>
          <w:lang w:eastAsia="pt-BR"/>
        </w:rPr>
      </w:pPr>
      <w:r>
        <w:rPr>
          <w:rFonts w:ascii="Verdana" w:hAnsi="Verdana" w:cstheme="minorHAnsi"/>
        </w:rPr>
        <w:t>Câmbios utilizados na elaboração das demonstrações financeiras</w:t>
      </w:r>
      <w:r w:rsidR="00606C66">
        <w:rPr>
          <w:rFonts w:ascii="Verdana" w:hAnsi="Verdana" w:cstheme="minorHAnsi"/>
        </w:rPr>
        <w:t xml:space="preserve"> intermediárias</w:t>
      </w:r>
      <w:r w:rsidR="005525D1" w:rsidRPr="00116729">
        <w:rPr>
          <w:rFonts w:ascii="Verdana" w:hAnsi="Verdana" w:cstheme="minorHAnsi"/>
        </w:rPr>
        <w:t>:</w:t>
      </w:r>
    </w:p>
    <w:tbl>
      <w:tblPr>
        <w:tblW w:w="4313" w:type="dxa"/>
        <w:tblCellMar>
          <w:left w:w="70" w:type="dxa"/>
          <w:right w:w="70" w:type="dxa"/>
        </w:tblCellMar>
        <w:tblLook w:val="04A0" w:firstRow="1" w:lastRow="0" w:firstColumn="1" w:lastColumn="0" w:noHBand="0" w:noVBand="1"/>
      </w:tblPr>
      <w:tblGrid>
        <w:gridCol w:w="2033"/>
        <w:gridCol w:w="273"/>
        <w:gridCol w:w="2007"/>
      </w:tblGrid>
      <w:tr w:rsidR="001A3CF3" w:rsidRPr="00116729" w14:paraId="267A7A3A" w14:textId="77777777" w:rsidTr="00F7132F">
        <w:trPr>
          <w:trHeight w:val="20"/>
        </w:trPr>
        <w:tc>
          <w:tcPr>
            <w:tcW w:w="4313" w:type="dxa"/>
            <w:gridSpan w:val="3"/>
            <w:tcBorders>
              <w:top w:val="nil"/>
              <w:left w:val="nil"/>
              <w:bottom w:val="single" w:sz="4" w:space="0" w:color="auto"/>
              <w:right w:val="nil"/>
            </w:tcBorders>
            <w:shd w:val="clear" w:color="auto" w:fill="auto"/>
            <w:noWrap/>
            <w:vAlign w:val="bottom"/>
            <w:hideMark/>
          </w:tcPr>
          <w:p w14:paraId="1C3E8B80" w14:textId="77777777" w:rsidR="001A3CF3" w:rsidRPr="00F7132F" w:rsidRDefault="001A3CF3" w:rsidP="001A3CF3">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PREMISSAS ADOTADAS</w:t>
            </w:r>
          </w:p>
        </w:tc>
      </w:tr>
      <w:tr w:rsidR="001A3CF3" w:rsidRPr="00116729" w14:paraId="0D3D9428" w14:textId="77777777" w:rsidTr="00F7132F">
        <w:trPr>
          <w:trHeight w:val="20"/>
        </w:trPr>
        <w:tc>
          <w:tcPr>
            <w:tcW w:w="2033" w:type="dxa"/>
            <w:tcBorders>
              <w:top w:val="nil"/>
              <w:left w:val="nil"/>
              <w:bottom w:val="nil"/>
              <w:right w:val="nil"/>
            </w:tcBorders>
            <w:shd w:val="clear" w:color="auto" w:fill="auto"/>
            <w:noWrap/>
            <w:vAlign w:val="bottom"/>
            <w:hideMark/>
          </w:tcPr>
          <w:p w14:paraId="43AFDCE9" w14:textId="77777777" w:rsidR="001A3CF3" w:rsidRPr="00F7132F" w:rsidRDefault="001A3CF3" w:rsidP="001A3CF3">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Moeda</w:t>
            </w:r>
          </w:p>
        </w:tc>
        <w:tc>
          <w:tcPr>
            <w:tcW w:w="273" w:type="dxa"/>
            <w:tcBorders>
              <w:top w:val="nil"/>
              <w:left w:val="nil"/>
              <w:bottom w:val="nil"/>
              <w:right w:val="nil"/>
            </w:tcBorders>
            <w:shd w:val="clear" w:color="auto" w:fill="auto"/>
            <w:noWrap/>
            <w:vAlign w:val="bottom"/>
            <w:hideMark/>
          </w:tcPr>
          <w:p w14:paraId="4CBAA851" w14:textId="77777777" w:rsidR="001A3CF3" w:rsidRPr="00F7132F" w:rsidRDefault="001A3CF3" w:rsidP="001A3CF3">
            <w:pPr>
              <w:spacing w:after="0" w:line="240" w:lineRule="auto"/>
              <w:jc w:val="center"/>
              <w:rPr>
                <w:rFonts w:ascii="Verdana" w:eastAsia="Times New Roman" w:hAnsi="Verdana" w:cs="Calibri"/>
                <w:b/>
                <w:bCs/>
                <w:sz w:val="18"/>
                <w:szCs w:val="18"/>
                <w:lang w:eastAsia="pt-BR"/>
              </w:rPr>
            </w:pPr>
          </w:p>
        </w:tc>
        <w:tc>
          <w:tcPr>
            <w:tcW w:w="2006" w:type="dxa"/>
            <w:tcBorders>
              <w:top w:val="nil"/>
              <w:left w:val="nil"/>
              <w:bottom w:val="nil"/>
              <w:right w:val="nil"/>
            </w:tcBorders>
            <w:shd w:val="clear" w:color="auto" w:fill="auto"/>
            <w:noWrap/>
            <w:vAlign w:val="bottom"/>
            <w:hideMark/>
          </w:tcPr>
          <w:p w14:paraId="2FD804D1" w14:textId="77777777" w:rsidR="001A3CF3" w:rsidRPr="00F7132F" w:rsidRDefault="001A3CF3">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Taxa de câmbio</w:t>
            </w:r>
          </w:p>
        </w:tc>
      </w:tr>
      <w:tr w:rsidR="001A3CF3" w:rsidRPr="00116729" w14:paraId="72093397" w14:textId="77777777" w:rsidTr="001A3CF3">
        <w:trPr>
          <w:trHeight w:val="20"/>
        </w:trPr>
        <w:tc>
          <w:tcPr>
            <w:tcW w:w="2033" w:type="dxa"/>
            <w:tcBorders>
              <w:top w:val="single" w:sz="4" w:space="0" w:color="auto"/>
              <w:left w:val="nil"/>
              <w:bottom w:val="single" w:sz="4" w:space="0" w:color="auto"/>
              <w:right w:val="nil"/>
            </w:tcBorders>
            <w:shd w:val="clear" w:color="auto" w:fill="auto"/>
            <w:noWrap/>
            <w:vAlign w:val="bottom"/>
            <w:hideMark/>
          </w:tcPr>
          <w:p w14:paraId="0E6967EC" w14:textId="77777777" w:rsidR="001A3CF3" w:rsidRPr="00F7132F" w:rsidRDefault="001A3CF3" w:rsidP="001A3CF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Euro</w:t>
            </w:r>
          </w:p>
        </w:tc>
        <w:tc>
          <w:tcPr>
            <w:tcW w:w="273" w:type="dxa"/>
            <w:tcBorders>
              <w:top w:val="nil"/>
              <w:left w:val="nil"/>
              <w:bottom w:val="nil"/>
              <w:right w:val="nil"/>
            </w:tcBorders>
            <w:shd w:val="clear" w:color="auto" w:fill="auto"/>
            <w:noWrap/>
            <w:vAlign w:val="bottom"/>
            <w:hideMark/>
          </w:tcPr>
          <w:p w14:paraId="7CC494B5" w14:textId="77777777" w:rsidR="001A3CF3" w:rsidRPr="00F7132F" w:rsidRDefault="001A3CF3" w:rsidP="001A3CF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006" w:type="dxa"/>
            <w:tcBorders>
              <w:top w:val="single" w:sz="4" w:space="0" w:color="auto"/>
              <w:left w:val="nil"/>
              <w:bottom w:val="single" w:sz="4" w:space="0" w:color="auto"/>
              <w:right w:val="nil"/>
            </w:tcBorders>
            <w:shd w:val="clear" w:color="auto" w:fill="auto"/>
            <w:noWrap/>
            <w:vAlign w:val="bottom"/>
            <w:hideMark/>
          </w:tcPr>
          <w:p w14:paraId="1C89EB01" w14:textId="77777777" w:rsidR="001A3CF3" w:rsidRPr="00F7132F" w:rsidRDefault="001A3CF3" w:rsidP="001A3CF3">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5,19 </w:t>
            </w:r>
          </w:p>
        </w:tc>
      </w:tr>
      <w:tr w:rsidR="001A3CF3" w:rsidRPr="00116729" w14:paraId="4E1F5365" w14:textId="77777777" w:rsidTr="00F7132F">
        <w:trPr>
          <w:trHeight w:val="20"/>
        </w:trPr>
        <w:tc>
          <w:tcPr>
            <w:tcW w:w="2033" w:type="dxa"/>
            <w:tcBorders>
              <w:top w:val="nil"/>
              <w:left w:val="nil"/>
              <w:bottom w:val="single" w:sz="4" w:space="0" w:color="auto"/>
              <w:right w:val="nil"/>
            </w:tcBorders>
            <w:shd w:val="clear" w:color="auto" w:fill="auto"/>
            <w:noWrap/>
            <w:vAlign w:val="bottom"/>
            <w:hideMark/>
          </w:tcPr>
          <w:p w14:paraId="660D2AD4" w14:textId="77777777" w:rsidR="001A3CF3" w:rsidRPr="00F7132F" w:rsidRDefault="001A3CF3" w:rsidP="001A3CF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Dólar americano</w:t>
            </w:r>
          </w:p>
        </w:tc>
        <w:tc>
          <w:tcPr>
            <w:tcW w:w="273" w:type="dxa"/>
            <w:tcBorders>
              <w:top w:val="nil"/>
              <w:left w:val="nil"/>
              <w:bottom w:val="single" w:sz="4" w:space="0" w:color="auto"/>
              <w:right w:val="nil"/>
            </w:tcBorders>
            <w:shd w:val="clear" w:color="auto" w:fill="auto"/>
            <w:noWrap/>
            <w:vAlign w:val="bottom"/>
            <w:hideMark/>
          </w:tcPr>
          <w:p w14:paraId="2230F457" w14:textId="77777777" w:rsidR="001A3CF3" w:rsidRPr="00F7132F" w:rsidRDefault="001A3CF3" w:rsidP="001A3CF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006" w:type="dxa"/>
            <w:tcBorders>
              <w:top w:val="nil"/>
              <w:left w:val="nil"/>
              <w:bottom w:val="single" w:sz="4" w:space="0" w:color="auto"/>
              <w:right w:val="nil"/>
            </w:tcBorders>
            <w:shd w:val="clear" w:color="auto" w:fill="auto"/>
            <w:noWrap/>
            <w:vAlign w:val="bottom"/>
            <w:hideMark/>
          </w:tcPr>
          <w:p w14:paraId="4B1A619B" w14:textId="77777777" w:rsidR="001A3CF3" w:rsidRPr="00F7132F" w:rsidRDefault="001A3CF3" w:rsidP="001A3CF3">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4,90 </w:t>
            </w:r>
          </w:p>
        </w:tc>
      </w:tr>
    </w:tbl>
    <w:p w14:paraId="22CF2C99" w14:textId="77777777" w:rsidR="005525D1" w:rsidRPr="00116729" w:rsidRDefault="005525D1" w:rsidP="004A1E74">
      <w:pPr>
        <w:rPr>
          <w:rFonts w:ascii="Verdana" w:hAnsi="Verdana" w:cstheme="minorHAnsi"/>
          <w:noProof/>
          <w:lang w:eastAsia="pt-BR"/>
        </w:rPr>
      </w:pPr>
    </w:p>
    <w:p w14:paraId="00EEBA6F" w14:textId="77777777" w:rsidR="00C40278" w:rsidRDefault="00C40278">
      <w:pPr>
        <w:rPr>
          <w:rFonts w:ascii="Verdana" w:hAnsi="Verdana" w:cstheme="minorHAnsi"/>
          <w:b/>
          <w:bCs/>
        </w:rPr>
      </w:pPr>
      <w:bookmarkStart w:id="6" w:name="_Hlk101973281"/>
      <w:r>
        <w:rPr>
          <w:rFonts w:cstheme="minorHAnsi"/>
          <w:b/>
          <w:bCs/>
        </w:rPr>
        <w:br w:type="page"/>
      </w:r>
    </w:p>
    <w:p w14:paraId="6172E76C" w14:textId="77777777" w:rsidR="00D8472E" w:rsidRPr="00F7132F" w:rsidRDefault="00AD7DA9" w:rsidP="005C2926">
      <w:pPr>
        <w:pStyle w:val="Default"/>
        <w:spacing w:after="160"/>
        <w:jc w:val="both"/>
        <w:rPr>
          <w:rFonts w:eastAsiaTheme="minorHAnsi" w:cstheme="minorHAnsi"/>
          <w:b/>
          <w:bCs/>
          <w:color w:val="auto"/>
          <w:sz w:val="22"/>
          <w:szCs w:val="22"/>
          <w:lang w:eastAsia="en-US"/>
        </w:rPr>
      </w:pPr>
      <w:r w:rsidRPr="00F7132F">
        <w:rPr>
          <w:rFonts w:eastAsiaTheme="minorHAnsi" w:cstheme="minorHAnsi"/>
          <w:b/>
          <w:bCs/>
          <w:color w:val="auto"/>
          <w:sz w:val="22"/>
          <w:szCs w:val="22"/>
          <w:lang w:eastAsia="en-US"/>
        </w:rPr>
        <w:lastRenderedPageBreak/>
        <w:t>30</w:t>
      </w:r>
      <w:r w:rsidR="00D8472E" w:rsidRPr="00F7132F">
        <w:rPr>
          <w:rFonts w:eastAsiaTheme="minorHAnsi" w:cstheme="minorHAnsi"/>
          <w:b/>
          <w:bCs/>
          <w:color w:val="auto"/>
          <w:sz w:val="22"/>
          <w:szCs w:val="22"/>
          <w:lang w:eastAsia="en-US"/>
        </w:rPr>
        <w:t>.3.2 - Risco de taxa de juros</w:t>
      </w:r>
    </w:p>
    <w:p w14:paraId="102515CC" w14:textId="0000571A" w:rsidR="00D8472E" w:rsidRPr="00116729" w:rsidRDefault="00D8472E" w:rsidP="005C2926">
      <w:pPr>
        <w:jc w:val="both"/>
        <w:rPr>
          <w:rFonts w:ascii="Verdana" w:hAnsi="Verdana" w:cstheme="minorHAnsi"/>
        </w:rPr>
      </w:pPr>
      <w:r w:rsidRPr="00116729">
        <w:rPr>
          <w:rFonts w:ascii="Verdana" w:hAnsi="Verdana" w:cstheme="minorHAnsi"/>
        </w:rPr>
        <w:t xml:space="preserve">A Administração da </w:t>
      </w:r>
      <w:r w:rsidR="00A779BB">
        <w:rPr>
          <w:rFonts w:ascii="Verdana" w:hAnsi="Verdana" w:cstheme="minorHAnsi"/>
        </w:rPr>
        <w:t>Controlada</w:t>
      </w:r>
      <w:r w:rsidRPr="00116729">
        <w:rPr>
          <w:rFonts w:ascii="Verdana" w:hAnsi="Verdana" w:cstheme="minorHAnsi"/>
        </w:rPr>
        <w:t xml:space="preserve"> entende que a exposição </w:t>
      </w:r>
      <w:r w:rsidR="004F352C" w:rsidRPr="00116729">
        <w:rPr>
          <w:rFonts w:ascii="Verdana" w:hAnsi="Verdana" w:cstheme="minorHAnsi"/>
        </w:rPr>
        <w:t>ao</w:t>
      </w:r>
      <w:r w:rsidRPr="00116729">
        <w:rPr>
          <w:rFonts w:ascii="Verdana" w:hAnsi="Verdana" w:cstheme="minorHAnsi"/>
        </w:rPr>
        <w:t xml:space="preserve"> risco de juros não é significativa, visto que os empréstimos e financiamentos contratados estão indexados, principalmente, à Unidade de Referência Fiscal - UFIR e à Taxa de Juros de Longo Prazo - TJLP ou não possuem qualquer indexador, como é o caso do contrato de financiamento com a Caixa Econômica Federal - CEF, que possui taxa de juros fixa ao longo do contrato.  Além disso, todos os recursos são captados em moeda nacional, o que reduz a exposição cambial. </w:t>
      </w:r>
    </w:p>
    <w:p w14:paraId="79C1DFD7" w14:textId="77777777" w:rsidR="00D8472E" w:rsidRPr="00116729" w:rsidRDefault="00D8472E" w:rsidP="005C2926">
      <w:pPr>
        <w:jc w:val="both"/>
        <w:rPr>
          <w:rFonts w:ascii="Verdana" w:hAnsi="Verdana" w:cstheme="minorHAnsi"/>
        </w:rPr>
      </w:pPr>
      <w:r w:rsidRPr="00116729">
        <w:rPr>
          <w:rFonts w:ascii="Verdana" w:hAnsi="Verdana" w:cstheme="minorHAnsi"/>
        </w:rPr>
        <w:t>A UFIR não sofreu qualquer variação no período, visto que foi extinta em 2000 e está congelada desde entã</w:t>
      </w:r>
      <w:r w:rsidRPr="00F7132F">
        <w:rPr>
          <w:rFonts w:ascii="Verdana" w:hAnsi="Verdana" w:cstheme="minorHAnsi"/>
        </w:rPr>
        <w:t xml:space="preserve">o. A TJLP, que é divulgada, trimestralmente, pelo Conselho Monetário Nacional - CMN, foi elevada para 6,82 a.a. para o segundo </w:t>
      </w:r>
      <w:r w:rsidRPr="00116729">
        <w:rPr>
          <w:rFonts w:ascii="Verdana" w:hAnsi="Verdana" w:cstheme="minorHAnsi"/>
        </w:rPr>
        <w:t xml:space="preserve">trimestre de 2022. O impacto para a </w:t>
      </w:r>
      <w:r w:rsidR="00397D36" w:rsidRPr="00116729">
        <w:rPr>
          <w:rFonts w:ascii="Verdana" w:hAnsi="Verdana" w:cstheme="minorHAnsi"/>
        </w:rPr>
        <w:t>controlada Eletronuclear</w:t>
      </w:r>
      <w:r w:rsidRPr="00116729">
        <w:rPr>
          <w:rFonts w:ascii="Verdana" w:hAnsi="Verdana" w:cstheme="minorHAnsi"/>
        </w:rPr>
        <w:t xml:space="preserve"> proveniente de mudanças da TJLP é suavizado pelo fato do contrato de financiamento com o Banco Nacional do Desenvolvimento Econômico e Social - BNDES prever que qualquer valor da TJLP que exceda o patamar de 6,00% a.a. </w:t>
      </w:r>
      <w:r w:rsidR="004F352C" w:rsidRPr="00116729">
        <w:rPr>
          <w:rFonts w:ascii="Verdana" w:hAnsi="Verdana" w:cstheme="minorHAnsi"/>
        </w:rPr>
        <w:t>será</w:t>
      </w:r>
      <w:r w:rsidRPr="00116729">
        <w:rPr>
          <w:rFonts w:ascii="Verdana" w:hAnsi="Verdana" w:cstheme="minorHAnsi"/>
        </w:rPr>
        <w:t xml:space="preserve"> capitalizado ao saldo devedor. Além da taxa referente à TJLP, o contrato com o BNDES prevê o pagamento de um spread fixo de 1,72% a.a.</w:t>
      </w:r>
    </w:p>
    <w:p w14:paraId="1DB525CE" w14:textId="77777777" w:rsidR="00D8472E" w:rsidRPr="00F7132F" w:rsidRDefault="00D8472E" w:rsidP="005C2926">
      <w:pPr>
        <w:jc w:val="both"/>
        <w:rPr>
          <w:rFonts w:ascii="Verdana" w:hAnsi="Verdana" w:cstheme="minorHAnsi"/>
        </w:rPr>
      </w:pPr>
      <w:r w:rsidRPr="00F7132F">
        <w:rPr>
          <w:rFonts w:ascii="Verdana" w:hAnsi="Verdana" w:cstheme="minorHAnsi"/>
        </w:rPr>
        <w:t xml:space="preserve">Aproximadamente 46,0% da dívida total da </w:t>
      </w:r>
      <w:r w:rsidR="00397D36" w:rsidRPr="00F7132F">
        <w:rPr>
          <w:rFonts w:ascii="Verdana" w:hAnsi="Verdana" w:cstheme="minorHAnsi"/>
        </w:rPr>
        <w:t>controlada Eletronuclear</w:t>
      </w:r>
      <w:r w:rsidRPr="00F7132F">
        <w:rPr>
          <w:rFonts w:ascii="Verdana" w:hAnsi="Verdana" w:cstheme="minorHAnsi"/>
        </w:rPr>
        <w:t xml:space="preserve"> está indexada à TJLP. No caso da dívida com taxas pré-fixadas, esse montante representa cerca de 41,2% do total. A dívida que está indexada à UFIR, que está congelada, representa cerca de 8,5% do total.</w:t>
      </w:r>
    </w:p>
    <w:p w14:paraId="49781C7D" w14:textId="77777777" w:rsidR="00D8472E" w:rsidRPr="00F7132F" w:rsidRDefault="00D8472E" w:rsidP="005C2926">
      <w:pPr>
        <w:jc w:val="both"/>
        <w:rPr>
          <w:rFonts w:ascii="Verdana" w:hAnsi="Verdana" w:cstheme="minorHAnsi"/>
        </w:rPr>
      </w:pPr>
      <w:r w:rsidRPr="00116729">
        <w:rPr>
          <w:rFonts w:ascii="Verdana" w:hAnsi="Verdana" w:cstheme="minorHAnsi"/>
        </w:rPr>
        <w:t xml:space="preserve">Outra fração de aproximadamente 4,1% do total da dívida da </w:t>
      </w:r>
      <w:r w:rsidR="00397D36" w:rsidRPr="00116729">
        <w:rPr>
          <w:rFonts w:ascii="Verdana" w:hAnsi="Verdana" w:cstheme="minorHAnsi"/>
        </w:rPr>
        <w:t>controlada Eletronuclear</w:t>
      </w:r>
      <w:r w:rsidRPr="00116729">
        <w:rPr>
          <w:rFonts w:ascii="Verdana" w:hAnsi="Verdana" w:cstheme="minorHAnsi"/>
        </w:rPr>
        <w:t xml:space="preserve"> está indexada ao Índice de Preços ao Consumidor Amplo - IPCA. Com a liquidação do </w:t>
      </w:r>
      <w:proofErr w:type="spellStart"/>
      <w:r w:rsidRPr="00F7132F">
        <w:rPr>
          <w:rFonts w:ascii="Verdana" w:hAnsi="Verdana" w:cstheme="minorHAnsi"/>
        </w:rPr>
        <w:t>Subcrédito</w:t>
      </w:r>
      <w:proofErr w:type="spellEnd"/>
      <w:r w:rsidRPr="00F7132F">
        <w:rPr>
          <w:rFonts w:ascii="Verdana" w:hAnsi="Verdana" w:cstheme="minorHAnsi"/>
        </w:rPr>
        <w:t xml:space="preserve"> D do BNDES não há mais nenhuma dívida indexada à taxa SELIC.</w:t>
      </w:r>
    </w:p>
    <w:bookmarkEnd w:id="6"/>
    <w:p w14:paraId="1FE9BA48" w14:textId="31B35300" w:rsidR="00D8472E" w:rsidRDefault="00D8472E" w:rsidP="005C2926">
      <w:pPr>
        <w:jc w:val="both"/>
        <w:rPr>
          <w:rFonts w:ascii="Verdana" w:hAnsi="Verdana" w:cstheme="minorHAnsi"/>
        </w:rPr>
      </w:pPr>
      <w:r w:rsidRPr="00116729">
        <w:rPr>
          <w:rFonts w:ascii="Verdana" w:hAnsi="Verdana" w:cstheme="minorHAnsi"/>
        </w:rPr>
        <w:t xml:space="preserve">Segue, abaixo, a exposição total do risco de juros dos Financiamentos e Empréstimos: </w:t>
      </w:r>
    </w:p>
    <w:p w14:paraId="4783FFDD" w14:textId="55BB7E39" w:rsidR="00A779BB" w:rsidRPr="00116729" w:rsidRDefault="00A779BB" w:rsidP="005C2926">
      <w:pPr>
        <w:jc w:val="both"/>
        <w:rPr>
          <w:rFonts w:ascii="Verdana" w:hAnsi="Verdana" w:cstheme="minorHAnsi"/>
        </w:rPr>
      </w:pPr>
    </w:p>
    <w:tbl>
      <w:tblPr>
        <w:tblW w:w="9420" w:type="dxa"/>
        <w:tblCellMar>
          <w:left w:w="70" w:type="dxa"/>
          <w:right w:w="70" w:type="dxa"/>
        </w:tblCellMar>
        <w:tblLook w:val="04A0" w:firstRow="1" w:lastRow="0" w:firstColumn="1" w:lastColumn="0" w:noHBand="0" w:noVBand="1"/>
      </w:tblPr>
      <w:tblGrid>
        <w:gridCol w:w="3920"/>
        <w:gridCol w:w="680"/>
        <w:gridCol w:w="160"/>
        <w:gridCol w:w="1040"/>
        <w:gridCol w:w="160"/>
        <w:gridCol w:w="759"/>
        <w:gridCol w:w="160"/>
        <w:gridCol w:w="1249"/>
        <w:gridCol w:w="146"/>
        <w:gridCol w:w="1249"/>
      </w:tblGrid>
      <w:tr w:rsidR="00C03689" w:rsidRPr="00F7132F" w14:paraId="6CC38D89" w14:textId="77777777" w:rsidTr="003072B4">
        <w:trPr>
          <w:trHeight w:val="20"/>
        </w:trPr>
        <w:tc>
          <w:tcPr>
            <w:tcW w:w="3920" w:type="dxa"/>
            <w:tcBorders>
              <w:top w:val="nil"/>
              <w:left w:val="nil"/>
              <w:bottom w:val="nil"/>
              <w:right w:val="nil"/>
            </w:tcBorders>
            <w:shd w:val="clear" w:color="auto" w:fill="auto"/>
            <w:noWrap/>
            <w:vAlign w:val="bottom"/>
          </w:tcPr>
          <w:p w14:paraId="5FB6B746" w14:textId="77777777" w:rsidR="00C03689" w:rsidRPr="00F7132F" w:rsidRDefault="00C03689" w:rsidP="00F7132F">
            <w:pPr>
              <w:spacing w:after="0" w:line="240" w:lineRule="auto"/>
              <w:rPr>
                <w:rFonts w:ascii="Times New Roman" w:eastAsia="Times New Roman" w:hAnsi="Times New Roman" w:cs="Times New Roman"/>
                <w:sz w:val="24"/>
                <w:szCs w:val="24"/>
                <w:lang w:eastAsia="pt-BR"/>
              </w:rPr>
            </w:pPr>
          </w:p>
        </w:tc>
        <w:tc>
          <w:tcPr>
            <w:tcW w:w="680" w:type="dxa"/>
            <w:tcBorders>
              <w:top w:val="nil"/>
              <w:left w:val="nil"/>
              <w:bottom w:val="nil"/>
              <w:right w:val="nil"/>
            </w:tcBorders>
            <w:shd w:val="clear" w:color="auto" w:fill="auto"/>
            <w:noWrap/>
            <w:vAlign w:val="bottom"/>
          </w:tcPr>
          <w:p w14:paraId="7FA1EC44" w14:textId="77777777" w:rsidR="00C03689" w:rsidRPr="00F7132F" w:rsidRDefault="00C03689" w:rsidP="00F7132F">
            <w:pPr>
              <w:spacing w:after="0" w:line="240" w:lineRule="auto"/>
              <w:rPr>
                <w:rFonts w:ascii="Times New Roman" w:eastAsia="Times New Roman" w:hAnsi="Times New Roman" w:cs="Times New Roman"/>
                <w:sz w:val="20"/>
                <w:szCs w:val="20"/>
                <w:lang w:eastAsia="pt-BR"/>
              </w:rPr>
            </w:pPr>
          </w:p>
        </w:tc>
        <w:tc>
          <w:tcPr>
            <w:tcW w:w="160" w:type="dxa"/>
            <w:tcBorders>
              <w:top w:val="nil"/>
              <w:left w:val="nil"/>
              <w:bottom w:val="nil"/>
              <w:right w:val="nil"/>
            </w:tcBorders>
            <w:shd w:val="clear" w:color="auto" w:fill="auto"/>
            <w:noWrap/>
            <w:vAlign w:val="bottom"/>
          </w:tcPr>
          <w:p w14:paraId="01F1E5DE" w14:textId="77777777" w:rsidR="00C03689" w:rsidRPr="00F7132F" w:rsidRDefault="00C03689" w:rsidP="00F7132F">
            <w:pPr>
              <w:spacing w:after="0" w:line="240" w:lineRule="auto"/>
              <w:rPr>
                <w:rFonts w:ascii="Times New Roman" w:eastAsia="Times New Roman" w:hAnsi="Times New Roman" w:cs="Times New Roman"/>
                <w:sz w:val="20"/>
                <w:szCs w:val="20"/>
                <w:lang w:eastAsia="pt-BR"/>
              </w:rPr>
            </w:pPr>
          </w:p>
        </w:tc>
        <w:tc>
          <w:tcPr>
            <w:tcW w:w="1040" w:type="dxa"/>
            <w:tcBorders>
              <w:top w:val="nil"/>
              <w:left w:val="nil"/>
              <w:bottom w:val="nil"/>
              <w:right w:val="nil"/>
            </w:tcBorders>
            <w:shd w:val="clear" w:color="auto" w:fill="auto"/>
            <w:noWrap/>
            <w:vAlign w:val="bottom"/>
          </w:tcPr>
          <w:p w14:paraId="380C1E2F" w14:textId="77777777" w:rsidR="00C03689" w:rsidRPr="00F7132F" w:rsidRDefault="00C03689" w:rsidP="00F7132F">
            <w:pPr>
              <w:spacing w:after="0" w:line="240" w:lineRule="auto"/>
              <w:rPr>
                <w:rFonts w:ascii="Times New Roman" w:eastAsia="Times New Roman" w:hAnsi="Times New Roman" w:cs="Times New Roman"/>
                <w:sz w:val="20"/>
                <w:szCs w:val="20"/>
                <w:lang w:eastAsia="pt-BR"/>
              </w:rPr>
            </w:pPr>
          </w:p>
        </w:tc>
        <w:tc>
          <w:tcPr>
            <w:tcW w:w="160" w:type="dxa"/>
            <w:tcBorders>
              <w:top w:val="nil"/>
              <w:left w:val="nil"/>
              <w:bottom w:val="nil"/>
              <w:right w:val="nil"/>
            </w:tcBorders>
            <w:shd w:val="clear" w:color="auto" w:fill="auto"/>
            <w:noWrap/>
            <w:vAlign w:val="bottom"/>
          </w:tcPr>
          <w:p w14:paraId="43EED52E" w14:textId="77777777" w:rsidR="00C03689" w:rsidRPr="00F7132F" w:rsidRDefault="00C03689" w:rsidP="00F7132F">
            <w:pPr>
              <w:spacing w:after="0" w:line="240" w:lineRule="auto"/>
              <w:rPr>
                <w:rFonts w:ascii="Times New Roman" w:eastAsia="Times New Roman" w:hAnsi="Times New Roman" w:cs="Times New Roman"/>
                <w:sz w:val="20"/>
                <w:szCs w:val="20"/>
                <w:lang w:eastAsia="pt-BR"/>
              </w:rPr>
            </w:pPr>
          </w:p>
        </w:tc>
        <w:tc>
          <w:tcPr>
            <w:tcW w:w="759" w:type="dxa"/>
            <w:tcBorders>
              <w:top w:val="nil"/>
              <w:left w:val="nil"/>
              <w:right w:val="nil"/>
            </w:tcBorders>
            <w:shd w:val="clear" w:color="auto" w:fill="auto"/>
            <w:vAlign w:val="center"/>
          </w:tcPr>
          <w:p w14:paraId="3C7529F7" w14:textId="77777777" w:rsidR="00C03689" w:rsidRPr="00F7132F" w:rsidRDefault="00C03689" w:rsidP="00F7132F">
            <w:pPr>
              <w:spacing w:after="0" w:line="240" w:lineRule="auto"/>
              <w:jc w:val="center"/>
              <w:rPr>
                <w:rFonts w:ascii="Verdana" w:eastAsia="Times New Roman" w:hAnsi="Verdana" w:cs="Calibri"/>
                <w:sz w:val="16"/>
                <w:szCs w:val="16"/>
                <w:lang w:eastAsia="pt-BR"/>
              </w:rPr>
            </w:pPr>
          </w:p>
        </w:tc>
        <w:tc>
          <w:tcPr>
            <w:tcW w:w="160" w:type="dxa"/>
            <w:tcBorders>
              <w:top w:val="nil"/>
              <w:left w:val="nil"/>
              <w:bottom w:val="nil"/>
              <w:right w:val="nil"/>
            </w:tcBorders>
            <w:shd w:val="clear" w:color="auto" w:fill="auto"/>
            <w:noWrap/>
            <w:vAlign w:val="bottom"/>
          </w:tcPr>
          <w:p w14:paraId="75D7C3EA" w14:textId="77777777" w:rsidR="00C03689" w:rsidRPr="00F7132F" w:rsidRDefault="00C03689" w:rsidP="00F7132F">
            <w:pPr>
              <w:spacing w:after="0" w:line="240" w:lineRule="auto"/>
              <w:jc w:val="center"/>
              <w:rPr>
                <w:rFonts w:ascii="Verdana" w:eastAsia="Times New Roman" w:hAnsi="Verdana" w:cs="Calibri"/>
                <w:sz w:val="16"/>
                <w:szCs w:val="16"/>
                <w:lang w:eastAsia="pt-BR"/>
              </w:rPr>
            </w:pPr>
          </w:p>
        </w:tc>
        <w:tc>
          <w:tcPr>
            <w:tcW w:w="2541" w:type="dxa"/>
            <w:gridSpan w:val="3"/>
            <w:tcBorders>
              <w:top w:val="single" w:sz="4" w:space="0" w:color="auto"/>
              <w:left w:val="nil"/>
              <w:bottom w:val="single" w:sz="4" w:space="0" w:color="auto"/>
              <w:right w:val="nil"/>
            </w:tcBorders>
            <w:shd w:val="clear" w:color="auto" w:fill="auto"/>
            <w:noWrap/>
            <w:vAlign w:val="bottom"/>
          </w:tcPr>
          <w:p w14:paraId="7183EA61" w14:textId="546E168D" w:rsidR="00C03689" w:rsidRPr="00F7132F" w:rsidRDefault="00C03689" w:rsidP="00F7132F">
            <w:pPr>
              <w:spacing w:after="0" w:line="240" w:lineRule="auto"/>
              <w:jc w:val="center"/>
              <w:rPr>
                <w:rFonts w:ascii="Verdana" w:eastAsia="Times New Roman" w:hAnsi="Verdana" w:cs="Calibri"/>
                <w:b/>
                <w:bCs/>
                <w:sz w:val="16"/>
                <w:szCs w:val="16"/>
                <w:lang w:eastAsia="pt-BR"/>
              </w:rPr>
            </w:pPr>
            <w:r w:rsidRPr="003072B4">
              <w:rPr>
                <w:rFonts w:ascii="Verdana" w:eastAsia="Times New Roman" w:hAnsi="Verdana" w:cs="Calibri"/>
                <w:b/>
                <w:bCs/>
                <w:sz w:val="18"/>
                <w:szCs w:val="18"/>
                <w:lang w:eastAsia="pt-BR"/>
              </w:rPr>
              <w:t>Consolidado</w:t>
            </w:r>
          </w:p>
        </w:tc>
      </w:tr>
      <w:tr w:rsidR="00F7132F" w:rsidRPr="00F7132F" w14:paraId="04E668B7" w14:textId="77777777" w:rsidTr="00F7132F">
        <w:trPr>
          <w:trHeight w:val="20"/>
        </w:trPr>
        <w:tc>
          <w:tcPr>
            <w:tcW w:w="3920" w:type="dxa"/>
            <w:tcBorders>
              <w:top w:val="nil"/>
              <w:left w:val="nil"/>
              <w:bottom w:val="nil"/>
              <w:right w:val="nil"/>
            </w:tcBorders>
            <w:shd w:val="clear" w:color="auto" w:fill="auto"/>
            <w:noWrap/>
            <w:vAlign w:val="bottom"/>
            <w:hideMark/>
          </w:tcPr>
          <w:p w14:paraId="649C31F2" w14:textId="77777777" w:rsidR="00F7132F" w:rsidRPr="00F7132F" w:rsidRDefault="00F7132F" w:rsidP="00F7132F">
            <w:pPr>
              <w:spacing w:after="0" w:line="240" w:lineRule="auto"/>
              <w:rPr>
                <w:rFonts w:ascii="Times New Roman" w:eastAsia="Times New Roman" w:hAnsi="Times New Roman" w:cs="Times New Roman"/>
                <w:sz w:val="24"/>
                <w:szCs w:val="24"/>
                <w:lang w:eastAsia="pt-BR"/>
              </w:rPr>
            </w:pPr>
          </w:p>
        </w:tc>
        <w:tc>
          <w:tcPr>
            <w:tcW w:w="680" w:type="dxa"/>
            <w:tcBorders>
              <w:top w:val="nil"/>
              <w:left w:val="nil"/>
              <w:bottom w:val="nil"/>
              <w:right w:val="nil"/>
            </w:tcBorders>
            <w:shd w:val="clear" w:color="auto" w:fill="auto"/>
            <w:noWrap/>
            <w:vAlign w:val="bottom"/>
            <w:hideMark/>
          </w:tcPr>
          <w:p w14:paraId="5735104B" w14:textId="77777777" w:rsidR="00F7132F" w:rsidRPr="00F7132F" w:rsidRDefault="00F7132F" w:rsidP="00F7132F">
            <w:pPr>
              <w:spacing w:after="0" w:line="240" w:lineRule="auto"/>
              <w:rPr>
                <w:rFonts w:ascii="Times New Roman" w:eastAsia="Times New Roman" w:hAnsi="Times New Roman" w:cs="Times New Roman"/>
                <w:sz w:val="20"/>
                <w:szCs w:val="20"/>
                <w:lang w:eastAsia="pt-BR"/>
              </w:rPr>
            </w:pPr>
          </w:p>
        </w:tc>
        <w:tc>
          <w:tcPr>
            <w:tcW w:w="160" w:type="dxa"/>
            <w:tcBorders>
              <w:top w:val="nil"/>
              <w:left w:val="nil"/>
              <w:bottom w:val="nil"/>
              <w:right w:val="nil"/>
            </w:tcBorders>
            <w:shd w:val="clear" w:color="auto" w:fill="auto"/>
            <w:noWrap/>
            <w:vAlign w:val="bottom"/>
            <w:hideMark/>
          </w:tcPr>
          <w:p w14:paraId="29BEDEFF" w14:textId="77777777" w:rsidR="00F7132F" w:rsidRPr="00F7132F" w:rsidRDefault="00F7132F" w:rsidP="00F7132F">
            <w:pPr>
              <w:spacing w:after="0" w:line="240" w:lineRule="auto"/>
              <w:rPr>
                <w:rFonts w:ascii="Times New Roman" w:eastAsia="Times New Roman" w:hAnsi="Times New Roman" w:cs="Times New Roman"/>
                <w:sz w:val="20"/>
                <w:szCs w:val="20"/>
                <w:lang w:eastAsia="pt-BR"/>
              </w:rPr>
            </w:pPr>
          </w:p>
        </w:tc>
        <w:tc>
          <w:tcPr>
            <w:tcW w:w="1040" w:type="dxa"/>
            <w:tcBorders>
              <w:top w:val="nil"/>
              <w:left w:val="nil"/>
              <w:bottom w:val="nil"/>
              <w:right w:val="nil"/>
            </w:tcBorders>
            <w:shd w:val="clear" w:color="auto" w:fill="auto"/>
            <w:noWrap/>
            <w:vAlign w:val="bottom"/>
            <w:hideMark/>
          </w:tcPr>
          <w:p w14:paraId="1A7D96A2" w14:textId="77777777" w:rsidR="00F7132F" w:rsidRPr="00F7132F" w:rsidRDefault="00F7132F" w:rsidP="00F7132F">
            <w:pPr>
              <w:spacing w:after="0" w:line="240" w:lineRule="auto"/>
              <w:rPr>
                <w:rFonts w:ascii="Times New Roman" w:eastAsia="Times New Roman" w:hAnsi="Times New Roman" w:cs="Times New Roman"/>
                <w:sz w:val="20"/>
                <w:szCs w:val="20"/>
                <w:lang w:eastAsia="pt-BR"/>
              </w:rPr>
            </w:pPr>
          </w:p>
        </w:tc>
        <w:tc>
          <w:tcPr>
            <w:tcW w:w="160" w:type="dxa"/>
            <w:tcBorders>
              <w:top w:val="nil"/>
              <w:left w:val="nil"/>
              <w:bottom w:val="nil"/>
              <w:right w:val="nil"/>
            </w:tcBorders>
            <w:shd w:val="clear" w:color="auto" w:fill="auto"/>
            <w:noWrap/>
            <w:vAlign w:val="bottom"/>
            <w:hideMark/>
          </w:tcPr>
          <w:p w14:paraId="5F088EF4" w14:textId="77777777" w:rsidR="00F7132F" w:rsidRPr="00F7132F" w:rsidRDefault="00F7132F" w:rsidP="00F7132F">
            <w:pPr>
              <w:spacing w:after="0" w:line="240" w:lineRule="auto"/>
              <w:rPr>
                <w:rFonts w:ascii="Times New Roman" w:eastAsia="Times New Roman" w:hAnsi="Times New Roman" w:cs="Times New Roman"/>
                <w:sz w:val="20"/>
                <w:szCs w:val="20"/>
                <w:lang w:eastAsia="pt-BR"/>
              </w:rPr>
            </w:pPr>
          </w:p>
        </w:tc>
        <w:tc>
          <w:tcPr>
            <w:tcW w:w="759" w:type="dxa"/>
            <w:vMerge w:val="restart"/>
            <w:tcBorders>
              <w:top w:val="nil"/>
              <w:left w:val="nil"/>
              <w:bottom w:val="single" w:sz="4" w:space="0" w:color="000000"/>
              <w:right w:val="nil"/>
            </w:tcBorders>
            <w:shd w:val="clear" w:color="auto" w:fill="auto"/>
            <w:vAlign w:val="center"/>
            <w:hideMark/>
          </w:tcPr>
          <w:p w14:paraId="66611921"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Taxa Efetiva</w:t>
            </w:r>
          </w:p>
        </w:tc>
        <w:tc>
          <w:tcPr>
            <w:tcW w:w="160" w:type="dxa"/>
            <w:tcBorders>
              <w:top w:val="nil"/>
              <w:left w:val="nil"/>
              <w:bottom w:val="nil"/>
              <w:right w:val="nil"/>
            </w:tcBorders>
            <w:shd w:val="clear" w:color="auto" w:fill="auto"/>
            <w:noWrap/>
            <w:vAlign w:val="bottom"/>
            <w:hideMark/>
          </w:tcPr>
          <w:p w14:paraId="360DF5CF"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p>
        </w:tc>
        <w:tc>
          <w:tcPr>
            <w:tcW w:w="2541" w:type="dxa"/>
            <w:gridSpan w:val="3"/>
            <w:tcBorders>
              <w:top w:val="single" w:sz="4" w:space="0" w:color="auto"/>
              <w:left w:val="nil"/>
              <w:bottom w:val="single" w:sz="4" w:space="0" w:color="auto"/>
              <w:right w:val="nil"/>
            </w:tcBorders>
            <w:shd w:val="clear" w:color="auto" w:fill="auto"/>
            <w:noWrap/>
            <w:vAlign w:val="bottom"/>
            <w:hideMark/>
          </w:tcPr>
          <w:p w14:paraId="509BD27A" w14:textId="77777777" w:rsidR="00F7132F" w:rsidRPr="00F7132F" w:rsidRDefault="00F7132F" w:rsidP="00F7132F">
            <w:pPr>
              <w:spacing w:after="0" w:line="240" w:lineRule="auto"/>
              <w:jc w:val="center"/>
              <w:rPr>
                <w:rFonts w:ascii="Verdana" w:eastAsia="Times New Roman" w:hAnsi="Verdana" w:cs="Calibri"/>
                <w:b/>
                <w:bCs/>
                <w:sz w:val="16"/>
                <w:szCs w:val="16"/>
                <w:lang w:eastAsia="pt-BR"/>
              </w:rPr>
            </w:pPr>
            <w:r w:rsidRPr="00F7132F">
              <w:rPr>
                <w:rFonts w:ascii="Verdana" w:eastAsia="Times New Roman" w:hAnsi="Verdana" w:cs="Calibri"/>
                <w:b/>
                <w:bCs/>
                <w:sz w:val="16"/>
                <w:szCs w:val="16"/>
                <w:lang w:eastAsia="pt-BR"/>
              </w:rPr>
              <w:t>30/06/2022</w:t>
            </w:r>
          </w:p>
        </w:tc>
      </w:tr>
      <w:tr w:rsidR="003072B4" w:rsidRPr="00F7132F" w14:paraId="4585A7C7" w14:textId="77777777" w:rsidTr="003072B4">
        <w:trPr>
          <w:trHeight w:val="20"/>
        </w:trPr>
        <w:tc>
          <w:tcPr>
            <w:tcW w:w="3920" w:type="dxa"/>
            <w:tcBorders>
              <w:top w:val="nil"/>
              <w:left w:val="nil"/>
              <w:bottom w:val="nil"/>
              <w:right w:val="nil"/>
            </w:tcBorders>
            <w:shd w:val="clear" w:color="auto" w:fill="auto"/>
            <w:noWrap/>
            <w:vAlign w:val="bottom"/>
            <w:hideMark/>
          </w:tcPr>
          <w:p w14:paraId="164BF885" w14:textId="77777777" w:rsidR="00F7132F" w:rsidRPr="00F7132F" w:rsidRDefault="00F7132F" w:rsidP="00F7132F">
            <w:pPr>
              <w:spacing w:after="0" w:line="240" w:lineRule="auto"/>
              <w:jc w:val="center"/>
              <w:rPr>
                <w:rFonts w:ascii="Verdana" w:eastAsia="Times New Roman" w:hAnsi="Verdana" w:cs="Calibri"/>
                <w:b/>
                <w:bCs/>
                <w:sz w:val="16"/>
                <w:szCs w:val="16"/>
                <w:lang w:eastAsia="pt-BR"/>
              </w:rPr>
            </w:pPr>
          </w:p>
        </w:tc>
        <w:tc>
          <w:tcPr>
            <w:tcW w:w="680" w:type="dxa"/>
            <w:tcBorders>
              <w:top w:val="nil"/>
              <w:left w:val="nil"/>
              <w:bottom w:val="single" w:sz="4" w:space="0" w:color="auto"/>
              <w:right w:val="nil"/>
            </w:tcBorders>
            <w:shd w:val="clear" w:color="auto" w:fill="auto"/>
            <w:noWrap/>
            <w:vAlign w:val="center"/>
            <w:hideMark/>
          </w:tcPr>
          <w:p w14:paraId="7B89B717"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Moeda</w:t>
            </w:r>
          </w:p>
        </w:tc>
        <w:tc>
          <w:tcPr>
            <w:tcW w:w="160" w:type="dxa"/>
            <w:tcBorders>
              <w:top w:val="nil"/>
              <w:left w:val="nil"/>
              <w:bottom w:val="nil"/>
              <w:right w:val="nil"/>
            </w:tcBorders>
            <w:shd w:val="clear" w:color="auto" w:fill="auto"/>
            <w:noWrap/>
            <w:vAlign w:val="center"/>
            <w:hideMark/>
          </w:tcPr>
          <w:p w14:paraId="6D41F712"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p>
        </w:tc>
        <w:tc>
          <w:tcPr>
            <w:tcW w:w="1040" w:type="dxa"/>
            <w:tcBorders>
              <w:top w:val="nil"/>
              <w:left w:val="nil"/>
              <w:bottom w:val="single" w:sz="4" w:space="0" w:color="auto"/>
              <w:right w:val="nil"/>
            </w:tcBorders>
            <w:shd w:val="clear" w:color="auto" w:fill="auto"/>
            <w:noWrap/>
            <w:vAlign w:val="center"/>
            <w:hideMark/>
          </w:tcPr>
          <w:p w14:paraId="16B06859"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Indexador</w:t>
            </w:r>
          </w:p>
        </w:tc>
        <w:tc>
          <w:tcPr>
            <w:tcW w:w="160" w:type="dxa"/>
            <w:tcBorders>
              <w:top w:val="nil"/>
              <w:left w:val="nil"/>
              <w:bottom w:val="nil"/>
              <w:right w:val="nil"/>
            </w:tcBorders>
            <w:shd w:val="clear" w:color="auto" w:fill="auto"/>
            <w:noWrap/>
            <w:vAlign w:val="center"/>
            <w:hideMark/>
          </w:tcPr>
          <w:p w14:paraId="089FED16"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p>
        </w:tc>
        <w:tc>
          <w:tcPr>
            <w:tcW w:w="759" w:type="dxa"/>
            <w:vMerge/>
            <w:tcBorders>
              <w:top w:val="single" w:sz="4" w:space="0" w:color="000000"/>
              <w:left w:val="nil"/>
              <w:bottom w:val="single" w:sz="4" w:space="0" w:color="000000"/>
              <w:right w:val="nil"/>
            </w:tcBorders>
            <w:vAlign w:val="center"/>
            <w:hideMark/>
          </w:tcPr>
          <w:p w14:paraId="7A5714CB" w14:textId="77777777" w:rsidR="00F7132F" w:rsidRPr="00F7132F" w:rsidRDefault="00F7132F" w:rsidP="00F7132F">
            <w:pPr>
              <w:spacing w:after="0" w:line="240" w:lineRule="auto"/>
              <w:rPr>
                <w:rFonts w:ascii="Verdana" w:eastAsia="Times New Roman" w:hAnsi="Verdana" w:cs="Calibri"/>
                <w:sz w:val="16"/>
                <w:szCs w:val="16"/>
                <w:lang w:eastAsia="pt-BR"/>
              </w:rPr>
            </w:pPr>
          </w:p>
        </w:tc>
        <w:tc>
          <w:tcPr>
            <w:tcW w:w="160" w:type="dxa"/>
            <w:tcBorders>
              <w:top w:val="nil"/>
              <w:left w:val="nil"/>
              <w:bottom w:val="nil"/>
              <w:right w:val="nil"/>
            </w:tcBorders>
            <w:shd w:val="clear" w:color="auto" w:fill="auto"/>
            <w:noWrap/>
            <w:vAlign w:val="center"/>
            <w:hideMark/>
          </w:tcPr>
          <w:p w14:paraId="79C5AB99" w14:textId="77777777" w:rsidR="00F7132F" w:rsidRPr="00F7132F" w:rsidRDefault="00F7132F" w:rsidP="00F7132F">
            <w:pPr>
              <w:spacing w:after="0" w:line="240" w:lineRule="auto"/>
              <w:rPr>
                <w:rFonts w:ascii="Times New Roman" w:eastAsia="Times New Roman" w:hAnsi="Times New Roman" w:cs="Times New Roman"/>
                <w:sz w:val="20"/>
                <w:szCs w:val="20"/>
                <w:lang w:eastAsia="pt-BR"/>
              </w:rPr>
            </w:pPr>
          </w:p>
        </w:tc>
        <w:tc>
          <w:tcPr>
            <w:tcW w:w="1249" w:type="dxa"/>
            <w:tcBorders>
              <w:top w:val="nil"/>
              <w:left w:val="nil"/>
              <w:bottom w:val="single" w:sz="4" w:space="0" w:color="auto"/>
              <w:right w:val="nil"/>
            </w:tcBorders>
            <w:shd w:val="clear" w:color="auto" w:fill="auto"/>
            <w:noWrap/>
            <w:vAlign w:val="center"/>
            <w:hideMark/>
          </w:tcPr>
          <w:p w14:paraId="2F551687"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Principal</w:t>
            </w:r>
          </w:p>
        </w:tc>
        <w:tc>
          <w:tcPr>
            <w:tcW w:w="43" w:type="dxa"/>
            <w:tcBorders>
              <w:top w:val="nil"/>
              <w:left w:val="nil"/>
              <w:bottom w:val="nil"/>
              <w:right w:val="nil"/>
            </w:tcBorders>
            <w:shd w:val="clear" w:color="auto" w:fill="auto"/>
            <w:noWrap/>
            <w:vAlign w:val="center"/>
            <w:hideMark/>
          </w:tcPr>
          <w:p w14:paraId="6E4DFBF4"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p>
        </w:tc>
        <w:tc>
          <w:tcPr>
            <w:tcW w:w="1249" w:type="dxa"/>
            <w:tcBorders>
              <w:top w:val="nil"/>
              <w:left w:val="nil"/>
              <w:bottom w:val="single" w:sz="4" w:space="0" w:color="auto"/>
              <w:right w:val="nil"/>
            </w:tcBorders>
            <w:shd w:val="clear" w:color="auto" w:fill="auto"/>
            <w:noWrap/>
            <w:vAlign w:val="center"/>
            <w:hideMark/>
          </w:tcPr>
          <w:p w14:paraId="40C7A159"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Juros*</w:t>
            </w:r>
          </w:p>
        </w:tc>
      </w:tr>
      <w:tr w:rsidR="00F7132F" w:rsidRPr="00F7132F" w14:paraId="6D7C9039" w14:textId="77777777" w:rsidTr="00F7132F">
        <w:trPr>
          <w:trHeight w:val="20"/>
        </w:trPr>
        <w:tc>
          <w:tcPr>
            <w:tcW w:w="3920" w:type="dxa"/>
            <w:tcBorders>
              <w:top w:val="nil"/>
              <w:left w:val="nil"/>
              <w:bottom w:val="nil"/>
              <w:right w:val="nil"/>
            </w:tcBorders>
            <w:shd w:val="clear" w:color="auto" w:fill="auto"/>
            <w:noWrap/>
            <w:vAlign w:val="center"/>
            <w:hideMark/>
          </w:tcPr>
          <w:p w14:paraId="33824BF8" w14:textId="77777777" w:rsidR="00F7132F" w:rsidRPr="00F7132F" w:rsidRDefault="00F7132F" w:rsidP="00F7132F">
            <w:pPr>
              <w:spacing w:after="0" w:line="240" w:lineRule="auto"/>
              <w:rPr>
                <w:rFonts w:ascii="Verdana" w:eastAsia="Times New Roman" w:hAnsi="Verdana" w:cs="Calibri"/>
                <w:b/>
                <w:bCs/>
                <w:sz w:val="16"/>
                <w:szCs w:val="16"/>
                <w:lang w:eastAsia="pt-BR"/>
              </w:rPr>
            </w:pPr>
            <w:r w:rsidRPr="00F7132F">
              <w:rPr>
                <w:rFonts w:ascii="Verdana" w:eastAsia="Times New Roman" w:hAnsi="Verdana" w:cs="Calibri"/>
                <w:b/>
                <w:bCs/>
                <w:sz w:val="16"/>
                <w:szCs w:val="16"/>
                <w:lang w:eastAsia="pt-BR"/>
              </w:rPr>
              <w:t>ANGRAS 1 e 2:</w:t>
            </w:r>
          </w:p>
        </w:tc>
        <w:tc>
          <w:tcPr>
            <w:tcW w:w="680" w:type="dxa"/>
            <w:tcBorders>
              <w:top w:val="nil"/>
              <w:left w:val="nil"/>
              <w:bottom w:val="nil"/>
              <w:right w:val="nil"/>
            </w:tcBorders>
            <w:shd w:val="clear" w:color="auto" w:fill="auto"/>
            <w:noWrap/>
            <w:vAlign w:val="center"/>
            <w:hideMark/>
          </w:tcPr>
          <w:p w14:paraId="28A9384B" w14:textId="77777777" w:rsidR="00F7132F" w:rsidRPr="00F7132F" w:rsidRDefault="00F7132F" w:rsidP="00F7132F">
            <w:pPr>
              <w:spacing w:after="0" w:line="240" w:lineRule="auto"/>
              <w:rPr>
                <w:rFonts w:ascii="Verdana" w:eastAsia="Times New Roman" w:hAnsi="Verdana" w:cs="Calibri"/>
                <w:b/>
                <w:bCs/>
                <w:sz w:val="16"/>
                <w:szCs w:val="16"/>
                <w:lang w:eastAsia="pt-BR"/>
              </w:rPr>
            </w:pPr>
          </w:p>
        </w:tc>
        <w:tc>
          <w:tcPr>
            <w:tcW w:w="160" w:type="dxa"/>
            <w:tcBorders>
              <w:top w:val="nil"/>
              <w:left w:val="nil"/>
              <w:bottom w:val="nil"/>
              <w:right w:val="nil"/>
            </w:tcBorders>
            <w:shd w:val="clear" w:color="auto" w:fill="auto"/>
            <w:noWrap/>
            <w:vAlign w:val="center"/>
            <w:hideMark/>
          </w:tcPr>
          <w:p w14:paraId="7EE16EDB" w14:textId="77777777" w:rsidR="00F7132F" w:rsidRPr="00F7132F" w:rsidRDefault="00F7132F" w:rsidP="00F7132F">
            <w:pPr>
              <w:spacing w:after="0" w:line="240" w:lineRule="auto"/>
              <w:jc w:val="center"/>
              <w:rPr>
                <w:rFonts w:ascii="Times New Roman" w:eastAsia="Times New Roman" w:hAnsi="Times New Roman" w:cs="Times New Roman"/>
                <w:sz w:val="20"/>
                <w:szCs w:val="20"/>
                <w:lang w:eastAsia="pt-BR"/>
              </w:rPr>
            </w:pPr>
          </w:p>
        </w:tc>
        <w:tc>
          <w:tcPr>
            <w:tcW w:w="1040" w:type="dxa"/>
            <w:tcBorders>
              <w:top w:val="nil"/>
              <w:left w:val="nil"/>
              <w:bottom w:val="nil"/>
              <w:right w:val="nil"/>
            </w:tcBorders>
            <w:shd w:val="clear" w:color="auto" w:fill="auto"/>
            <w:noWrap/>
            <w:vAlign w:val="center"/>
            <w:hideMark/>
          </w:tcPr>
          <w:p w14:paraId="2966D10E" w14:textId="77777777" w:rsidR="00F7132F" w:rsidRPr="00F7132F" w:rsidRDefault="00F7132F" w:rsidP="00F7132F">
            <w:pPr>
              <w:spacing w:after="0" w:line="240" w:lineRule="auto"/>
              <w:rPr>
                <w:rFonts w:ascii="Times New Roman" w:eastAsia="Times New Roman" w:hAnsi="Times New Roman" w:cs="Times New Roman"/>
                <w:sz w:val="20"/>
                <w:szCs w:val="20"/>
                <w:lang w:eastAsia="pt-BR"/>
              </w:rPr>
            </w:pPr>
          </w:p>
        </w:tc>
        <w:tc>
          <w:tcPr>
            <w:tcW w:w="160" w:type="dxa"/>
            <w:tcBorders>
              <w:top w:val="nil"/>
              <w:left w:val="nil"/>
              <w:bottom w:val="nil"/>
              <w:right w:val="nil"/>
            </w:tcBorders>
            <w:shd w:val="clear" w:color="auto" w:fill="auto"/>
            <w:noWrap/>
            <w:vAlign w:val="center"/>
            <w:hideMark/>
          </w:tcPr>
          <w:p w14:paraId="686EC58C" w14:textId="77777777" w:rsidR="00F7132F" w:rsidRPr="00F7132F" w:rsidRDefault="00F7132F" w:rsidP="00F7132F">
            <w:pPr>
              <w:spacing w:after="0" w:line="240" w:lineRule="auto"/>
              <w:jc w:val="center"/>
              <w:rPr>
                <w:rFonts w:ascii="Times New Roman" w:eastAsia="Times New Roman" w:hAnsi="Times New Roman" w:cs="Times New Roman"/>
                <w:sz w:val="20"/>
                <w:szCs w:val="20"/>
                <w:lang w:eastAsia="pt-BR"/>
              </w:rPr>
            </w:pPr>
          </w:p>
        </w:tc>
        <w:tc>
          <w:tcPr>
            <w:tcW w:w="759" w:type="dxa"/>
            <w:tcBorders>
              <w:top w:val="nil"/>
              <w:left w:val="nil"/>
              <w:bottom w:val="nil"/>
              <w:right w:val="nil"/>
            </w:tcBorders>
            <w:shd w:val="clear" w:color="auto" w:fill="auto"/>
            <w:noWrap/>
            <w:vAlign w:val="center"/>
            <w:hideMark/>
          </w:tcPr>
          <w:p w14:paraId="7C9D864A" w14:textId="77777777" w:rsidR="00F7132F" w:rsidRPr="00F7132F" w:rsidRDefault="00F7132F" w:rsidP="00F7132F">
            <w:pPr>
              <w:spacing w:after="0" w:line="240" w:lineRule="auto"/>
              <w:rPr>
                <w:rFonts w:ascii="Times New Roman" w:eastAsia="Times New Roman" w:hAnsi="Times New Roman" w:cs="Times New Roman"/>
                <w:sz w:val="20"/>
                <w:szCs w:val="20"/>
                <w:lang w:eastAsia="pt-BR"/>
              </w:rPr>
            </w:pPr>
          </w:p>
        </w:tc>
        <w:tc>
          <w:tcPr>
            <w:tcW w:w="160" w:type="dxa"/>
            <w:tcBorders>
              <w:top w:val="nil"/>
              <w:left w:val="nil"/>
              <w:bottom w:val="nil"/>
              <w:right w:val="nil"/>
            </w:tcBorders>
            <w:shd w:val="clear" w:color="auto" w:fill="auto"/>
            <w:noWrap/>
            <w:vAlign w:val="center"/>
            <w:hideMark/>
          </w:tcPr>
          <w:p w14:paraId="4235BD71" w14:textId="77777777" w:rsidR="00F7132F" w:rsidRPr="00F7132F" w:rsidRDefault="00F7132F" w:rsidP="00F7132F">
            <w:pPr>
              <w:spacing w:after="0" w:line="240" w:lineRule="auto"/>
              <w:rPr>
                <w:rFonts w:ascii="Times New Roman" w:eastAsia="Times New Roman" w:hAnsi="Times New Roman" w:cs="Times New Roman"/>
                <w:sz w:val="20"/>
                <w:szCs w:val="20"/>
                <w:lang w:eastAsia="pt-BR"/>
              </w:rPr>
            </w:pPr>
          </w:p>
        </w:tc>
        <w:tc>
          <w:tcPr>
            <w:tcW w:w="1249" w:type="dxa"/>
            <w:tcBorders>
              <w:top w:val="nil"/>
              <w:left w:val="nil"/>
              <w:bottom w:val="nil"/>
              <w:right w:val="nil"/>
            </w:tcBorders>
            <w:shd w:val="clear" w:color="auto" w:fill="auto"/>
            <w:noWrap/>
            <w:vAlign w:val="center"/>
            <w:hideMark/>
          </w:tcPr>
          <w:p w14:paraId="22B17BEF" w14:textId="77777777" w:rsidR="00F7132F" w:rsidRPr="00F7132F" w:rsidRDefault="00F7132F" w:rsidP="00F7132F">
            <w:pPr>
              <w:spacing w:after="0" w:line="240" w:lineRule="auto"/>
              <w:rPr>
                <w:rFonts w:ascii="Times New Roman" w:eastAsia="Times New Roman" w:hAnsi="Times New Roman" w:cs="Times New Roman"/>
                <w:sz w:val="20"/>
                <w:szCs w:val="20"/>
                <w:lang w:eastAsia="pt-BR"/>
              </w:rPr>
            </w:pPr>
          </w:p>
        </w:tc>
        <w:tc>
          <w:tcPr>
            <w:tcW w:w="43" w:type="dxa"/>
            <w:tcBorders>
              <w:top w:val="nil"/>
              <w:left w:val="nil"/>
              <w:bottom w:val="nil"/>
              <w:right w:val="nil"/>
            </w:tcBorders>
            <w:shd w:val="clear" w:color="auto" w:fill="auto"/>
            <w:noWrap/>
            <w:vAlign w:val="center"/>
            <w:hideMark/>
          </w:tcPr>
          <w:p w14:paraId="0DEC382C" w14:textId="77777777" w:rsidR="00F7132F" w:rsidRPr="00F7132F" w:rsidRDefault="00F7132F" w:rsidP="00F7132F">
            <w:pPr>
              <w:spacing w:after="0" w:line="240" w:lineRule="auto"/>
              <w:rPr>
                <w:rFonts w:ascii="Times New Roman" w:eastAsia="Times New Roman" w:hAnsi="Times New Roman" w:cs="Times New Roman"/>
                <w:sz w:val="20"/>
                <w:szCs w:val="20"/>
                <w:lang w:eastAsia="pt-BR"/>
              </w:rPr>
            </w:pPr>
          </w:p>
        </w:tc>
        <w:tc>
          <w:tcPr>
            <w:tcW w:w="1249" w:type="dxa"/>
            <w:tcBorders>
              <w:top w:val="nil"/>
              <w:left w:val="nil"/>
              <w:bottom w:val="nil"/>
              <w:right w:val="nil"/>
            </w:tcBorders>
            <w:shd w:val="clear" w:color="auto" w:fill="auto"/>
            <w:noWrap/>
            <w:vAlign w:val="center"/>
            <w:hideMark/>
          </w:tcPr>
          <w:p w14:paraId="3A33BA3D" w14:textId="77777777" w:rsidR="00F7132F" w:rsidRPr="00F7132F" w:rsidRDefault="00F7132F" w:rsidP="00F7132F">
            <w:pPr>
              <w:spacing w:after="0" w:line="240" w:lineRule="auto"/>
              <w:rPr>
                <w:rFonts w:ascii="Times New Roman" w:eastAsia="Times New Roman" w:hAnsi="Times New Roman" w:cs="Times New Roman"/>
                <w:sz w:val="20"/>
                <w:szCs w:val="20"/>
                <w:lang w:eastAsia="pt-BR"/>
              </w:rPr>
            </w:pPr>
          </w:p>
        </w:tc>
      </w:tr>
      <w:tr w:rsidR="00F7132F" w:rsidRPr="00F7132F" w14:paraId="2940FB4C" w14:textId="77777777" w:rsidTr="00F7132F">
        <w:trPr>
          <w:trHeight w:val="20"/>
        </w:trPr>
        <w:tc>
          <w:tcPr>
            <w:tcW w:w="3920" w:type="dxa"/>
            <w:tcBorders>
              <w:top w:val="nil"/>
              <w:left w:val="nil"/>
              <w:bottom w:val="nil"/>
              <w:right w:val="nil"/>
            </w:tcBorders>
            <w:shd w:val="clear" w:color="auto" w:fill="auto"/>
            <w:noWrap/>
            <w:vAlign w:val="center"/>
            <w:hideMark/>
          </w:tcPr>
          <w:p w14:paraId="5EB5C148" w14:textId="77777777" w:rsidR="00F7132F" w:rsidRPr="00F7132F" w:rsidRDefault="00F7132F" w:rsidP="00F7132F">
            <w:pPr>
              <w:spacing w:after="0" w:line="240" w:lineRule="auto"/>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ELETROBRAS-RGR-ECF 2278/2507/2579</w:t>
            </w:r>
          </w:p>
        </w:tc>
        <w:tc>
          <w:tcPr>
            <w:tcW w:w="680" w:type="dxa"/>
            <w:tcBorders>
              <w:top w:val="nil"/>
              <w:left w:val="nil"/>
              <w:bottom w:val="nil"/>
              <w:right w:val="nil"/>
            </w:tcBorders>
            <w:shd w:val="clear" w:color="auto" w:fill="auto"/>
            <w:noWrap/>
            <w:vAlign w:val="center"/>
            <w:hideMark/>
          </w:tcPr>
          <w:p w14:paraId="7DC4DA9E"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R$</w:t>
            </w:r>
          </w:p>
        </w:tc>
        <w:tc>
          <w:tcPr>
            <w:tcW w:w="160" w:type="dxa"/>
            <w:tcBorders>
              <w:top w:val="nil"/>
              <w:left w:val="nil"/>
              <w:bottom w:val="nil"/>
              <w:right w:val="nil"/>
            </w:tcBorders>
            <w:shd w:val="clear" w:color="auto" w:fill="auto"/>
            <w:noWrap/>
            <w:vAlign w:val="center"/>
            <w:hideMark/>
          </w:tcPr>
          <w:p w14:paraId="0403DC15"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p>
        </w:tc>
        <w:tc>
          <w:tcPr>
            <w:tcW w:w="1040" w:type="dxa"/>
            <w:tcBorders>
              <w:top w:val="nil"/>
              <w:left w:val="nil"/>
              <w:bottom w:val="nil"/>
              <w:right w:val="nil"/>
            </w:tcBorders>
            <w:shd w:val="clear" w:color="auto" w:fill="auto"/>
            <w:noWrap/>
            <w:vAlign w:val="center"/>
            <w:hideMark/>
          </w:tcPr>
          <w:p w14:paraId="231ECEB3"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UFIR</w:t>
            </w:r>
          </w:p>
        </w:tc>
        <w:tc>
          <w:tcPr>
            <w:tcW w:w="160" w:type="dxa"/>
            <w:tcBorders>
              <w:top w:val="nil"/>
              <w:left w:val="nil"/>
              <w:bottom w:val="nil"/>
              <w:right w:val="nil"/>
            </w:tcBorders>
            <w:shd w:val="clear" w:color="auto" w:fill="auto"/>
            <w:noWrap/>
            <w:vAlign w:val="center"/>
            <w:hideMark/>
          </w:tcPr>
          <w:p w14:paraId="6FEC5DED"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p>
        </w:tc>
        <w:tc>
          <w:tcPr>
            <w:tcW w:w="759" w:type="dxa"/>
            <w:tcBorders>
              <w:top w:val="nil"/>
              <w:left w:val="nil"/>
              <w:bottom w:val="nil"/>
              <w:right w:val="nil"/>
            </w:tcBorders>
            <w:shd w:val="clear" w:color="auto" w:fill="auto"/>
            <w:noWrap/>
            <w:vAlign w:val="center"/>
            <w:hideMark/>
          </w:tcPr>
          <w:p w14:paraId="59DC3014"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5,00%</w:t>
            </w:r>
          </w:p>
        </w:tc>
        <w:tc>
          <w:tcPr>
            <w:tcW w:w="160" w:type="dxa"/>
            <w:tcBorders>
              <w:top w:val="nil"/>
              <w:left w:val="nil"/>
              <w:bottom w:val="nil"/>
              <w:right w:val="nil"/>
            </w:tcBorders>
            <w:shd w:val="clear" w:color="auto" w:fill="auto"/>
            <w:noWrap/>
            <w:vAlign w:val="center"/>
            <w:hideMark/>
          </w:tcPr>
          <w:p w14:paraId="6F2D4727"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p>
        </w:tc>
        <w:tc>
          <w:tcPr>
            <w:tcW w:w="1249" w:type="dxa"/>
            <w:tcBorders>
              <w:top w:val="nil"/>
              <w:left w:val="nil"/>
              <w:bottom w:val="nil"/>
              <w:right w:val="nil"/>
            </w:tcBorders>
            <w:shd w:val="clear" w:color="auto" w:fill="auto"/>
            <w:noWrap/>
            <w:vAlign w:val="center"/>
            <w:hideMark/>
          </w:tcPr>
          <w:p w14:paraId="370FA5D8" w14:textId="77777777" w:rsidR="00F7132F" w:rsidRPr="00F7132F" w:rsidRDefault="00F7132F" w:rsidP="00F7132F">
            <w:pPr>
              <w:spacing w:after="0" w:line="240" w:lineRule="auto"/>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 xml:space="preserve">      147.817 </w:t>
            </w:r>
          </w:p>
        </w:tc>
        <w:tc>
          <w:tcPr>
            <w:tcW w:w="43" w:type="dxa"/>
            <w:tcBorders>
              <w:top w:val="nil"/>
              <w:left w:val="nil"/>
              <w:bottom w:val="nil"/>
              <w:right w:val="nil"/>
            </w:tcBorders>
            <w:shd w:val="clear" w:color="auto" w:fill="auto"/>
            <w:noWrap/>
            <w:vAlign w:val="center"/>
            <w:hideMark/>
          </w:tcPr>
          <w:p w14:paraId="6E5A20EA" w14:textId="77777777" w:rsidR="00F7132F" w:rsidRPr="00F7132F" w:rsidRDefault="00F7132F" w:rsidP="00F7132F">
            <w:pPr>
              <w:spacing w:after="0" w:line="240" w:lineRule="auto"/>
              <w:rPr>
                <w:rFonts w:ascii="Verdana" w:eastAsia="Times New Roman" w:hAnsi="Verdana" w:cs="Calibri"/>
                <w:sz w:val="16"/>
                <w:szCs w:val="16"/>
                <w:lang w:eastAsia="pt-BR"/>
              </w:rPr>
            </w:pPr>
          </w:p>
        </w:tc>
        <w:tc>
          <w:tcPr>
            <w:tcW w:w="1249" w:type="dxa"/>
            <w:tcBorders>
              <w:top w:val="nil"/>
              <w:left w:val="nil"/>
              <w:bottom w:val="nil"/>
              <w:right w:val="nil"/>
            </w:tcBorders>
            <w:shd w:val="clear" w:color="auto" w:fill="auto"/>
            <w:noWrap/>
            <w:vAlign w:val="center"/>
            <w:hideMark/>
          </w:tcPr>
          <w:p w14:paraId="12AD9BDC" w14:textId="77777777" w:rsidR="00F7132F" w:rsidRPr="00F7132F" w:rsidRDefault="00F7132F" w:rsidP="00F7132F">
            <w:pPr>
              <w:spacing w:after="0" w:line="240" w:lineRule="auto"/>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 xml:space="preserve">        23.249 </w:t>
            </w:r>
          </w:p>
        </w:tc>
      </w:tr>
      <w:tr w:rsidR="00F7132F" w:rsidRPr="00F7132F" w14:paraId="521D05E6" w14:textId="77777777" w:rsidTr="00F7132F">
        <w:trPr>
          <w:trHeight w:val="20"/>
        </w:trPr>
        <w:tc>
          <w:tcPr>
            <w:tcW w:w="3920" w:type="dxa"/>
            <w:tcBorders>
              <w:top w:val="nil"/>
              <w:left w:val="nil"/>
              <w:bottom w:val="nil"/>
              <w:right w:val="nil"/>
            </w:tcBorders>
            <w:shd w:val="clear" w:color="auto" w:fill="auto"/>
            <w:noWrap/>
            <w:vAlign w:val="center"/>
            <w:hideMark/>
          </w:tcPr>
          <w:p w14:paraId="3CF56B2D" w14:textId="77777777" w:rsidR="00F7132F" w:rsidRPr="00F7132F" w:rsidRDefault="00F7132F" w:rsidP="00F7132F">
            <w:pPr>
              <w:spacing w:after="0" w:line="240" w:lineRule="auto"/>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FURNAS-Instrumento de Confissão de Dívida</w:t>
            </w:r>
          </w:p>
        </w:tc>
        <w:tc>
          <w:tcPr>
            <w:tcW w:w="680" w:type="dxa"/>
            <w:tcBorders>
              <w:top w:val="nil"/>
              <w:left w:val="nil"/>
              <w:bottom w:val="nil"/>
              <w:right w:val="nil"/>
            </w:tcBorders>
            <w:shd w:val="clear" w:color="auto" w:fill="auto"/>
            <w:noWrap/>
            <w:vAlign w:val="center"/>
            <w:hideMark/>
          </w:tcPr>
          <w:p w14:paraId="2E1D6BA6"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R$</w:t>
            </w:r>
          </w:p>
        </w:tc>
        <w:tc>
          <w:tcPr>
            <w:tcW w:w="160" w:type="dxa"/>
            <w:tcBorders>
              <w:top w:val="nil"/>
              <w:left w:val="nil"/>
              <w:bottom w:val="nil"/>
              <w:right w:val="nil"/>
            </w:tcBorders>
            <w:shd w:val="clear" w:color="auto" w:fill="auto"/>
            <w:noWrap/>
            <w:vAlign w:val="center"/>
            <w:hideMark/>
          </w:tcPr>
          <w:p w14:paraId="39B79207"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p>
        </w:tc>
        <w:tc>
          <w:tcPr>
            <w:tcW w:w="1040" w:type="dxa"/>
            <w:tcBorders>
              <w:top w:val="nil"/>
              <w:left w:val="nil"/>
              <w:bottom w:val="nil"/>
              <w:right w:val="nil"/>
            </w:tcBorders>
            <w:shd w:val="clear" w:color="auto" w:fill="auto"/>
            <w:noWrap/>
            <w:vAlign w:val="center"/>
            <w:hideMark/>
          </w:tcPr>
          <w:p w14:paraId="5269DE66"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IPCA</w:t>
            </w:r>
          </w:p>
        </w:tc>
        <w:tc>
          <w:tcPr>
            <w:tcW w:w="160" w:type="dxa"/>
            <w:tcBorders>
              <w:top w:val="nil"/>
              <w:left w:val="nil"/>
              <w:bottom w:val="nil"/>
              <w:right w:val="nil"/>
            </w:tcBorders>
            <w:shd w:val="clear" w:color="auto" w:fill="auto"/>
            <w:noWrap/>
            <w:vAlign w:val="center"/>
            <w:hideMark/>
          </w:tcPr>
          <w:p w14:paraId="4285D050"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p>
        </w:tc>
        <w:tc>
          <w:tcPr>
            <w:tcW w:w="759" w:type="dxa"/>
            <w:tcBorders>
              <w:top w:val="nil"/>
              <w:left w:val="nil"/>
              <w:bottom w:val="nil"/>
              <w:right w:val="nil"/>
            </w:tcBorders>
            <w:shd w:val="clear" w:color="auto" w:fill="auto"/>
            <w:noWrap/>
            <w:vAlign w:val="center"/>
            <w:hideMark/>
          </w:tcPr>
          <w:p w14:paraId="22955E10"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7,92%</w:t>
            </w:r>
          </w:p>
        </w:tc>
        <w:tc>
          <w:tcPr>
            <w:tcW w:w="160" w:type="dxa"/>
            <w:tcBorders>
              <w:top w:val="nil"/>
              <w:left w:val="nil"/>
              <w:bottom w:val="nil"/>
              <w:right w:val="nil"/>
            </w:tcBorders>
            <w:shd w:val="clear" w:color="auto" w:fill="auto"/>
            <w:noWrap/>
            <w:vAlign w:val="center"/>
            <w:hideMark/>
          </w:tcPr>
          <w:p w14:paraId="57464CD9"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p>
        </w:tc>
        <w:tc>
          <w:tcPr>
            <w:tcW w:w="1249" w:type="dxa"/>
            <w:tcBorders>
              <w:top w:val="nil"/>
              <w:left w:val="nil"/>
              <w:bottom w:val="nil"/>
              <w:right w:val="nil"/>
            </w:tcBorders>
            <w:shd w:val="clear" w:color="auto" w:fill="auto"/>
            <w:noWrap/>
            <w:vAlign w:val="center"/>
            <w:hideMark/>
          </w:tcPr>
          <w:p w14:paraId="3EFF1426" w14:textId="77777777" w:rsidR="00F7132F" w:rsidRPr="00F7132F" w:rsidRDefault="00F7132F" w:rsidP="00F7132F">
            <w:pPr>
              <w:spacing w:after="0" w:line="240" w:lineRule="auto"/>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 xml:space="preserve">      298.242 </w:t>
            </w:r>
          </w:p>
        </w:tc>
        <w:tc>
          <w:tcPr>
            <w:tcW w:w="43" w:type="dxa"/>
            <w:tcBorders>
              <w:top w:val="nil"/>
              <w:left w:val="nil"/>
              <w:bottom w:val="nil"/>
              <w:right w:val="nil"/>
            </w:tcBorders>
            <w:shd w:val="clear" w:color="auto" w:fill="auto"/>
            <w:noWrap/>
            <w:vAlign w:val="center"/>
            <w:hideMark/>
          </w:tcPr>
          <w:p w14:paraId="5AB4BE2F" w14:textId="77777777" w:rsidR="00F7132F" w:rsidRPr="00F7132F" w:rsidRDefault="00F7132F" w:rsidP="00F7132F">
            <w:pPr>
              <w:spacing w:after="0" w:line="240" w:lineRule="auto"/>
              <w:rPr>
                <w:rFonts w:ascii="Verdana" w:eastAsia="Times New Roman" w:hAnsi="Verdana" w:cs="Calibri"/>
                <w:sz w:val="16"/>
                <w:szCs w:val="16"/>
                <w:lang w:eastAsia="pt-BR"/>
              </w:rPr>
            </w:pPr>
          </w:p>
        </w:tc>
        <w:tc>
          <w:tcPr>
            <w:tcW w:w="1249" w:type="dxa"/>
            <w:tcBorders>
              <w:top w:val="nil"/>
              <w:left w:val="nil"/>
              <w:bottom w:val="nil"/>
              <w:right w:val="nil"/>
            </w:tcBorders>
            <w:shd w:val="clear" w:color="auto" w:fill="auto"/>
            <w:noWrap/>
            <w:vAlign w:val="center"/>
            <w:hideMark/>
          </w:tcPr>
          <w:p w14:paraId="62F0FCBF" w14:textId="77777777" w:rsidR="00F7132F" w:rsidRPr="00F7132F" w:rsidRDefault="00F7132F" w:rsidP="00F7132F">
            <w:pPr>
              <w:spacing w:after="0" w:line="240" w:lineRule="auto"/>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 xml:space="preserve">        89.155 </w:t>
            </w:r>
          </w:p>
        </w:tc>
      </w:tr>
      <w:tr w:rsidR="00F7132F" w:rsidRPr="00F7132F" w14:paraId="36DA5E97" w14:textId="77777777" w:rsidTr="00F7132F">
        <w:trPr>
          <w:trHeight w:val="20"/>
        </w:trPr>
        <w:tc>
          <w:tcPr>
            <w:tcW w:w="3920" w:type="dxa"/>
            <w:tcBorders>
              <w:top w:val="nil"/>
              <w:left w:val="nil"/>
              <w:bottom w:val="nil"/>
              <w:right w:val="nil"/>
            </w:tcBorders>
            <w:shd w:val="clear" w:color="auto" w:fill="auto"/>
            <w:noWrap/>
            <w:vAlign w:val="center"/>
            <w:hideMark/>
          </w:tcPr>
          <w:p w14:paraId="3E783294" w14:textId="77777777" w:rsidR="00F7132F" w:rsidRPr="00F7132F" w:rsidRDefault="00F7132F" w:rsidP="00F7132F">
            <w:pPr>
              <w:spacing w:after="0" w:line="240" w:lineRule="auto"/>
              <w:rPr>
                <w:rFonts w:ascii="Verdana" w:eastAsia="Times New Roman" w:hAnsi="Verdana" w:cs="Calibri"/>
                <w:sz w:val="16"/>
                <w:szCs w:val="16"/>
                <w:lang w:eastAsia="pt-BR"/>
              </w:rPr>
            </w:pPr>
          </w:p>
        </w:tc>
        <w:tc>
          <w:tcPr>
            <w:tcW w:w="680" w:type="dxa"/>
            <w:tcBorders>
              <w:top w:val="nil"/>
              <w:left w:val="nil"/>
              <w:bottom w:val="nil"/>
              <w:right w:val="nil"/>
            </w:tcBorders>
            <w:shd w:val="clear" w:color="auto" w:fill="auto"/>
            <w:noWrap/>
            <w:vAlign w:val="center"/>
            <w:hideMark/>
          </w:tcPr>
          <w:p w14:paraId="2439326E" w14:textId="77777777" w:rsidR="00F7132F" w:rsidRPr="00F7132F" w:rsidRDefault="00F7132F" w:rsidP="00F7132F">
            <w:pPr>
              <w:spacing w:after="0" w:line="240" w:lineRule="auto"/>
              <w:rPr>
                <w:rFonts w:ascii="Times New Roman" w:eastAsia="Times New Roman" w:hAnsi="Times New Roman" w:cs="Times New Roman"/>
                <w:sz w:val="20"/>
                <w:szCs w:val="20"/>
                <w:lang w:eastAsia="pt-BR"/>
              </w:rPr>
            </w:pPr>
          </w:p>
        </w:tc>
        <w:tc>
          <w:tcPr>
            <w:tcW w:w="160" w:type="dxa"/>
            <w:tcBorders>
              <w:top w:val="nil"/>
              <w:left w:val="nil"/>
              <w:bottom w:val="nil"/>
              <w:right w:val="nil"/>
            </w:tcBorders>
            <w:shd w:val="clear" w:color="auto" w:fill="auto"/>
            <w:noWrap/>
            <w:vAlign w:val="center"/>
            <w:hideMark/>
          </w:tcPr>
          <w:p w14:paraId="4150778F" w14:textId="77777777" w:rsidR="00F7132F" w:rsidRPr="00F7132F" w:rsidRDefault="00F7132F" w:rsidP="00F7132F">
            <w:pPr>
              <w:spacing w:after="0" w:line="240" w:lineRule="auto"/>
              <w:jc w:val="center"/>
              <w:rPr>
                <w:rFonts w:ascii="Times New Roman" w:eastAsia="Times New Roman" w:hAnsi="Times New Roman" w:cs="Times New Roman"/>
                <w:sz w:val="20"/>
                <w:szCs w:val="20"/>
                <w:lang w:eastAsia="pt-BR"/>
              </w:rPr>
            </w:pPr>
          </w:p>
        </w:tc>
        <w:tc>
          <w:tcPr>
            <w:tcW w:w="1040" w:type="dxa"/>
            <w:tcBorders>
              <w:top w:val="nil"/>
              <w:left w:val="nil"/>
              <w:bottom w:val="nil"/>
              <w:right w:val="nil"/>
            </w:tcBorders>
            <w:shd w:val="clear" w:color="auto" w:fill="auto"/>
            <w:noWrap/>
            <w:vAlign w:val="center"/>
            <w:hideMark/>
          </w:tcPr>
          <w:p w14:paraId="47077B5F" w14:textId="77777777" w:rsidR="00F7132F" w:rsidRPr="00F7132F" w:rsidRDefault="00F7132F" w:rsidP="00F7132F">
            <w:pPr>
              <w:spacing w:after="0" w:line="240" w:lineRule="auto"/>
              <w:rPr>
                <w:rFonts w:ascii="Times New Roman" w:eastAsia="Times New Roman" w:hAnsi="Times New Roman" w:cs="Times New Roman"/>
                <w:sz w:val="20"/>
                <w:szCs w:val="20"/>
                <w:lang w:eastAsia="pt-BR"/>
              </w:rPr>
            </w:pPr>
          </w:p>
        </w:tc>
        <w:tc>
          <w:tcPr>
            <w:tcW w:w="160" w:type="dxa"/>
            <w:tcBorders>
              <w:top w:val="nil"/>
              <w:left w:val="nil"/>
              <w:bottom w:val="nil"/>
              <w:right w:val="nil"/>
            </w:tcBorders>
            <w:shd w:val="clear" w:color="auto" w:fill="auto"/>
            <w:noWrap/>
            <w:vAlign w:val="center"/>
            <w:hideMark/>
          </w:tcPr>
          <w:p w14:paraId="0514BDDD" w14:textId="77777777" w:rsidR="00F7132F" w:rsidRPr="00F7132F" w:rsidRDefault="00F7132F" w:rsidP="00F7132F">
            <w:pPr>
              <w:spacing w:after="0" w:line="240" w:lineRule="auto"/>
              <w:jc w:val="center"/>
              <w:rPr>
                <w:rFonts w:ascii="Times New Roman" w:eastAsia="Times New Roman" w:hAnsi="Times New Roman" w:cs="Times New Roman"/>
                <w:sz w:val="20"/>
                <w:szCs w:val="20"/>
                <w:lang w:eastAsia="pt-BR"/>
              </w:rPr>
            </w:pPr>
          </w:p>
        </w:tc>
        <w:tc>
          <w:tcPr>
            <w:tcW w:w="759" w:type="dxa"/>
            <w:tcBorders>
              <w:top w:val="nil"/>
              <w:left w:val="nil"/>
              <w:bottom w:val="nil"/>
              <w:right w:val="nil"/>
            </w:tcBorders>
            <w:shd w:val="clear" w:color="auto" w:fill="auto"/>
            <w:noWrap/>
            <w:vAlign w:val="center"/>
            <w:hideMark/>
          </w:tcPr>
          <w:p w14:paraId="07C46C4E" w14:textId="77777777" w:rsidR="00F7132F" w:rsidRPr="00F7132F" w:rsidRDefault="00F7132F" w:rsidP="00F7132F">
            <w:pPr>
              <w:spacing w:after="0" w:line="240" w:lineRule="auto"/>
              <w:rPr>
                <w:rFonts w:ascii="Times New Roman" w:eastAsia="Times New Roman" w:hAnsi="Times New Roman" w:cs="Times New Roman"/>
                <w:sz w:val="20"/>
                <w:szCs w:val="20"/>
                <w:lang w:eastAsia="pt-BR"/>
              </w:rPr>
            </w:pPr>
          </w:p>
        </w:tc>
        <w:tc>
          <w:tcPr>
            <w:tcW w:w="160" w:type="dxa"/>
            <w:tcBorders>
              <w:top w:val="nil"/>
              <w:left w:val="nil"/>
              <w:bottom w:val="nil"/>
              <w:right w:val="nil"/>
            </w:tcBorders>
            <w:shd w:val="clear" w:color="auto" w:fill="auto"/>
            <w:noWrap/>
            <w:vAlign w:val="center"/>
            <w:hideMark/>
          </w:tcPr>
          <w:p w14:paraId="157B9579" w14:textId="77777777" w:rsidR="00F7132F" w:rsidRPr="00F7132F" w:rsidRDefault="00F7132F" w:rsidP="00F7132F">
            <w:pPr>
              <w:spacing w:after="0" w:line="240" w:lineRule="auto"/>
              <w:jc w:val="center"/>
              <w:rPr>
                <w:rFonts w:ascii="Times New Roman" w:eastAsia="Times New Roman" w:hAnsi="Times New Roman" w:cs="Times New Roman"/>
                <w:sz w:val="20"/>
                <w:szCs w:val="20"/>
                <w:lang w:eastAsia="pt-BR"/>
              </w:rPr>
            </w:pPr>
          </w:p>
        </w:tc>
        <w:tc>
          <w:tcPr>
            <w:tcW w:w="1249" w:type="dxa"/>
            <w:tcBorders>
              <w:top w:val="nil"/>
              <w:left w:val="nil"/>
              <w:bottom w:val="nil"/>
              <w:right w:val="nil"/>
            </w:tcBorders>
            <w:shd w:val="clear" w:color="auto" w:fill="auto"/>
            <w:noWrap/>
            <w:vAlign w:val="center"/>
            <w:hideMark/>
          </w:tcPr>
          <w:p w14:paraId="41221215" w14:textId="77777777" w:rsidR="00F7132F" w:rsidRPr="00F7132F" w:rsidRDefault="00F7132F" w:rsidP="00F7132F">
            <w:pPr>
              <w:spacing w:after="0" w:line="240" w:lineRule="auto"/>
              <w:rPr>
                <w:rFonts w:ascii="Times New Roman" w:eastAsia="Times New Roman" w:hAnsi="Times New Roman" w:cs="Times New Roman"/>
                <w:sz w:val="20"/>
                <w:szCs w:val="20"/>
                <w:lang w:eastAsia="pt-BR"/>
              </w:rPr>
            </w:pPr>
          </w:p>
        </w:tc>
        <w:tc>
          <w:tcPr>
            <w:tcW w:w="43" w:type="dxa"/>
            <w:tcBorders>
              <w:top w:val="nil"/>
              <w:left w:val="nil"/>
              <w:bottom w:val="nil"/>
              <w:right w:val="nil"/>
            </w:tcBorders>
            <w:shd w:val="clear" w:color="auto" w:fill="auto"/>
            <w:noWrap/>
            <w:vAlign w:val="center"/>
            <w:hideMark/>
          </w:tcPr>
          <w:p w14:paraId="531C8246" w14:textId="77777777" w:rsidR="00F7132F" w:rsidRPr="00F7132F" w:rsidRDefault="00F7132F" w:rsidP="00F7132F">
            <w:pPr>
              <w:spacing w:after="0" w:line="240" w:lineRule="auto"/>
              <w:rPr>
                <w:rFonts w:ascii="Times New Roman" w:eastAsia="Times New Roman" w:hAnsi="Times New Roman" w:cs="Times New Roman"/>
                <w:sz w:val="20"/>
                <w:szCs w:val="20"/>
                <w:lang w:eastAsia="pt-BR"/>
              </w:rPr>
            </w:pPr>
          </w:p>
        </w:tc>
        <w:tc>
          <w:tcPr>
            <w:tcW w:w="1249" w:type="dxa"/>
            <w:tcBorders>
              <w:top w:val="nil"/>
              <w:left w:val="nil"/>
              <w:bottom w:val="nil"/>
              <w:right w:val="nil"/>
            </w:tcBorders>
            <w:shd w:val="clear" w:color="auto" w:fill="auto"/>
            <w:noWrap/>
            <w:vAlign w:val="center"/>
            <w:hideMark/>
          </w:tcPr>
          <w:p w14:paraId="07BE9EAF" w14:textId="77777777" w:rsidR="00F7132F" w:rsidRPr="00F7132F" w:rsidRDefault="00F7132F" w:rsidP="00F7132F">
            <w:pPr>
              <w:spacing w:after="0" w:line="240" w:lineRule="auto"/>
              <w:rPr>
                <w:rFonts w:ascii="Times New Roman" w:eastAsia="Times New Roman" w:hAnsi="Times New Roman" w:cs="Times New Roman"/>
                <w:sz w:val="20"/>
                <w:szCs w:val="20"/>
                <w:lang w:eastAsia="pt-BR"/>
              </w:rPr>
            </w:pPr>
          </w:p>
        </w:tc>
      </w:tr>
      <w:tr w:rsidR="00F7132F" w:rsidRPr="00F7132F" w14:paraId="6570B85F" w14:textId="77777777" w:rsidTr="00F7132F">
        <w:trPr>
          <w:trHeight w:val="20"/>
        </w:trPr>
        <w:tc>
          <w:tcPr>
            <w:tcW w:w="3920" w:type="dxa"/>
            <w:tcBorders>
              <w:top w:val="nil"/>
              <w:left w:val="nil"/>
              <w:bottom w:val="nil"/>
              <w:right w:val="nil"/>
            </w:tcBorders>
            <w:shd w:val="clear" w:color="auto" w:fill="auto"/>
            <w:noWrap/>
            <w:vAlign w:val="center"/>
          </w:tcPr>
          <w:p w14:paraId="726B977A" w14:textId="77777777" w:rsidR="00F7132F" w:rsidRPr="00F7132F" w:rsidRDefault="00F7132F" w:rsidP="00F7132F">
            <w:pPr>
              <w:spacing w:after="0" w:line="240" w:lineRule="auto"/>
              <w:rPr>
                <w:rFonts w:ascii="Verdana" w:eastAsia="Times New Roman" w:hAnsi="Verdana" w:cs="Calibri"/>
                <w:sz w:val="16"/>
                <w:szCs w:val="16"/>
                <w:lang w:eastAsia="pt-BR"/>
              </w:rPr>
            </w:pPr>
          </w:p>
        </w:tc>
        <w:tc>
          <w:tcPr>
            <w:tcW w:w="680" w:type="dxa"/>
            <w:tcBorders>
              <w:top w:val="nil"/>
              <w:left w:val="nil"/>
              <w:bottom w:val="nil"/>
              <w:right w:val="nil"/>
            </w:tcBorders>
            <w:shd w:val="clear" w:color="auto" w:fill="auto"/>
            <w:noWrap/>
            <w:vAlign w:val="center"/>
          </w:tcPr>
          <w:p w14:paraId="249F0E3F" w14:textId="77777777" w:rsidR="00F7132F" w:rsidRPr="00F7132F" w:rsidRDefault="00F7132F" w:rsidP="00F7132F">
            <w:pPr>
              <w:spacing w:after="0" w:line="240" w:lineRule="auto"/>
              <w:rPr>
                <w:rFonts w:ascii="Times New Roman" w:eastAsia="Times New Roman" w:hAnsi="Times New Roman" w:cs="Times New Roman"/>
                <w:sz w:val="20"/>
                <w:szCs w:val="20"/>
                <w:lang w:eastAsia="pt-BR"/>
              </w:rPr>
            </w:pPr>
          </w:p>
        </w:tc>
        <w:tc>
          <w:tcPr>
            <w:tcW w:w="160" w:type="dxa"/>
            <w:tcBorders>
              <w:top w:val="nil"/>
              <w:left w:val="nil"/>
              <w:bottom w:val="nil"/>
              <w:right w:val="nil"/>
            </w:tcBorders>
            <w:shd w:val="clear" w:color="auto" w:fill="auto"/>
            <w:noWrap/>
            <w:vAlign w:val="center"/>
          </w:tcPr>
          <w:p w14:paraId="04F24229" w14:textId="77777777" w:rsidR="00F7132F" w:rsidRPr="00F7132F" w:rsidRDefault="00F7132F" w:rsidP="00F7132F">
            <w:pPr>
              <w:spacing w:after="0" w:line="240" w:lineRule="auto"/>
              <w:jc w:val="center"/>
              <w:rPr>
                <w:rFonts w:ascii="Times New Roman" w:eastAsia="Times New Roman" w:hAnsi="Times New Roman" w:cs="Times New Roman"/>
                <w:sz w:val="20"/>
                <w:szCs w:val="20"/>
                <w:lang w:eastAsia="pt-BR"/>
              </w:rPr>
            </w:pPr>
          </w:p>
        </w:tc>
        <w:tc>
          <w:tcPr>
            <w:tcW w:w="1040" w:type="dxa"/>
            <w:tcBorders>
              <w:top w:val="nil"/>
              <w:left w:val="nil"/>
              <w:bottom w:val="nil"/>
              <w:right w:val="nil"/>
            </w:tcBorders>
            <w:shd w:val="clear" w:color="auto" w:fill="auto"/>
            <w:noWrap/>
            <w:vAlign w:val="center"/>
          </w:tcPr>
          <w:p w14:paraId="5CE0C601" w14:textId="77777777" w:rsidR="00F7132F" w:rsidRPr="00F7132F" w:rsidRDefault="00F7132F" w:rsidP="00F7132F">
            <w:pPr>
              <w:spacing w:after="0" w:line="240" w:lineRule="auto"/>
              <w:rPr>
                <w:rFonts w:ascii="Times New Roman" w:eastAsia="Times New Roman" w:hAnsi="Times New Roman" w:cs="Times New Roman"/>
                <w:sz w:val="20"/>
                <w:szCs w:val="20"/>
                <w:lang w:eastAsia="pt-BR"/>
              </w:rPr>
            </w:pPr>
          </w:p>
        </w:tc>
        <w:tc>
          <w:tcPr>
            <w:tcW w:w="160" w:type="dxa"/>
            <w:tcBorders>
              <w:top w:val="nil"/>
              <w:left w:val="nil"/>
              <w:bottom w:val="nil"/>
              <w:right w:val="nil"/>
            </w:tcBorders>
            <w:shd w:val="clear" w:color="auto" w:fill="auto"/>
            <w:noWrap/>
            <w:vAlign w:val="center"/>
          </w:tcPr>
          <w:p w14:paraId="36190D86" w14:textId="77777777" w:rsidR="00F7132F" w:rsidRPr="00F7132F" w:rsidRDefault="00F7132F" w:rsidP="00F7132F">
            <w:pPr>
              <w:spacing w:after="0" w:line="240" w:lineRule="auto"/>
              <w:jc w:val="center"/>
              <w:rPr>
                <w:rFonts w:ascii="Times New Roman" w:eastAsia="Times New Roman" w:hAnsi="Times New Roman" w:cs="Times New Roman"/>
                <w:sz w:val="20"/>
                <w:szCs w:val="20"/>
                <w:lang w:eastAsia="pt-BR"/>
              </w:rPr>
            </w:pPr>
          </w:p>
        </w:tc>
        <w:tc>
          <w:tcPr>
            <w:tcW w:w="759" w:type="dxa"/>
            <w:tcBorders>
              <w:top w:val="nil"/>
              <w:left w:val="nil"/>
              <w:bottom w:val="nil"/>
              <w:right w:val="nil"/>
            </w:tcBorders>
            <w:shd w:val="clear" w:color="auto" w:fill="auto"/>
            <w:noWrap/>
            <w:vAlign w:val="center"/>
          </w:tcPr>
          <w:p w14:paraId="7A289C80" w14:textId="77777777" w:rsidR="00F7132F" w:rsidRPr="00F7132F" w:rsidRDefault="00F7132F" w:rsidP="00F7132F">
            <w:pPr>
              <w:spacing w:after="0" w:line="240" w:lineRule="auto"/>
              <w:rPr>
                <w:rFonts w:ascii="Times New Roman" w:eastAsia="Times New Roman" w:hAnsi="Times New Roman" w:cs="Times New Roman"/>
                <w:sz w:val="20"/>
                <w:szCs w:val="20"/>
                <w:lang w:eastAsia="pt-BR"/>
              </w:rPr>
            </w:pPr>
          </w:p>
        </w:tc>
        <w:tc>
          <w:tcPr>
            <w:tcW w:w="160" w:type="dxa"/>
            <w:tcBorders>
              <w:top w:val="nil"/>
              <w:left w:val="nil"/>
              <w:bottom w:val="nil"/>
              <w:right w:val="nil"/>
            </w:tcBorders>
            <w:shd w:val="clear" w:color="auto" w:fill="auto"/>
            <w:noWrap/>
            <w:vAlign w:val="center"/>
          </w:tcPr>
          <w:p w14:paraId="0308DE01" w14:textId="77777777" w:rsidR="00F7132F" w:rsidRPr="00F7132F" w:rsidRDefault="00F7132F" w:rsidP="00F7132F">
            <w:pPr>
              <w:spacing w:after="0" w:line="240" w:lineRule="auto"/>
              <w:jc w:val="center"/>
              <w:rPr>
                <w:rFonts w:ascii="Times New Roman" w:eastAsia="Times New Roman" w:hAnsi="Times New Roman" w:cs="Times New Roman"/>
                <w:sz w:val="20"/>
                <w:szCs w:val="20"/>
                <w:lang w:eastAsia="pt-BR"/>
              </w:rPr>
            </w:pPr>
          </w:p>
        </w:tc>
        <w:tc>
          <w:tcPr>
            <w:tcW w:w="1249" w:type="dxa"/>
            <w:tcBorders>
              <w:top w:val="nil"/>
              <w:left w:val="nil"/>
              <w:bottom w:val="nil"/>
              <w:right w:val="nil"/>
            </w:tcBorders>
            <w:shd w:val="clear" w:color="auto" w:fill="auto"/>
            <w:noWrap/>
            <w:vAlign w:val="center"/>
          </w:tcPr>
          <w:p w14:paraId="06397773" w14:textId="77777777" w:rsidR="00F7132F" w:rsidRPr="00F7132F" w:rsidRDefault="00F7132F" w:rsidP="00F7132F">
            <w:pPr>
              <w:spacing w:after="0" w:line="240" w:lineRule="auto"/>
              <w:rPr>
                <w:rFonts w:ascii="Times New Roman" w:eastAsia="Times New Roman" w:hAnsi="Times New Roman" w:cs="Times New Roman"/>
                <w:sz w:val="20"/>
                <w:szCs w:val="20"/>
                <w:lang w:eastAsia="pt-BR"/>
              </w:rPr>
            </w:pPr>
          </w:p>
        </w:tc>
        <w:tc>
          <w:tcPr>
            <w:tcW w:w="43" w:type="dxa"/>
            <w:tcBorders>
              <w:top w:val="nil"/>
              <w:left w:val="nil"/>
              <w:bottom w:val="nil"/>
              <w:right w:val="nil"/>
            </w:tcBorders>
            <w:shd w:val="clear" w:color="auto" w:fill="auto"/>
            <w:noWrap/>
            <w:vAlign w:val="center"/>
          </w:tcPr>
          <w:p w14:paraId="65A83B43" w14:textId="77777777" w:rsidR="00F7132F" w:rsidRPr="00F7132F" w:rsidRDefault="00F7132F" w:rsidP="00F7132F">
            <w:pPr>
              <w:spacing w:after="0" w:line="240" w:lineRule="auto"/>
              <w:rPr>
                <w:rFonts w:ascii="Times New Roman" w:eastAsia="Times New Roman" w:hAnsi="Times New Roman" w:cs="Times New Roman"/>
                <w:sz w:val="20"/>
                <w:szCs w:val="20"/>
                <w:lang w:eastAsia="pt-BR"/>
              </w:rPr>
            </w:pPr>
          </w:p>
        </w:tc>
        <w:tc>
          <w:tcPr>
            <w:tcW w:w="1249" w:type="dxa"/>
            <w:tcBorders>
              <w:top w:val="nil"/>
              <w:left w:val="nil"/>
              <w:bottom w:val="nil"/>
              <w:right w:val="nil"/>
            </w:tcBorders>
            <w:shd w:val="clear" w:color="auto" w:fill="auto"/>
            <w:noWrap/>
            <w:vAlign w:val="center"/>
          </w:tcPr>
          <w:p w14:paraId="01F66AED" w14:textId="77777777" w:rsidR="00F7132F" w:rsidRPr="00F7132F" w:rsidRDefault="00F7132F" w:rsidP="00F7132F">
            <w:pPr>
              <w:spacing w:after="0" w:line="240" w:lineRule="auto"/>
              <w:rPr>
                <w:rFonts w:ascii="Times New Roman" w:eastAsia="Times New Roman" w:hAnsi="Times New Roman" w:cs="Times New Roman"/>
                <w:sz w:val="20"/>
                <w:szCs w:val="20"/>
                <w:lang w:eastAsia="pt-BR"/>
              </w:rPr>
            </w:pPr>
          </w:p>
        </w:tc>
      </w:tr>
      <w:tr w:rsidR="00F7132F" w:rsidRPr="00F7132F" w14:paraId="39783991" w14:textId="77777777" w:rsidTr="00F7132F">
        <w:trPr>
          <w:trHeight w:val="20"/>
        </w:trPr>
        <w:tc>
          <w:tcPr>
            <w:tcW w:w="3920" w:type="dxa"/>
            <w:tcBorders>
              <w:top w:val="nil"/>
              <w:left w:val="nil"/>
              <w:bottom w:val="nil"/>
              <w:right w:val="nil"/>
            </w:tcBorders>
            <w:shd w:val="clear" w:color="auto" w:fill="auto"/>
            <w:noWrap/>
            <w:vAlign w:val="center"/>
            <w:hideMark/>
          </w:tcPr>
          <w:p w14:paraId="305E1026" w14:textId="77777777" w:rsidR="00F7132F" w:rsidRPr="00F7132F" w:rsidRDefault="00F7132F" w:rsidP="00F7132F">
            <w:pPr>
              <w:spacing w:after="0" w:line="240" w:lineRule="auto"/>
              <w:rPr>
                <w:rFonts w:ascii="Verdana" w:eastAsia="Times New Roman" w:hAnsi="Verdana" w:cs="Calibri"/>
                <w:b/>
                <w:bCs/>
                <w:sz w:val="16"/>
                <w:szCs w:val="16"/>
                <w:lang w:eastAsia="pt-BR"/>
              </w:rPr>
            </w:pPr>
            <w:r w:rsidRPr="00F7132F">
              <w:rPr>
                <w:rFonts w:ascii="Verdana" w:eastAsia="Times New Roman" w:hAnsi="Verdana" w:cs="Calibri"/>
                <w:b/>
                <w:bCs/>
                <w:sz w:val="16"/>
                <w:szCs w:val="16"/>
                <w:lang w:eastAsia="pt-BR"/>
              </w:rPr>
              <w:t>ANGRAS 3:</w:t>
            </w:r>
          </w:p>
        </w:tc>
        <w:tc>
          <w:tcPr>
            <w:tcW w:w="680" w:type="dxa"/>
            <w:tcBorders>
              <w:top w:val="nil"/>
              <w:left w:val="nil"/>
              <w:bottom w:val="nil"/>
              <w:right w:val="nil"/>
            </w:tcBorders>
            <w:shd w:val="clear" w:color="auto" w:fill="auto"/>
            <w:noWrap/>
            <w:vAlign w:val="center"/>
            <w:hideMark/>
          </w:tcPr>
          <w:p w14:paraId="239E410C" w14:textId="77777777" w:rsidR="00F7132F" w:rsidRPr="00F7132F" w:rsidRDefault="00F7132F" w:rsidP="00F7132F">
            <w:pPr>
              <w:spacing w:after="0" w:line="240" w:lineRule="auto"/>
              <w:rPr>
                <w:rFonts w:ascii="Verdana" w:eastAsia="Times New Roman" w:hAnsi="Verdana" w:cs="Calibri"/>
                <w:b/>
                <w:bCs/>
                <w:sz w:val="16"/>
                <w:szCs w:val="16"/>
                <w:lang w:eastAsia="pt-BR"/>
              </w:rPr>
            </w:pPr>
          </w:p>
        </w:tc>
        <w:tc>
          <w:tcPr>
            <w:tcW w:w="160" w:type="dxa"/>
            <w:tcBorders>
              <w:top w:val="nil"/>
              <w:left w:val="nil"/>
              <w:bottom w:val="nil"/>
              <w:right w:val="nil"/>
            </w:tcBorders>
            <w:shd w:val="clear" w:color="auto" w:fill="auto"/>
            <w:noWrap/>
            <w:vAlign w:val="center"/>
            <w:hideMark/>
          </w:tcPr>
          <w:p w14:paraId="09322887" w14:textId="77777777" w:rsidR="00F7132F" w:rsidRPr="00F7132F" w:rsidRDefault="00F7132F" w:rsidP="00F7132F">
            <w:pPr>
              <w:spacing w:after="0" w:line="240" w:lineRule="auto"/>
              <w:jc w:val="center"/>
              <w:rPr>
                <w:rFonts w:ascii="Times New Roman" w:eastAsia="Times New Roman" w:hAnsi="Times New Roman" w:cs="Times New Roman"/>
                <w:sz w:val="20"/>
                <w:szCs w:val="20"/>
                <w:lang w:eastAsia="pt-BR"/>
              </w:rPr>
            </w:pPr>
          </w:p>
        </w:tc>
        <w:tc>
          <w:tcPr>
            <w:tcW w:w="1040" w:type="dxa"/>
            <w:tcBorders>
              <w:top w:val="nil"/>
              <w:left w:val="nil"/>
              <w:bottom w:val="nil"/>
              <w:right w:val="nil"/>
            </w:tcBorders>
            <w:shd w:val="clear" w:color="auto" w:fill="auto"/>
            <w:noWrap/>
            <w:vAlign w:val="center"/>
            <w:hideMark/>
          </w:tcPr>
          <w:p w14:paraId="64497B3D" w14:textId="77777777" w:rsidR="00F7132F" w:rsidRPr="00F7132F" w:rsidRDefault="00F7132F" w:rsidP="00F7132F">
            <w:pPr>
              <w:spacing w:after="0" w:line="240" w:lineRule="auto"/>
              <w:rPr>
                <w:rFonts w:ascii="Times New Roman" w:eastAsia="Times New Roman" w:hAnsi="Times New Roman" w:cs="Times New Roman"/>
                <w:sz w:val="20"/>
                <w:szCs w:val="20"/>
                <w:lang w:eastAsia="pt-BR"/>
              </w:rPr>
            </w:pPr>
          </w:p>
        </w:tc>
        <w:tc>
          <w:tcPr>
            <w:tcW w:w="160" w:type="dxa"/>
            <w:tcBorders>
              <w:top w:val="nil"/>
              <w:left w:val="nil"/>
              <w:bottom w:val="nil"/>
              <w:right w:val="nil"/>
            </w:tcBorders>
            <w:shd w:val="clear" w:color="auto" w:fill="auto"/>
            <w:noWrap/>
            <w:vAlign w:val="center"/>
            <w:hideMark/>
          </w:tcPr>
          <w:p w14:paraId="7209B5D7" w14:textId="77777777" w:rsidR="00F7132F" w:rsidRPr="00F7132F" w:rsidRDefault="00F7132F" w:rsidP="00F7132F">
            <w:pPr>
              <w:spacing w:after="0" w:line="240" w:lineRule="auto"/>
              <w:jc w:val="center"/>
              <w:rPr>
                <w:rFonts w:ascii="Times New Roman" w:eastAsia="Times New Roman" w:hAnsi="Times New Roman" w:cs="Times New Roman"/>
                <w:sz w:val="20"/>
                <w:szCs w:val="20"/>
                <w:lang w:eastAsia="pt-BR"/>
              </w:rPr>
            </w:pPr>
          </w:p>
        </w:tc>
        <w:tc>
          <w:tcPr>
            <w:tcW w:w="759" w:type="dxa"/>
            <w:tcBorders>
              <w:top w:val="nil"/>
              <w:left w:val="nil"/>
              <w:bottom w:val="nil"/>
              <w:right w:val="nil"/>
            </w:tcBorders>
            <w:shd w:val="clear" w:color="auto" w:fill="auto"/>
            <w:noWrap/>
            <w:vAlign w:val="center"/>
            <w:hideMark/>
          </w:tcPr>
          <w:p w14:paraId="7991DB68" w14:textId="77777777" w:rsidR="00F7132F" w:rsidRPr="00F7132F" w:rsidRDefault="00F7132F" w:rsidP="00F7132F">
            <w:pPr>
              <w:spacing w:after="0" w:line="240" w:lineRule="auto"/>
              <w:rPr>
                <w:rFonts w:ascii="Times New Roman" w:eastAsia="Times New Roman" w:hAnsi="Times New Roman" w:cs="Times New Roman"/>
                <w:sz w:val="20"/>
                <w:szCs w:val="20"/>
                <w:lang w:eastAsia="pt-BR"/>
              </w:rPr>
            </w:pPr>
          </w:p>
        </w:tc>
        <w:tc>
          <w:tcPr>
            <w:tcW w:w="160" w:type="dxa"/>
            <w:tcBorders>
              <w:top w:val="nil"/>
              <w:left w:val="nil"/>
              <w:bottom w:val="nil"/>
              <w:right w:val="nil"/>
            </w:tcBorders>
            <w:shd w:val="clear" w:color="auto" w:fill="auto"/>
            <w:noWrap/>
            <w:vAlign w:val="center"/>
            <w:hideMark/>
          </w:tcPr>
          <w:p w14:paraId="6B9B30F8" w14:textId="77777777" w:rsidR="00F7132F" w:rsidRPr="00F7132F" w:rsidRDefault="00F7132F" w:rsidP="00F7132F">
            <w:pPr>
              <w:spacing w:after="0" w:line="240" w:lineRule="auto"/>
              <w:jc w:val="center"/>
              <w:rPr>
                <w:rFonts w:ascii="Times New Roman" w:eastAsia="Times New Roman" w:hAnsi="Times New Roman" w:cs="Times New Roman"/>
                <w:sz w:val="20"/>
                <w:szCs w:val="20"/>
                <w:lang w:eastAsia="pt-BR"/>
              </w:rPr>
            </w:pPr>
          </w:p>
        </w:tc>
        <w:tc>
          <w:tcPr>
            <w:tcW w:w="1249" w:type="dxa"/>
            <w:tcBorders>
              <w:top w:val="nil"/>
              <w:left w:val="nil"/>
              <w:bottom w:val="nil"/>
              <w:right w:val="nil"/>
            </w:tcBorders>
            <w:shd w:val="clear" w:color="auto" w:fill="auto"/>
            <w:noWrap/>
            <w:vAlign w:val="center"/>
            <w:hideMark/>
          </w:tcPr>
          <w:p w14:paraId="3BB2949A" w14:textId="77777777" w:rsidR="00F7132F" w:rsidRPr="00F7132F" w:rsidRDefault="00F7132F" w:rsidP="00F7132F">
            <w:pPr>
              <w:spacing w:after="0" w:line="240" w:lineRule="auto"/>
              <w:rPr>
                <w:rFonts w:ascii="Times New Roman" w:eastAsia="Times New Roman" w:hAnsi="Times New Roman" w:cs="Times New Roman"/>
                <w:sz w:val="20"/>
                <w:szCs w:val="20"/>
                <w:lang w:eastAsia="pt-BR"/>
              </w:rPr>
            </w:pPr>
          </w:p>
        </w:tc>
        <w:tc>
          <w:tcPr>
            <w:tcW w:w="43" w:type="dxa"/>
            <w:tcBorders>
              <w:top w:val="nil"/>
              <w:left w:val="nil"/>
              <w:bottom w:val="nil"/>
              <w:right w:val="nil"/>
            </w:tcBorders>
            <w:shd w:val="clear" w:color="auto" w:fill="auto"/>
            <w:noWrap/>
            <w:vAlign w:val="center"/>
            <w:hideMark/>
          </w:tcPr>
          <w:p w14:paraId="4CFBB12F" w14:textId="77777777" w:rsidR="00F7132F" w:rsidRPr="00F7132F" w:rsidRDefault="00F7132F" w:rsidP="00F7132F">
            <w:pPr>
              <w:spacing w:after="0" w:line="240" w:lineRule="auto"/>
              <w:rPr>
                <w:rFonts w:ascii="Times New Roman" w:eastAsia="Times New Roman" w:hAnsi="Times New Roman" w:cs="Times New Roman"/>
                <w:sz w:val="20"/>
                <w:szCs w:val="20"/>
                <w:lang w:eastAsia="pt-BR"/>
              </w:rPr>
            </w:pPr>
          </w:p>
        </w:tc>
        <w:tc>
          <w:tcPr>
            <w:tcW w:w="1249" w:type="dxa"/>
            <w:tcBorders>
              <w:top w:val="nil"/>
              <w:left w:val="nil"/>
              <w:bottom w:val="nil"/>
              <w:right w:val="nil"/>
            </w:tcBorders>
            <w:shd w:val="clear" w:color="auto" w:fill="auto"/>
            <w:noWrap/>
            <w:vAlign w:val="center"/>
            <w:hideMark/>
          </w:tcPr>
          <w:p w14:paraId="6EC93EB9" w14:textId="77777777" w:rsidR="00F7132F" w:rsidRPr="00F7132F" w:rsidRDefault="00F7132F" w:rsidP="00F7132F">
            <w:pPr>
              <w:spacing w:after="0" w:line="240" w:lineRule="auto"/>
              <w:rPr>
                <w:rFonts w:ascii="Times New Roman" w:eastAsia="Times New Roman" w:hAnsi="Times New Roman" w:cs="Times New Roman"/>
                <w:sz w:val="20"/>
                <w:szCs w:val="20"/>
                <w:lang w:eastAsia="pt-BR"/>
              </w:rPr>
            </w:pPr>
          </w:p>
        </w:tc>
      </w:tr>
      <w:tr w:rsidR="00F7132F" w:rsidRPr="00F7132F" w14:paraId="4A5CF7B5" w14:textId="77777777" w:rsidTr="00F7132F">
        <w:trPr>
          <w:trHeight w:val="20"/>
        </w:trPr>
        <w:tc>
          <w:tcPr>
            <w:tcW w:w="3920" w:type="dxa"/>
            <w:tcBorders>
              <w:top w:val="nil"/>
              <w:left w:val="nil"/>
              <w:bottom w:val="nil"/>
              <w:right w:val="nil"/>
            </w:tcBorders>
            <w:shd w:val="clear" w:color="auto" w:fill="auto"/>
            <w:noWrap/>
            <w:vAlign w:val="center"/>
            <w:hideMark/>
          </w:tcPr>
          <w:p w14:paraId="54453AFA" w14:textId="77777777" w:rsidR="00F7132F" w:rsidRPr="00F7132F" w:rsidRDefault="00F7132F" w:rsidP="00F7132F">
            <w:pPr>
              <w:spacing w:after="0" w:line="240" w:lineRule="auto"/>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ELETROBRAS - RGR - ECF 2878</w:t>
            </w:r>
          </w:p>
        </w:tc>
        <w:tc>
          <w:tcPr>
            <w:tcW w:w="680" w:type="dxa"/>
            <w:tcBorders>
              <w:top w:val="nil"/>
              <w:left w:val="nil"/>
              <w:bottom w:val="nil"/>
              <w:right w:val="nil"/>
            </w:tcBorders>
            <w:shd w:val="clear" w:color="auto" w:fill="auto"/>
            <w:noWrap/>
            <w:vAlign w:val="center"/>
            <w:hideMark/>
          </w:tcPr>
          <w:p w14:paraId="7EF477B6"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R$</w:t>
            </w:r>
          </w:p>
        </w:tc>
        <w:tc>
          <w:tcPr>
            <w:tcW w:w="160" w:type="dxa"/>
            <w:tcBorders>
              <w:top w:val="nil"/>
              <w:left w:val="nil"/>
              <w:bottom w:val="nil"/>
              <w:right w:val="nil"/>
            </w:tcBorders>
            <w:shd w:val="clear" w:color="auto" w:fill="auto"/>
            <w:noWrap/>
            <w:vAlign w:val="center"/>
            <w:hideMark/>
          </w:tcPr>
          <w:p w14:paraId="03A17ABB"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p>
        </w:tc>
        <w:tc>
          <w:tcPr>
            <w:tcW w:w="1040" w:type="dxa"/>
            <w:tcBorders>
              <w:top w:val="nil"/>
              <w:left w:val="nil"/>
              <w:bottom w:val="nil"/>
              <w:right w:val="nil"/>
            </w:tcBorders>
            <w:shd w:val="clear" w:color="auto" w:fill="auto"/>
            <w:noWrap/>
            <w:vAlign w:val="center"/>
            <w:hideMark/>
          </w:tcPr>
          <w:p w14:paraId="64EE03EA"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UFIR</w:t>
            </w:r>
          </w:p>
        </w:tc>
        <w:tc>
          <w:tcPr>
            <w:tcW w:w="160" w:type="dxa"/>
            <w:tcBorders>
              <w:top w:val="nil"/>
              <w:left w:val="nil"/>
              <w:bottom w:val="nil"/>
              <w:right w:val="nil"/>
            </w:tcBorders>
            <w:shd w:val="clear" w:color="auto" w:fill="auto"/>
            <w:noWrap/>
            <w:vAlign w:val="center"/>
            <w:hideMark/>
          </w:tcPr>
          <w:p w14:paraId="1A1919C0"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p>
        </w:tc>
        <w:tc>
          <w:tcPr>
            <w:tcW w:w="759" w:type="dxa"/>
            <w:tcBorders>
              <w:top w:val="nil"/>
              <w:left w:val="nil"/>
              <w:bottom w:val="nil"/>
              <w:right w:val="nil"/>
            </w:tcBorders>
            <w:shd w:val="clear" w:color="auto" w:fill="auto"/>
            <w:noWrap/>
            <w:vAlign w:val="center"/>
            <w:hideMark/>
          </w:tcPr>
          <w:p w14:paraId="4FFDAA40"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5,00%</w:t>
            </w:r>
          </w:p>
        </w:tc>
        <w:tc>
          <w:tcPr>
            <w:tcW w:w="160" w:type="dxa"/>
            <w:tcBorders>
              <w:top w:val="nil"/>
              <w:left w:val="nil"/>
              <w:bottom w:val="nil"/>
              <w:right w:val="nil"/>
            </w:tcBorders>
            <w:shd w:val="clear" w:color="auto" w:fill="auto"/>
            <w:noWrap/>
            <w:vAlign w:val="center"/>
            <w:hideMark/>
          </w:tcPr>
          <w:p w14:paraId="51792860"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p>
        </w:tc>
        <w:tc>
          <w:tcPr>
            <w:tcW w:w="1249" w:type="dxa"/>
            <w:tcBorders>
              <w:top w:val="nil"/>
              <w:left w:val="nil"/>
              <w:bottom w:val="nil"/>
              <w:right w:val="nil"/>
            </w:tcBorders>
            <w:shd w:val="clear" w:color="auto" w:fill="auto"/>
            <w:noWrap/>
            <w:vAlign w:val="center"/>
            <w:hideMark/>
          </w:tcPr>
          <w:p w14:paraId="300EBD86" w14:textId="77777777" w:rsidR="00F7132F" w:rsidRPr="00F7132F" w:rsidRDefault="00F7132F" w:rsidP="00F7132F">
            <w:pPr>
              <w:spacing w:after="0" w:line="240" w:lineRule="auto"/>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 xml:space="preserve">      463.019 </w:t>
            </w:r>
          </w:p>
        </w:tc>
        <w:tc>
          <w:tcPr>
            <w:tcW w:w="43" w:type="dxa"/>
            <w:tcBorders>
              <w:top w:val="nil"/>
              <w:left w:val="nil"/>
              <w:bottom w:val="nil"/>
              <w:right w:val="nil"/>
            </w:tcBorders>
            <w:shd w:val="clear" w:color="auto" w:fill="auto"/>
            <w:noWrap/>
            <w:vAlign w:val="center"/>
            <w:hideMark/>
          </w:tcPr>
          <w:p w14:paraId="40897E91" w14:textId="77777777" w:rsidR="00F7132F" w:rsidRPr="00F7132F" w:rsidRDefault="00F7132F" w:rsidP="00F7132F">
            <w:pPr>
              <w:spacing w:after="0" w:line="240" w:lineRule="auto"/>
              <w:rPr>
                <w:rFonts w:ascii="Verdana" w:eastAsia="Times New Roman" w:hAnsi="Verdana" w:cs="Calibri"/>
                <w:sz w:val="16"/>
                <w:szCs w:val="16"/>
                <w:lang w:eastAsia="pt-BR"/>
              </w:rPr>
            </w:pPr>
          </w:p>
        </w:tc>
        <w:tc>
          <w:tcPr>
            <w:tcW w:w="1249" w:type="dxa"/>
            <w:tcBorders>
              <w:top w:val="nil"/>
              <w:left w:val="nil"/>
              <w:bottom w:val="nil"/>
              <w:right w:val="nil"/>
            </w:tcBorders>
            <w:shd w:val="clear" w:color="auto" w:fill="auto"/>
            <w:noWrap/>
            <w:vAlign w:val="center"/>
            <w:hideMark/>
          </w:tcPr>
          <w:p w14:paraId="75C9660D" w14:textId="77777777" w:rsidR="00F7132F" w:rsidRPr="00F7132F" w:rsidRDefault="00F7132F" w:rsidP="00F7132F">
            <w:pPr>
              <w:spacing w:after="0" w:line="240" w:lineRule="auto"/>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 xml:space="preserve">      199.484 </w:t>
            </w:r>
          </w:p>
        </w:tc>
      </w:tr>
      <w:tr w:rsidR="00F7132F" w:rsidRPr="00F7132F" w14:paraId="7AFDB62C" w14:textId="77777777" w:rsidTr="00F7132F">
        <w:trPr>
          <w:trHeight w:val="20"/>
        </w:trPr>
        <w:tc>
          <w:tcPr>
            <w:tcW w:w="3920" w:type="dxa"/>
            <w:tcBorders>
              <w:top w:val="nil"/>
              <w:left w:val="nil"/>
              <w:bottom w:val="nil"/>
              <w:right w:val="nil"/>
            </w:tcBorders>
            <w:shd w:val="clear" w:color="auto" w:fill="auto"/>
            <w:noWrap/>
            <w:vAlign w:val="center"/>
            <w:hideMark/>
          </w:tcPr>
          <w:p w14:paraId="6B97C5AD" w14:textId="77777777" w:rsidR="00F7132F" w:rsidRPr="00F7132F" w:rsidRDefault="00F7132F" w:rsidP="00F7132F">
            <w:pPr>
              <w:spacing w:after="0" w:line="240" w:lineRule="auto"/>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 xml:space="preserve">BNDES - Nº 10.2.2032.1 - </w:t>
            </w:r>
            <w:proofErr w:type="spellStart"/>
            <w:r w:rsidRPr="00F7132F">
              <w:rPr>
                <w:rFonts w:ascii="Verdana" w:eastAsia="Times New Roman" w:hAnsi="Verdana" w:cs="Calibri"/>
                <w:sz w:val="16"/>
                <w:szCs w:val="16"/>
                <w:lang w:eastAsia="pt-BR"/>
              </w:rPr>
              <w:t>Subcréditos</w:t>
            </w:r>
            <w:proofErr w:type="spellEnd"/>
            <w:r w:rsidRPr="00F7132F">
              <w:rPr>
                <w:rFonts w:ascii="Verdana" w:eastAsia="Times New Roman" w:hAnsi="Verdana" w:cs="Calibri"/>
                <w:sz w:val="16"/>
                <w:szCs w:val="16"/>
                <w:lang w:eastAsia="pt-BR"/>
              </w:rPr>
              <w:t xml:space="preserve"> A e B</w:t>
            </w:r>
          </w:p>
        </w:tc>
        <w:tc>
          <w:tcPr>
            <w:tcW w:w="680" w:type="dxa"/>
            <w:tcBorders>
              <w:top w:val="nil"/>
              <w:left w:val="nil"/>
              <w:bottom w:val="nil"/>
              <w:right w:val="nil"/>
            </w:tcBorders>
            <w:shd w:val="clear" w:color="auto" w:fill="auto"/>
            <w:noWrap/>
            <w:vAlign w:val="center"/>
            <w:hideMark/>
          </w:tcPr>
          <w:p w14:paraId="38875F68"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R$</w:t>
            </w:r>
          </w:p>
        </w:tc>
        <w:tc>
          <w:tcPr>
            <w:tcW w:w="160" w:type="dxa"/>
            <w:tcBorders>
              <w:top w:val="nil"/>
              <w:left w:val="nil"/>
              <w:bottom w:val="nil"/>
              <w:right w:val="nil"/>
            </w:tcBorders>
            <w:shd w:val="clear" w:color="auto" w:fill="auto"/>
            <w:noWrap/>
            <w:vAlign w:val="center"/>
            <w:hideMark/>
          </w:tcPr>
          <w:p w14:paraId="3C63DF70"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p>
        </w:tc>
        <w:tc>
          <w:tcPr>
            <w:tcW w:w="1040" w:type="dxa"/>
            <w:tcBorders>
              <w:top w:val="nil"/>
              <w:left w:val="nil"/>
              <w:bottom w:val="nil"/>
              <w:right w:val="nil"/>
            </w:tcBorders>
            <w:shd w:val="clear" w:color="auto" w:fill="auto"/>
            <w:noWrap/>
            <w:vAlign w:val="center"/>
            <w:hideMark/>
          </w:tcPr>
          <w:p w14:paraId="5E7FB08A"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TJLP</w:t>
            </w:r>
          </w:p>
        </w:tc>
        <w:tc>
          <w:tcPr>
            <w:tcW w:w="160" w:type="dxa"/>
            <w:tcBorders>
              <w:top w:val="nil"/>
              <w:left w:val="nil"/>
              <w:bottom w:val="nil"/>
              <w:right w:val="nil"/>
            </w:tcBorders>
            <w:shd w:val="clear" w:color="auto" w:fill="auto"/>
            <w:noWrap/>
            <w:vAlign w:val="center"/>
            <w:hideMark/>
          </w:tcPr>
          <w:p w14:paraId="63A48AB4"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p>
        </w:tc>
        <w:tc>
          <w:tcPr>
            <w:tcW w:w="759" w:type="dxa"/>
            <w:tcBorders>
              <w:top w:val="nil"/>
              <w:left w:val="nil"/>
              <w:bottom w:val="nil"/>
              <w:right w:val="nil"/>
            </w:tcBorders>
            <w:shd w:val="clear" w:color="auto" w:fill="auto"/>
            <w:noWrap/>
            <w:vAlign w:val="center"/>
            <w:hideMark/>
          </w:tcPr>
          <w:p w14:paraId="3A69FCCC"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7,72%</w:t>
            </w:r>
          </w:p>
        </w:tc>
        <w:tc>
          <w:tcPr>
            <w:tcW w:w="160" w:type="dxa"/>
            <w:tcBorders>
              <w:top w:val="nil"/>
              <w:left w:val="nil"/>
              <w:bottom w:val="nil"/>
              <w:right w:val="nil"/>
            </w:tcBorders>
            <w:shd w:val="clear" w:color="auto" w:fill="auto"/>
            <w:noWrap/>
            <w:vAlign w:val="center"/>
            <w:hideMark/>
          </w:tcPr>
          <w:p w14:paraId="0F13FD0C"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p>
        </w:tc>
        <w:tc>
          <w:tcPr>
            <w:tcW w:w="1249" w:type="dxa"/>
            <w:tcBorders>
              <w:top w:val="nil"/>
              <w:left w:val="nil"/>
              <w:bottom w:val="nil"/>
              <w:right w:val="nil"/>
            </w:tcBorders>
            <w:shd w:val="clear" w:color="auto" w:fill="auto"/>
            <w:noWrap/>
            <w:vAlign w:val="center"/>
            <w:hideMark/>
          </w:tcPr>
          <w:p w14:paraId="0CDF6E29" w14:textId="77777777" w:rsidR="00F7132F" w:rsidRPr="00F7132F" w:rsidRDefault="00F7132F" w:rsidP="00F7132F">
            <w:pPr>
              <w:spacing w:after="0" w:line="240" w:lineRule="auto"/>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 xml:space="preserve">   3.306.669 </w:t>
            </w:r>
          </w:p>
        </w:tc>
        <w:tc>
          <w:tcPr>
            <w:tcW w:w="43" w:type="dxa"/>
            <w:tcBorders>
              <w:top w:val="nil"/>
              <w:left w:val="nil"/>
              <w:bottom w:val="nil"/>
              <w:right w:val="nil"/>
            </w:tcBorders>
            <w:shd w:val="clear" w:color="auto" w:fill="auto"/>
            <w:noWrap/>
            <w:vAlign w:val="center"/>
            <w:hideMark/>
          </w:tcPr>
          <w:p w14:paraId="7291C23B" w14:textId="77777777" w:rsidR="00F7132F" w:rsidRPr="00F7132F" w:rsidRDefault="00F7132F" w:rsidP="00F7132F">
            <w:pPr>
              <w:spacing w:after="0" w:line="240" w:lineRule="auto"/>
              <w:rPr>
                <w:rFonts w:ascii="Verdana" w:eastAsia="Times New Roman" w:hAnsi="Verdana" w:cs="Calibri"/>
                <w:sz w:val="16"/>
                <w:szCs w:val="16"/>
                <w:lang w:eastAsia="pt-BR"/>
              </w:rPr>
            </w:pPr>
          </w:p>
        </w:tc>
        <w:tc>
          <w:tcPr>
            <w:tcW w:w="1249" w:type="dxa"/>
            <w:tcBorders>
              <w:top w:val="nil"/>
              <w:left w:val="nil"/>
              <w:bottom w:val="nil"/>
              <w:right w:val="nil"/>
            </w:tcBorders>
            <w:shd w:val="clear" w:color="auto" w:fill="auto"/>
            <w:noWrap/>
            <w:vAlign w:val="center"/>
            <w:hideMark/>
          </w:tcPr>
          <w:p w14:paraId="5CD53922" w14:textId="77777777" w:rsidR="00F7132F" w:rsidRPr="00F7132F" w:rsidRDefault="00F7132F" w:rsidP="00F7132F">
            <w:pPr>
              <w:spacing w:after="0" w:line="240" w:lineRule="auto"/>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 xml:space="preserve">   2.127.083 </w:t>
            </w:r>
          </w:p>
        </w:tc>
      </w:tr>
      <w:tr w:rsidR="00F7132F" w:rsidRPr="00F7132F" w14:paraId="725996A2" w14:textId="77777777" w:rsidTr="00F7132F">
        <w:trPr>
          <w:trHeight w:val="20"/>
        </w:trPr>
        <w:tc>
          <w:tcPr>
            <w:tcW w:w="3920" w:type="dxa"/>
            <w:tcBorders>
              <w:top w:val="nil"/>
              <w:left w:val="nil"/>
              <w:bottom w:val="nil"/>
              <w:right w:val="nil"/>
            </w:tcBorders>
            <w:shd w:val="clear" w:color="auto" w:fill="auto"/>
            <w:noWrap/>
            <w:vAlign w:val="center"/>
            <w:hideMark/>
          </w:tcPr>
          <w:p w14:paraId="7242BA9B" w14:textId="77777777" w:rsidR="00F7132F" w:rsidRPr="00F7132F" w:rsidRDefault="00F7132F" w:rsidP="00F7132F">
            <w:pPr>
              <w:spacing w:after="0" w:line="240" w:lineRule="auto"/>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 xml:space="preserve">BNDES - Nº 10.2.2032.1 - </w:t>
            </w:r>
            <w:proofErr w:type="spellStart"/>
            <w:r w:rsidRPr="00F7132F">
              <w:rPr>
                <w:rFonts w:ascii="Verdana" w:eastAsia="Times New Roman" w:hAnsi="Verdana" w:cs="Calibri"/>
                <w:sz w:val="16"/>
                <w:szCs w:val="16"/>
                <w:lang w:eastAsia="pt-BR"/>
              </w:rPr>
              <w:t>Subcréditos</w:t>
            </w:r>
            <w:proofErr w:type="spellEnd"/>
            <w:r w:rsidRPr="00F7132F">
              <w:rPr>
                <w:rFonts w:ascii="Verdana" w:eastAsia="Times New Roman" w:hAnsi="Verdana" w:cs="Calibri"/>
                <w:sz w:val="16"/>
                <w:szCs w:val="16"/>
                <w:lang w:eastAsia="pt-BR"/>
              </w:rPr>
              <w:t xml:space="preserve"> D</w:t>
            </w:r>
          </w:p>
        </w:tc>
        <w:tc>
          <w:tcPr>
            <w:tcW w:w="680" w:type="dxa"/>
            <w:tcBorders>
              <w:top w:val="nil"/>
              <w:left w:val="nil"/>
              <w:bottom w:val="nil"/>
              <w:right w:val="nil"/>
            </w:tcBorders>
            <w:shd w:val="clear" w:color="auto" w:fill="auto"/>
            <w:noWrap/>
            <w:vAlign w:val="center"/>
            <w:hideMark/>
          </w:tcPr>
          <w:p w14:paraId="04FDB9A2"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R$</w:t>
            </w:r>
          </w:p>
        </w:tc>
        <w:tc>
          <w:tcPr>
            <w:tcW w:w="160" w:type="dxa"/>
            <w:tcBorders>
              <w:top w:val="nil"/>
              <w:left w:val="nil"/>
              <w:bottom w:val="nil"/>
              <w:right w:val="nil"/>
            </w:tcBorders>
            <w:shd w:val="clear" w:color="auto" w:fill="auto"/>
            <w:noWrap/>
            <w:vAlign w:val="center"/>
            <w:hideMark/>
          </w:tcPr>
          <w:p w14:paraId="14C72FEE"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p>
        </w:tc>
        <w:tc>
          <w:tcPr>
            <w:tcW w:w="1040" w:type="dxa"/>
            <w:tcBorders>
              <w:top w:val="nil"/>
              <w:left w:val="nil"/>
              <w:bottom w:val="nil"/>
              <w:right w:val="nil"/>
            </w:tcBorders>
            <w:shd w:val="clear" w:color="auto" w:fill="auto"/>
            <w:noWrap/>
            <w:vAlign w:val="center"/>
            <w:hideMark/>
          </w:tcPr>
          <w:p w14:paraId="38867A27"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SELIC</w:t>
            </w:r>
          </w:p>
        </w:tc>
        <w:tc>
          <w:tcPr>
            <w:tcW w:w="160" w:type="dxa"/>
            <w:tcBorders>
              <w:top w:val="nil"/>
              <w:left w:val="nil"/>
              <w:bottom w:val="nil"/>
              <w:right w:val="nil"/>
            </w:tcBorders>
            <w:shd w:val="clear" w:color="auto" w:fill="auto"/>
            <w:noWrap/>
            <w:vAlign w:val="center"/>
            <w:hideMark/>
          </w:tcPr>
          <w:p w14:paraId="1A0908F4"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p>
        </w:tc>
        <w:tc>
          <w:tcPr>
            <w:tcW w:w="759" w:type="dxa"/>
            <w:tcBorders>
              <w:top w:val="nil"/>
              <w:left w:val="nil"/>
              <w:bottom w:val="nil"/>
              <w:right w:val="nil"/>
            </w:tcBorders>
            <w:shd w:val="clear" w:color="auto" w:fill="auto"/>
            <w:noWrap/>
            <w:vAlign w:val="center"/>
            <w:hideMark/>
          </w:tcPr>
          <w:p w14:paraId="67A949DC"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2,80%</w:t>
            </w:r>
          </w:p>
        </w:tc>
        <w:tc>
          <w:tcPr>
            <w:tcW w:w="160" w:type="dxa"/>
            <w:tcBorders>
              <w:top w:val="nil"/>
              <w:left w:val="nil"/>
              <w:bottom w:val="nil"/>
              <w:right w:val="nil"/>
            </w:tcBorders>
            <w:shd w:val="clear" w:color="auto" w:fill="auto"/>
            <w:noWrap/>
            <w:vAlign w:val="center"/>
            <w:hideMark/>
          </w:tcPr>
          <w:p w14:paraId="6483793A"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p>
        </w:tc>
        <w:tc>
          <w:tcPr>
            <w:tcW w:w="1249" w:type="dxa"/>
            <w:tcBorders>
              <w:top w:val="nil"/>
              <w:left w:val="nil"/>
              <w:bottom w:val="nil"/>
              <w:right w:val="nil"/>
            </w:tcBorders>
            <w:shd w:val="clear" w:color="auto" w:fill="auto"/>
            <w:noWrap/>
            <w:vAlign w:val="center"/>
            <w:hideMark/>
          </w:tcPr>
          <w:p w14:paraId="22CE8D06" w14:textId="77777777" w:rsidR="00F7132F" w:rsidRPr="00F7132F" w:rsidRDefault="00F7132F" w:rsidP="00F7132F">
            <w:pPr>
              <w:spacing w:after="0" w:line="240" w:lineRule="auto"/>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 xml:space="preserve">              -   </w:t>
            </w:r>
          </w:p>
        </w:tc>
        <w:tc>
          <w:tcPr>
            <w:tcW w:w="43" w:type="dxa"/>
            <w:tcBorders>
              <w:top w:val="nil"/>
              <w:left w:val="nil"/>
              <w:bottom w:val="nil"/>
              <w:right w:val="nil"/>
            </w:tcBorders>
            <w:shd w:val="clear" w:color="auto" w:fill="auto"/>
            <w:noWrap/>
            <w:vAlign w:val="center"/>
            <w:hideMark/>
          </w:tcPr>
          <w:p w14:paraId="6904E8AF" w14:textId="77777777" w:rsidR="00F7132F" w:rsidRPr="00F7132F" w:rsidRDefault="00F7132F" w:rsidP="00F7132F">
            <w:pPr>
              <w:spacing w:after="0" w:line="240" w:lineRule="auto"/>
              <w:rPr>
                <w:rFonts w:ascii="Verdana" w:eastAsia="Times New Roman" w:hAnsi="Verdana" w:cs="Calibri"/>
                <w:sz w:val="16"/>
                <w:szCs w:val="16"/>
                <w:lang w:eastAsia="pt-BR"/>
              </w:rPr>
            </w:pPr>
          </w:p>
        </w:tc>
        <w:tc>
          <w:tcPr>
            <w:tcW w:w="1249" w:type="dxa"/>
            <w:tcBorders>
              <w:top w:val="nil"/>
              <w:left w:val="nil"/>
              <w:bottom w:val="nil"/>
              <w:right w:val="nil"/>
            </w:tcBorders>
            <w:shd w:val="clear" w:color="auto" w:fill="auto"/>
            <w:noWrap/>
            <w:vAlign w:val="center"/>
            <w:hideMark/>
          </w:tcPr>
          <w:p w14:paraId="7C5F62AE" w14:textId="77777777" w:rsidR="00F7132F" w:rsidRPr="00F7132F" w:rsidRDefault="00F7132F" w:rsidP="00F7132F">
            <w:pPr>
              <w:spacing w:after="0" w:line="240" w:lineRule="auto"/>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 xml:space="preserve">              -   </w:t>
            </w:r>
          </w:p>
        </w:tc>
      </w:tr>
      <w:tr w:rsidR="00F7132F" w:rsidRPr="00F7132F" w14:paraId="47E2DF68" w14:textId="77777777" w:rsidTr="00F7132F">
        <w:trPr>
          <w:trHeight w:val="20"/>
        </w:trPr>
        <w:tc>
          <w:tcPr>
            <w:tcW w:w="3920" w:type="dxa"/>
            <w:tcBorders>
              <w:top w:val="nil"/>
              <w:left w:val="nil"/>
              <w:bottom w:val="nil"/>
              <w:right w:val="nil"/>
            </w:tcBorders>
            <w:shd w:val="clear" w:color="auto" w:fill="auto"/>
            <w:noWrap/>
            <w:vAlign w:val="center"/>
            <w:hideMark/>
          </w:tcPr>
          <w:p w14:paraId="71F4B491" w14:textId="77777777" w:rsidR="00F7132F" w:rsidRPr="00F7132F" w:rsidRDefault="00F7132F" w:rsidP="00F7132F">
            <w:pPr>
              <w:spacing w:after="0" w:line="240" w:lineRule="auto"/>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CEF - Nº 0410.351-27/13</w:t>
            </w:r>
          </w:p>
        </w:tc>
        <w:tc>
          <w:tcPr>
            <w:tcW w:w="680" w:type="dxa"/>
            <w:tcBorders>
              <w:top w:val="nil"/>
              <w:left w:val="nil"/>
              <w:bottom w:val="nil"/>
              <w:right w:val="nil"/>
            </w:tcBorders>
            <w:shd w:val="clear" w:color="auto" w:fill="auto"/>
            <w:noWrap/>
            <w:vAlign w:val="center"/>
            <w:hideMark/>
          </w:tcPr>
          <w:p w14:paraId="53C01849"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R$</w:t>
            </w:r>
          </w:p>
        </w:tc>
        <w:tc>
          <w:tcPr>
            <w:tcW w:w="160" w:type="dxa"/>
            <w:tcBorders>
              <w:top w:val="nil"/>
              <w:left w:val="nil"/>
              <w:bottom w:val="nil"/>
              <w:right w:val="nil"/>
            </w:tcBorders>
            <w:shd w:val="clear" w:color="auto" w:fill="auto"/>
            <w:noWrap/>
            <w:vAlign w:val="center"/>
            <w:hideMark/>
          </w:tcPr>
          <w:p w14:paraId="0B707ADF"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p>
        </w:tc>
        <w:tc>
          <w:tcPr>
            <w:tcW w:w="1040" w:type="dxa"/>
            <w:tcBorders>
              <w:top w:val="nil"/>
              <w:left w:val="nil"/>
              <w:bottom w:val="nil"/>
              <w:right w:val="nil"/>
            </w:tcBorders>
            <w:shd w:val="clear" w:color="auto" w:fill="auto"/>
            <w:vAlign w:val="center"/>
            <w:hideMark/>
          </w:tcPr>
          <w:p w14:paraId="75266206"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Sem indexador</w:t>
            </w:r>
          </w:p>
        </w:tc>
        <w:tc>
          <w:tcPr>
            <w:tcW w:w="160" w:type="dxa"/>
            <w:tcBorders>
              <w:top w:val="nil"/>
              <w:left w:val="nil"/>
              <w:bottom w:val="nil"/>
              <w:right w:val="nil"/>
            </w:tcBorders>
            <w:shd w:val="clear" w:color="auto" w:fill="auto"/>
            <w:noWrap/>
            <w:vAlign w:val="center"/>
            <w:hideMark/>
          </w:tcPr>
          <w:p w14:paraId="5C8B760A"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p>
        </w:tc>
        <w:tc>
          <w:tcPr>
            <w:tcW w:w="759" w:type="dxa"/>
            <w:tcBorders>
              <w:top w:val="nil"/>
              <w:left w:val="nil"/>
              <w:bottom w:val="nil"/>
              <w:right w:val="nil"/>
            </w:tcBorders>
            <w:shd w:val="clear" w:color="auto" w:fill="auto"/>
            <w:noWrap/>
            <w:vAlign w:val="center"/>
            <w:hideMark/>
          </w:tcPr>
          <w:p w14:paraId="6D3C5331"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6,50%</w:t>
            </w:r>
          </w:p>
        </w:tc>
        <w:tc>
          <w:tcPr>
            <w:tcW w:w="160" w:type="dxa"/>
            <w:tcBorders>
              <w:top w:val="nil"/>
              <w:left w:val="nil"/>
              <w:bottom w:val="nil"/>
              <w:right w:val="nil"/>
            </w:tcBorders>
            <w:shd w:val="clear" w:color="auto" w:fill="auto"/>
            <w:noWrap/>
            <w:vAlign w:val="center"/>
            <w:hideMark/>
          </w:tcPr>
          <w:p w14:paraId="3E507EC7" w14:textId="77777777" w:rsidR="00F7132F" w:rsidRPr="00F7132F" w:rsidRDefault="00F7132F" w:rsidP="00F7132F">
            <w:pPr>
              <w:spacing w:after="0" w:line="240" w:lineRule="auto"/>
              <w:jc w:val="center"/>
              <w:rPr>
                <w:rFonts w:ascii="Verdana" w:eastAsia="Times New Roman" w:hAnsi="Verdana" w:cs="Calibri"/>
                <w:sz w:val="16"/>
                <w:szCs w:val="16"/>
                <w:lang w:eastAsia="pt-BR"/>
              </w:rPr>
            </w:pPr>
          </w:p>
        </w:tc>
        <w:tc>
          <w:tcPr>
            <w:tcW w:w="1249" w:type="dxa"/>
            <w:tcBorders>
              <w:top w:val="nil"/>
              <w:left w:val="nil"/>
              <w:bottom w:val="single" w:sz="4" w:space="0" w:color="auto"/>
              <w:right w:val="nil"/>
            </w:tcBorders>
            <w:shd w:val="clear" w:color="auto" w:fill="auto"/>
            <w:noWrap/>
            <w:vAlign w:val="center"/>
            <w:hideMark/>
          </w:tcPr>
          <w:p w14:paraId="311C7B6D" w14:textId="77777777" w:rsidR="00F7132F" w:rsidRPr="00F7132F" w:rsidRDefault="00F7132F" w:rsidP="00F7132F">
            <w:pPr>
              <w:spacing w:after="0" w:line="240" w:lineRule="auto"/>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 xml:space="preserve">   2.960.886 </w:t>
            </w:r>
          </w:p>
        </w:tc>
        <w:tc>
          <w:tcPr>
            <w:tcW w:w="43" w:type="dxa"/>
            <w:tcBorders>
              <w:top w:val="nil"/>
              <w:left w:val="nil"/>
              <w:bottom w:val="nil"/>
              <w:right w:val="nil"/>
            </w:tcBorders>
            <w:shd w:val="clear" w:color="auto" w:fill="auto"/>
            <w:noWrap/>
            <w:vAlign w:val="center"/>
            <w:hideMark/>
          </w:tcPr>
          <w:p w14:paraId="2CB7C3FD" w14:textId="77777777" w:rsidR="00F7132F" w:rsidRPr="00F7132F" w:rsidRDefault="00F7132F" w:rsidP="00F7132F">
            <w:pPr>
              <w:spacing w:after="0" w:line="240" w:lineRule="auto"/>
              <w:rPr>
                <w:rFonts w:ascii="Verdana" w:eastAsia="Times New Roman" w:hAnsi="Verdana" w:cs="Calibri"/>
                <w:sz w:val="16"/>
                <w:szCs w:val="16"/>
                <w:lang w:eastAsia="pt-BR"/>
              </w:rPr>
            </w:pPr>
          </w:p>
        </w:tc>
        <w:tc>
          <w:tcPr>
            <w:tcW w:w="1249" w:type="dxa"/>
            <w:tcBorders>
              <w:top w:val="nil"/>
              <w:left w:val="nil"/>
              <w:bottom w:val="single" w:sz="4" w:space="0" w:color="auto"/>
              <w:right w:val="nil"/>
            </w:tcBorders>
            <w:shd w:val="clear" w:color="auto" w:fill="auto"/>
            <w:noWrap/>
            <w:vAlign w:val="center"/>
            <w:hideMark/>
          </w:tcPr>
          <w:p w14:paraId="20E68E03" w14:textId="77777777" w:rsidR="00F7132F" w:rsidRPr="00F7132F" w:rsidRDefault="00F7132F" w:rsidP="00F7132F">
            <w:pPr>
              <w:spacing w:after="0" w:line="240" w:lineRule="auto"/>
              <w:rPr>
                <w:rFonts w:ascii="Verdana" w:eastAsia="Times New Roman" w:hAnsi="Verdana" w:cs="Calibri"/>
                <w:sz w:val="16"/>
                <w:szCs w:val="16"/>
                <w:lang w:eastAsia="pt-BR"/>
              </w:rPr>
            </w:pPr>
            <w:r w:rsidRPr="00F7132F">
              <w:rPr>
                <w:rFonts w:ascii="Verdana" w:eastAsia="Times New Roman" w:hAnsi="Verdana" w:cs="Calibri"/>
                <w:sz w:val="16"/>
                <w:szCs w:val="16"/>
                <w:lang w:eastAsia="pt-BR"/>
              </w:rPr>
              <w:t xml:space="preserve">   1.801.368 </w:t>
            </w:r>
          </w:p>
        </w:tc>
      </w:tr>
      <w:tr w:rsidR="00F7132F" w:rsidRPr="00F7132F" w14:paraId="6E65092A" w14:textId="77777777" w:rsidTr="00F7132F">
        <w:trPr>
          <w:trHeight w:val="20"/>
        </w:trPr>
        <w:tc>
          <w:tcPr>
            <w:tcW w:w="3920" w:type="dxa"/>
            <w:tcBorders>
              <w:top w:val="nil"/>
              <w:left w:val="nil"/>
              <w:bottom w:val="nil"/>
              <w:right w:val="nil"/>
            </w:tcBorders>
            <w:shd w:val="clear" w:color="auto" w:fill="auto"/>
            <w:noWrap/>
            <w:vAlign w:val="center"/>
            <w:hideMark/>
          </w:tcPr>
          <w:p w14:paraId="65A17C36" w14:textId="77777777" w:rsidR="00F7132F" w:rsidRPr="00F7132F" w:rsidRDefault="00F7132F" w:rsidP="00F7132F">
            <w:pPr>
              <w:spacing w:after="0" w:line="240" w:lineRule="auto"/>
              <w:rPr>
                <w:rFonts w:ascii="Verdana" w:eastAsia="Times New Roman" w:hAnsi="Verdana" w:cs="Calibri"/>
                <w:b/>
                <w:bCs/>
                <w:sz w:val="16"/>
                <w:szCs w:val="16"/>
                <w:lang w:eastAsia="pt-BR"/>
              </w:rPr>
            </w:pPr>
            <w:r w:rsidRPr="00F7132F">
              <w:rPr>
                <w:rFonts w:ascii="Verdana" w:eastAsia="Times New Roman" w:hAnsi="Verdana" w:cs="Calibri"/>
                <w:b/>
                <w:bCs/>
                <w:sz w:val="16"/>
                <w:szCs w:val="16"/>
                <w:lang w:eastAsia="pt-BR"/>
              </w:rPr>
              <w:t>Total</w:t>
            </w:r>
          </w:p>
        </w:tc>
        <w:tc>
          <w:tcPr>
            <w:tcW w:w="680" w:type="dxa"/>
            <w:tcBorders>
              <w:top w:val="nil"/>
              <w:left w:val="nil"/>
              <w:bottom w:val="nil"/>
              <w:right w:val="nil"/>
            </w:tcBorders>
            <w:shd w:val="clear" w:color="auto" w:fill="auto"/>
            <w:noWrap/>
            <w:vAlign w:val="center"/>
            <w:hideMark/>
          </w:tcPr>
          <w:p w14:paraId="7F26FEE0" w14:textId="77777777" w:rsidR="00F7132F" w:rsidRPr="00F7132F" w:rsidRDefault="00F7132F" w:rsidP="00F7132F">
            <w:pPr>
              <w:spacing w:after="0" w:line="240" w:lineRule="auto"/>
              <w:rPr>
                <w:rFonts w:ascii="Verdana" w:eastAsia="Times New Roman" w:hAnsi="Verdana" w:cs="Calibri"/>
                <w:b/>
                <w:bCs/>
                <w:sz w:val="16"/>
                <w:szCs w:val="16"/>
                <w:lang w:eastAsia="pt-BR"/>
              </w:rPr>
            </w:pPr>
          </w:p>
        </w:tc>
        <w:tc>
          <w:tcPr>
            <w:tcW w:w="160" w:type="dxa"/>
            <w:tcBorders>
              <w:top w:val="nil"/>
              <w:left w:val="nil"/>
              <w:bottom w:val="nil"/>
              <w:right w:val="nil"/>
            </w:tcBorders>
            <w:shd w:val="clear" w:color="auto" w:fill="auto"/>
            <w:noWrap/>
            <w:vAlign w:val="center"/>
            <w:hideMark/>
          </w:tcPr>
          <w:p w14:paraId="160CE0B9" w14:textId="77777777" w:rsidR="00F7132F" w:rsidRPr="00F7132F" w:rsidRDefault="00F7132F" w:rsidP="00F7132F">
            <w:pPr>
              <w:spacing w:after="0" w:line="240" w:lineRule="auto"/>
              <w:rPr>
                <w:rFonts w:ascii="Times New Roman" w:eastAsia="Times New Roman" w:hAnsi="Times New Roman" w:cs="Times New Roman"/>
                <w:sz w:val="20"/>
                <w:szCs w:val="20"/>
                <w:lang w:eastAsia="pt-BR"/>
              </w:rPr>
            </w:pPr>
          </w:p>
        </w:tc>
        <w:tc>
          <w:tcPr>
            <w:tcW w:w="1040" w:type="dxa"/>
            <w:tcBorders>
              <w:top w:val="nil"/>
              <w:left w:val="nil"/>
              <w:bottom w:val="nil"/>
              <w:right w:val="nil"/>
            </w:tcBorders>
            <w:shd w:val="clear" w:color="auto" w:fill="auto"/>
            <w:noWrap/>
            <w:vAlign w:val="center"/>
            <w:hideMark/>
          </w:tcPr>
          <w:p w14:paraId="0715CABD" w14:textId="77777777" w:rsidR="00F7132F" w:rsidRPr="00F7132F" w:rsidRDefault="00F7132F" w:rsidP="00F7132F">
            <w:pPr>
              <w:spacing w:after="0" w:line="240" w:lineRule="auto"/>
              <w:rPr>
                <w:rFonts w:ascii="Times New Roman" w:eastAsia="Times New Roman" w:hAnsi="Times New Roman" w:cs="Times New Roman"/>
                <w:sz w:val="20"/>
                <w:szCs w:val="20"/>
                <w:lang w:eastAsia="pt-BR"/>
              </w:rPr>
            </w:pPr>
          </w:p>
        </w:tc>
        <w:tc>
          <w:tcPr>
            <w:tcW w:w="160" w:type="dxa"/>
            <w:tcBorders>
              <w:top w:val="nil"/>
              <w:left w:val="nil"/>
              <w:bottom w:val="nil"/>
              <w:right w:val="nil"/>
            </w:tcBorders>
            <w:shd w:val="clear" w:color="auto" w:fill="auto"/>
            <w:noWrap/>
            <w:vAlign w:val="center"/>
            <w:hideMark/>
          </w:tcPr>
          <w:p w14:paraId="6A0F6A9B" w14:textId="77777777" w:rsidR="00F7132F" w:rsidRPr="00F7132F" w:rsidRDefault="00F7132F" w:rsidP="00F7132F">
            <w:pPr>
              <w:spacing w:after="0" w:line="240" w:lineRule="auto"/>
              <w:rPr>
                <w:rFonts w:ascii="Times New Roman" w:eastAsia="Times New Roman" w:hAnsi="Times New Roman" w:cs="Times New Roman"/>
                <w:sz w:val="20"/>
                <w:szCs w:val="20"/>
                <w:lang w:eastAsia="pt-BR"/>
              </w:rPr>
            </w:pPr>
          </w:p>
        </w:tc>
        <w:tc>
          <w:tcPr>
            <w:tcW w:w="759" w:type="dxa"/>
            <w:tcBorders>
              <w:top w:val="nil"/>
              <w:left w:val="nil"/>
              <w:bottom w:val="nil"/>
              <w:right w:val="nil"/>
            </w:tcBorders>
            <w:shd w:val="clear" w:color="auto" w:fill="auto"/>
            <w:noWrap/>
            <w:vAlign w:val="center"/>
            <w:hideMark/>
          </w:tcPr>
          <w:p w14:paraId="6C79B41E" w14:textId="77777777" w:rsidR="00F7132F" w:rsidRPr="00F7132F" w:rsidRDefault="00F7132F" w:rsidP="00F7132F">
            <w:pPr>
              <w:spacing w:after="0" w:line="240" w:lineRule="auto"/>
              <w:rPr>
                <w:rFonts w:ascii="Times New Roman" w:eastAsia="Times New Roman" w:hAnsi="Times New Roman" w:cs="Times New Roman"/>
                <w:sz w:val="20"/>
                <w:szCs w:val="20"/>
                <w:lang w:eastAsia="pt-BR"/>
              </w:rPr>
            </w:pPr>
          </w:p>
        </w:tc>
        <w:tc>
          <w:tcPr>
            <w:tcW w:w="160" w:type="dxa"/>
            <w:tcBorders>
              <w:top w:val="nil"/>
              <w:left w:val="nil"/>
              <w:bottom w:val="nil"/>
              <w:right w:val="nil"/>
            </w:tcBorders>
            <w:shd w:val="clear" w:color="auto" w:fill="auto"/>
            <w:noWrap/>
            <w:vAlign w:val="center"/>
            <w:hideMark/>
          </w:tcPr>
          <w:p w14:paraId="13FFCDC0" w14:textId="77777777" w:rsidR="00F7132F" w:rsidRPr="00F7132F" w:rsidRDefault="00F7132F" w:rsidP="00F7132F">
            <w:pPr>
              <w:spacing w:after="0" w:line="240" w:lineRule="auto"/>
              <w:rPr>
                <w:rFonts w:ascii="Times New Roman" w:eastAsia="Times New Roman" w:hAnsi="Times New Roman" w:cs="Times New Roman"/>
                <w:sz w:val="20"/>
                <w:szCs w:val="20"/>
                <w:lang w:eastAsia="pt-BR"/>
              </w:rPr>
            </w:pPr>
          </w:p>
        </w:tc>
        <w:tc>
          <w:tcPr>
            <w:tcW w:w="1249" w:type="dxa"/>
            <w:tcBorders>
              <w:top w:val="nil"/>
              <w:left w:val="nil"/>
              <w:bottom w:val="nil"/>
              <w:right w:val="nil"/>
            </w:tcBorders>
            <w:shd w:val="clear" w:color="auto" w:fill="auto"/>
            <w:noWrap/>
            <w:vAlign w:val="center"/>
            <w:hideMark/>
          </w:tcPr>
          <w:p w14:paraId="5784F320" w14:textId="77777777" w:rsidR="00F7132F" w:rsidRPr="00F7132F" w:rsidRDefault="00F7132F" w:rsidP="00F7132F">
            <w:pPr>
              <w:spacing w:after="0" w:line="240" w:lineRule="auto"/>
              <w:rPr>
                <w:rFonts w:ascii="Verdana" w:eastAsia="Times New Roman" w:hAnsi="Verdana" w:cs="Calibri"/>
                <w:b/>
                <w:bCs/>
                <w:sz w:val="16"/>
                <w:szCs w:val="16"/>
                <w:lang w:eastAsia="pt-BR"/>
              </w:rPr>
            </w:pPr>
            <w:r w:rsidRPr="00F7132F">
              <w:rPr>
                <w:rFonts w:ascii="Verdana" w:eastAsia="Times New Roman" w:hAnsi="Verdana" w:cs="Calibri"/>
                <w:b/>
                <w:bCs/>
                <w:sz w:val="16"/>
                <w:szCs w:val="16"/>
                <w:lang w:eastAsia="pt-BR"/>
              </w:rPr>
              <w:t xml:space="preserve">  7.176.633 </w:t>
            </w:r>
          </w:p>
        </w:tc>
        <w:tc>
          <w:tcPr>
            <w:tcW w:w="43" w:type="dxa"/>
            <w:tcBorders>
              <w:top w:val="nil"/>
              <w:left w:val="nil"/>
              <w:bottom w:val="nil"/>
              <w:right w:val="nil"/>
            </w:tcBorders>
            <w:shd w:val="clear" w:color="auto" w:fill="auto"/>
            <w:noWrap/>
            <w:vAlign w:val="center"/>
            <w:hideMark/>
          </w:tcPr>
          <w:p w14:paraId="226FEB31" w14:textId="77777777" w:rsidR="00F7132F" w:rsidRPr="00F7132F" w:rsidRDefault="00F7132F" w:rsidP="00F7132F">
            <w:pPr>
              <w:spacing w:after="0" w:line="240" w:lineRule="auto"/>
              <w:rPr>
                <w:rFonts w:ascii="Verdana" w:eastAsia="Times New Roman" w:hAnsi="Verdana" w:cs="Calibri"/>
                <w:b/>
                <w:bCs/>
                <w:sz w:val="16"/>
                <w:szCs w:val="16"/>
                <w:lang w:eastAsia="pt-BR"/>
              </w:rPr>
            </w:pPr>
          </w:p>
        </w:tc>
        <w:tc>
          <w:tcPr>
            <w:tcW w:w="1249" w:type="dxa"/>
            <w:tcBorders>
              <w:top w:val="nil"/>
              <w:left w:val="nil"/>
              <w:bottom w:val="nil"/>
              <w:right w:val="nil"/>
            </w:tcBorders>
            <w:shd w:val="clear" w:color="auto" w:fill="auto"/>
            <w:noWrap/>
            <w:vAlign w:val="center"/>
            <w:hideMark/>
          </w:tcPr>
          <w:p w14:paraId="3A9E851A" w14:textId="77777777" w:rsidR="00F7132F" w:rsidRPr="00F7132F" w:rsidRDefault="00F7132F" w:rsidP="00F7132F">
            <w:pPr>
              <w:spacing w:after="0" w:line="240" w:lineRule="auto"/>
              <w:rPr>
                <w:rFonts w:ascii="Verdana" w:eastAsia="Times New Roman" w:hAnsi="Verdana" w:cs="Calibri"/>
                <w:b/>
                <w:bCs/>
                <w:sz w:val="16"/>
                <w:szCs w:val="16"/>
                <w:lang w:eastAsia="pt-BR"/>
              </w:rPr>
            </w:pPr>
            <w:r w:rsidRPr="00F7132F">
              <w:rPr>
                <w:rFonts w:ascii="Verdana" w:eastAsia="Times New Roman" w:hAnsi="Verdana" w:cs="Calibri"/>
                <w:b/>
                <w:bCs/>
                <w:sz w:val="16"/>
                <w:szCs w:val="16"/>
                <w:lang w:eastAsia="pt-BR"/>
              </w:rPr>
              <w:t xml:space="preserve">  4.240.339 </w:t>
            </w:r>
          </w:p>
        </w:tc>
      </w:tr>
    </w:tbl>
    <w:p w14:paraId="351D7E7A" w14:textId="77777777" w:rsidR="00767A44" w:rsidRPr="00116729" w:rsidRDefault="00767A44" w:rsidP="004A1E74">
      <w:pPr>
        <w:rPr>
          <w:rFonts w:ascii="Verdana" w:hAnsi="Verdana" w:cstheme="minorHAnsi"/>
          <w:noProof/>
          <w:lang w:eastAsia="pt-BR"/>
        </w:rPr>
      </w:pPr>
    </w:p>
    <w:p w14:paraId="4789EFA7" w14:textId="77777777" w:rsidR="00C40278" w:rsidRDefault="003E20E8" w:rsidP="004A1E74">
      <w:pPr>
        <w:rPr>
          <w:rFonts w:ascii="Verdana" w:hAnsi="Verdana" w:cstheme="minorHAnsi"/>
          <w:noProof/>
          <w:sz w:val="17"/>
          <w:szCs w:val="17"/>
          <w:lang w:eastAsia="pt-BR"/>
        </w:rPr>
      </w:pPr>
      <w:r w:rsidRPr="00F7132F">
        <w:rPr>
          <w:rFonts w:ascii="Verdana" w:hAnsi="Verdana" w:cstheme="minorHAnsi"/>
          <w:noProof/>
          <w:sz w:val="17"/>
          <w:szCs w:val="17"/>
          <w:lang w:eastAsia="pt-BR"/>
        </w:rPr>
        <w:t>* Montante de juros até o término das amortizações dos empréstimos calculado conforme taxa contratuais</w:t>
      </w:r>
    </w:p>
    <w:p w14:paraId="11BBB1A3" w14:textId="77777777" w:rsidR="00C40278" w:rsidRDefault="00C40278">
      <w:pPr>
        <w:rPr>
          <w:rFonts w:ascii="Verdana" w:hAnsi="Verdana" w:cstheme="minorHAnsi"/>
          <w:noProof/>
          <w:sz w:val="17"/>
          <w:szCs w:val="17"/>
          <w:lang w:eastAsia="pt-BR"/>
        </w:rPr>
      </w:pPr>
      <w:r>
        <w:rPr>
          <w:rFonts w:ascii="Verdana" w:hAnsi="Verdana" w:cstheme="minorHAnsi"/>
          <w:noProof/>
          <w:sz w:val="17"/>
          <w:szCs w:val="17"/>
          <w:lang w:eastAsia="pt-BR"/>
        </w:rPr>
        <w:br w:type="page"/>
      </w:r>
    </w:p>
    <w:p w14:paraId="689A7721" w14:textId="77777777" w:rsidR="00DB59B8" w:rsidRPr="00182CB9" w:rsidRDefault="00DB59B8" w:rsidP="005C2926">
      <w:pPr>
        <w:pStyle w:val="PargrafodaLista"/>
        <w:numPr>
          <w:ilvl w:val="0"/>
          <w:numId w:val="14"/>
        </w:numPr>
        <w:spacing w:after="160"/>
        <w:ind w:left="284" w:hanging="284"/>
        <w:rPr>
          <w:rFonts w:ascii="Verdana" w:hAnsi="Verdana" w:cstheme="minorHAnsi"/>
          <w:b/>
          <w:szCs w:val="22"/>
        </w:rPr>
      </w:pPr>
      <w:r w:rsidRPr="00182CB9">
        <w:rPr>
          <w:rFonts w:ascii="Verdana" w:eastAsiaTheme="minorHAnsi" w:hAnsi="Verdana" w:cstheme="minorHAnsi"/>
          <w:b/>
          <w:bCs/>
          <w:szCs w:val="22"/>
          <w:lang w:eastAsia="en-US"/>
        </w:rPr>
        <w:lastRenderedPageBreak/>
        <w:t>Indexadores nacionais:</w:t>
      </w:r>
    </w:p>
    <w:p w14:paraId="08D920AE" w14:textId="77777777" w:rsidR="00DB59B8" w:rsidRPr="00182CB9" w:rsidRDefault="00DB59B8" w:rsidP="005C2926">
      <w:pPr>
        <w:pStyle w:val="Default"/>
        <w:spacing w:after="160"/>
        <w:jc w:val="both"/>
        <w:rPr>
          <w:rFonts w:eastAsiaTheme="minorHAnsi" w:cstheme="minorHAnsi"/>
          <w:b/>
          <w:bCs/>
          <w:color w:val="auto"/>
          <w:sz w:val="22"/>
          <w:szCs w:val="22"/>
          <w:lang w:eastAsia="en-US"/>
        </w:rPr>
      </w:pPr>
      <w:r w:rsidRPr="00182CB9">
        <w:rPr>
          <w:rFonts w:eastAsiaTheme="minorHAnsi" w:cstheme="minorHAnsi"/>
          <w:b/>
          <w:bCs/>
          <w:color w:val="auto"/>
          <w:sz w:val="22"/>
          <w:szCs w:val="22"/>
          <w:lang w:eastAsia="en-US"/>
        </w:rPr>
        <w:t>a.1) Risco de apreciação das taxas de juros:</w:t>
      </w:r>
    </w:p>
    <w:tbl>
      <w:tblPr>
        <w:tblW w:w="9305" w:type="dxa"/>
        <w:tblCellMar>
          <w:left w:w="70" w:type="dxa"/>
          <w:right w:w="70" w:type="dxa"/>
        </w:tblCellMar>
        <w:tblLook w:val="04A0" w:firstRow="1" w:lastRow="0" w:firstColumn="1" w:lastColumn="0" w:noHBand="0" w:noVBand="1"/>
      </w:tblPr>
      <w:tblGrid>
        <w:gridCol w:w="579"/>
        <w:gridCol w:w="3067"/>
        <w:gridCol w:w="1368"/>
        <w:gridCol w:w="198"/>
        <w:gridCol w:w="1354"/>
        <w:gridCol w:w="161"/>
        <w:gridCol w:w="1208"/>
        <w:gridCol w:w="161"/>
        <w:gridCol w:w="1209"/>
      </w:tblGrid>
      <w:tr w:rsidR="00C03689" w:rsidRPr="00F56185" w14:paraId="00EFED40" w14:textId="77777777" w:rsidTr="00F56185">
        <w:trPr>
          <w:trHeight w:val="27"/>
        </w:trPr>
        <w:tc>
          <w:tcPr>
            <w:tcW w:w="579" w:type="dxa"/>
            <w:tcBorders>
              <w:top w:val="nil"/>
              <w:left w:val="nil"/>
              <w:bottom w:val="nil"/>
              <w:right w:val="nil"/>
            </w:tcBorders>
            <w:shd w:val="clear" w:color="auto" w:fill="auto"/>
            <w:noWrap/>
            <w:vAlign w:val="bottom"/>
          </w:tcPr>
          <w:p w14:paraId="25B91C40" w14:textId="77777777" w:rsidR="00C03689" w:rsidRPr="00F56185" w:rsidRDefault="00C03689" w:rsidP="00F56185">
            <w:pPr>
              <w:spacing w:after="0" w:line="240" w:lineRule="auto"/>
              <w:rPr>
                <w:rFonts w:ascii="Times New Roman" w:eastAsia="Times New Roman" w:hAnsi="Times New Roman" w:cs="Times New Roman"/>
                <w:sz w:val="24"/>
                <w:szCs w:val="24"/>
                <w:lang w:eastAsia="pt-BR"/>
              </w:rPr>
            </w:pPr>
          </w:p>
        </w:tc>
        <w:tc>
          <w:tcPr>
            <w:tcW w:w="3067" w:type="dxa"/>
            <w:tcBorders>
              <w:top w:val="nil"/>
              <w:left w:val="nil"/>
              <w:bottom w:val="nil"/>
              <w:right w:val="nil"/>
            </w:tcBorders>
            <w:shd w:val="clear" w:color="auto" w:fill="auto"/>
            <w:noWrap/>
            <w:vAlign w:val="bottom"/>
          </w:tcPr>
          <w:p w14:paraId="497D8304" w14:textId="77777777" w:rsidR="00C03689" w:rsidRPr="00F56185" w:rsidRDefault="00C03689" w:rsidP="00F56185">
            <w:pPr>
              <w:spacing w:after="0" w:line="240" w:lineRule="auto"/>
              <w:rPr>
                <w:rFonts w:ascii="Times New Roman" w:eastAsia="Times New Roman" w:hAnsi="Times New Roman" w:cs="Times New Roman"/>
                <w:sz w:val="20"/>
                <w:szCs w:val="20"/>
                <w:lang w:eastAsia="pt-BR"/>
              </w:rPr>
            </w:pPr>
          </w:p>
        </w:tc>
        <w:tc>
          <w:tcPr>
            <w:tcW w:w="1368" w:type="dxa"/>
            <w:tcBorders>
              <w:top w:val="nil"/>
              <w:left w:val="nil"/>
              <w:bottom w:val="nil"/>
              <w:right w:val="nil"/>
            </w:tcBorders>
            <w:shd w:val="clear" w:color="auto" w:fill="auto"/>
            <w:noWrap/>
            <w:vAlign w:val="bottom"/>
          </w:tcPr>
          <w:p w14:paraId="6F180588" w14:textId="77777777" w:rsidR="00C03689" w:rsidRPr="00182CB9" w:rsidRDefault="00C03689" w:rsidP="00F56185">
            <w:pPr>
              <w:spacing w:after="0" w:line="240" w:lineRule="auto"/>
              <w:rPr>
                <w:rFonts w:ascii="Times New Roman" w:eastAsia="Times New Roman" w:hAnsi="Times New Roman" w:cs="Times New Roman"/>
                <w:b/>
                <w:sz w:val="20"/>
                <w:szCs w:val="20"/>
                <w:lang w:eastAsia="pt-BR"/>
              </w:rPr>
            </w:pPr>
          </w:p>
        </w:tc>
        <w:tc>
          <w:tcPr>
            <w:tcW w:w="198" w:type="dxa"/>
            <w:tcBorders>
              <w:top w:val="nil"/>
              <w:left w:val="nil"/>
              <w:bottom w:val="nil"/>
              <w:right w:val="nil"/>
            </w:tcBorders>
            <w:shd w:val="clear" w:color="auto" w:fill="auto"/>
            <w:noWrap/>
            <w:vAlign w:val="bottom"/>
          </w:tcPr>
          <w:p w14:paraId="07992919" w14:textId="77777777" w:rsidR="00C03689" w:rsidRPr="00182CB9" w:rsidRDefault="00C03689" w:rsidP="00F56185">
            <w:pPr>
              <w:spacing w:after="0" w:line="240" w:lineRule="auto"/>
              <w:rPr>
                <w:rFonts w:ascii="Times New Roman" w:eastAsia="Times New Roman" w:hAnsi="Times New Roman" w:cs="Times New Roman"/>
                <w:b/>
                <w:sz w:val="20"/>
                <w:szCs w:val="20"/>
                <w:lang w:eastAsia="pt-BR"/>
              </w:rPr>
            </w:pPr>
          </w:p>
        </w:tc>
        <w:tc>
          <w:tcPr>
            <w:tcW w:w="4093" w:type="dxa"/>
            <w:gridSpan w:val="5"/>
            <w:tcBorders>
              <w:top w:val="nil"/>
              <w:left w:val="nil"/>
              <w:bottom w:val="single" w:sz="4" w:space="0" w:color="auto"/>
              <w:right w:val="nil"/>
            </w:tcBorders>
            <w:shd w:val="clear" w:color="auto" w:fill="auto"/>
            <w:noWrap/>
            <w:vAlign w:val="bottom"/>
          </w:tcPr>
          <w:p w14:paraId="19CA4CC5" w14:textId="17AF547E" w:rsidR="00C03689" w:rsidRPr="00182CB9" w:rsidRDefault="00C03689" w:rsidP="00F56185">
            <w:pPr>
              <w:spacing w:after="0" w:line="240" w:lineRule="auto"/>
              <w:jc w:val="center"/>
              <w:rPr>
                <w:rFonts w:ascii="Verdana" w:eastAsia="Times New Roman" w:hAnsi="Verdana" w:cs="Calibri"/>
                <w:b/>
                <w:sz w:val="16"/>
                <w:szCs w:val="16"/>
                <w:lang w:eastAsia="pt-BR"/>
              </w:rPr>
            </w:pPr>
            <w:r w:rsidRPr="003072B4">
              <w:rPr>
                <w:rFonts w:ascii="Verdana" w:eastAsia="Times New Roman" w:hAnsi="Verdana" w:cs="Calibri"/>
                <w:b/>
                <w:sz w:val="18"/>
                <w:szCs w:val="18"/>
                <w:lang w:eastAsia="pt-BR"/>
              </w:rPr>
              <w:t>Consolidado</w:t>
            </w:r>
          </w:p>
        </w:tc>
      </w:tr>
      <w:tr w:rsidR="00F56185" w:rsidRPr="00F56185" w14:paraId="39ABE83D" w14:textId="77777777" w:rsidTr="00F56185">
        <w:trPr>
          <w:trHeight w:val="27"/>
        </w:trPr>
        <w:tc>
          <w:tcPr>
            <w:tcW w:w="579" w:type="dxa"/>
            <w:tcBorders>
              <w:top w:val="nil"/>
              <w:left w:val="nil"/>
              <w:bottom w:val="nil"/>
              <w:right w:val="nil"/>
            </w:tcBorders>
            <w:shd w:val="clear" w:color="auto" w:fill="auto"/>
            <w:noWrap/>
            <w:vAlign w:val="bottom"/>
            <w:hideMark/>
          </w:tcPr>
          <w:p w14:paraId="0CC77813" w14:textId="77777777" w:rsidR="00F56185" w:rsidRPr="00F56185" w:rsidRDefault="00F56185" w:rsidP="00F56185">
            <w:pPr>
              <w:spacing w:after="0" w:line="240" w:lineRule="auto"/>
              <w:rPr>
                <w:rFonts w:ascii="Times New Roman" w:eastAsia="Times New Roman" w:hAnsi="Times New Roman" w:cs="Times New Roman"/>
                <w:sz w:val="24"/>
                <w:szCs w:val="24"/>
                <w:lang w:eastAsia="pt-BR"/>
              </w:rPr>
            </w:pPr>
          </w:p>
        </w:tc>
        <w:tc>
          <w:tcPr>
            <w:tcW w:w="3067" w:type="dxa"/>
            <w:tcBorders>
              <w:top w:val="nil"/>
              <w:left w:val="nil"/>
              <w:bottom w:val="nil"/>
              <w:right w:val="nil"/>
            </w:tcBorders>
            <w:shd w:val="clear" w:color="auto" w:fill="auto"/>
            <w:noWrap/>
            <w:vAlign w:val="bottom"/>
            <w:hideMark/>
          </w:tcPr>
          <w:p w14:paraId="5B56219B" w14:textId="77777777" w:rsidR="00F56185" w:rsidRPr="00F56185" w:rsidRDefault="00F56185" w:rsidP="00F56185">
            <w:pPr>
              <w:spacing w:after="0" w:line="240" w:lineRule="auto"/>
              <w:rPr>
                <w:rFonts w:ascii="Times New Roman" w:eastAsia="Times New Roman" w:hAnsi="Times New Roman" w:cs="Times New Roman"/>
                <w:sz w:val="20"/>
                <w:szCs w:val="20"/>
                <w:lang w:eastAsia="pt-BR"/>
              </w:rPr>
            </w:pPr>
          </w:p>
        </w:tc>
        <w:tc>
          <w:tcPr>
            <w:tcW w:w="1368" w:type="dxa"/>
            <w:tcBorders>
              <w:top w:val="nil"/>
              <w:left w:val="nil"/>
              <w:bottom w:val="nil"/>
              <w:right w:val="nil"/>
            </w:tcBorders>
            <w:shd w:val="clear" w:color="auto" w:fill="auto"/>
            <w:noWrap/>
            <w:vAlign w:val="bottom"/>
            <w:hideMark/>
          </w:tcPr>
          <w:p w14:paraId="125413B3" w14:textId="77777777" w:rsidR="00F56185" w:rsidRPr="00182CB9" w:rsidRDefault="00F56185" w:rsidP="00F56185">
            <w:pPr>
              <w:spacing w:after="0" w:line="240" w:lineRule="auto"/>
              <w:rPr>
                <w:rFonts w:ascii="Times New Roman" w:eastAsia="Times New Roman" w:hAnsi="Times New Roman" w:cs="Times New Roman"/>
                <w:b/>
                <w:sz w:val="20"/>
                <w:szCs w:val="20"/>
                <w:lang w:eastAsia="pt-BR"/>
              </w:rPr>
            </w:pPr>
          </w:p>
        </w:tc>
        <w:tc>
          <w:tcPr>
            <w:tcW w:w="198" w:type="dxa"/>
            <w:tcBorders>
              <w:top w:val="nil"/>
              <w:left w:val="nil"/>
              <w:bottom w:val="nil"/>
              <w:right w:val="nil"/>
            </w:tcBorders>
            <w:shd w:val="clear" w:color="auto" w:fill="auto"/>
            <w:noWrap/>
            <w:vAlign w:val="bottom"/>
            <w:hideMark/>
          </w:tcPr>
          <w:p w14:paraId="3E846C14" w14:textId="77777777" w:rsidR="00F56185" w:rsidRPr="00182CB9" w:rsidRDefault="00F56185" w:rsidP="00F56185">
            <w:pPr>
              <w:spacing w:after="0" w:line="240" w:lineRule="auto"/>
              <w:rPr>
                <w:rFonts w:ascii="Times New Roman" w:eastAsia="Times New Roman" w:hAnsi="Times New Roman" w:cs="Times New Roman"/>
                <w:b/>
                <w:sz w:val="20"/>
                <w:szCs w:val="20"/>
                <w:lang w:eastAsia="pt-BR"/>
              </w:rPr>
            </w:pPr>
          </w:p>
        </w:tc>
        <w:tc>
          <w:tcPr>
            <w:tcW w:w="4093" w:type="dxa"/>
            <w:gridSpan w:val="5"/>
            <w:tcBorders>
              <w:top w:val="nil"/>
              <w:left w:val="nil"/>
              <w:bottom w:val="single" w:sz="4" w:space="0" w:color="auto"/>
              <w:right w:val="nil"/>
            </w:tcBorders>
            <w:shd w:val="clear" w:color="auto" w:fill="auto"/>
            <w:noWrap/>
            <w:vAlign w:val="bottom"/>
            <w:hideMark/>
          </w:tcPr>
          <w:p w14:paraId="793321FD" w14:textId="77777777" w:rsidR="00F56185" w:rsidRPr="00182CB9" w:rsidRDefault="00F56185" w:rsidP="00F56185">
            <w:pPr>
              <w:spacing w:after="0" w:line="240" w:lineRule="auto"/>
              <w:jc w:val="center"/>
              <w:rPr>
                <w:rFonts w:ascii="Verdana" w:eastAsia="Times New Roman" w:hAnsi="Verdana" w:cs="Calibri"/>
                <w:b/>
                <w:sz w:val="16"/>
                <w:szCs w:val="16"/>
                <w:lang w:eastAsia="pt-BR"/>
              </w:rPr>
            </w:pPr>
            <w:r w:rsidRPr="00182CB9">
              <w:rPr>
                <w:rFonts w:ascii="Verdana" w:eastAsia="Times New Roman" w:hAnsi="Verdana" w:cs="Calibri"/>
                <w:b/>
                <w:sz w:val="16"/>
                <w:szCs w:val="16"/>
                <w:lang w:eastAsia="pt-BR"/>
              </w:rPr>
              <w:t>Efeitos no resultado</w:t>
            </w:r>
          </w:p>
        </w:tc>
      </w:tr>
      <w:tr w:rsidR="00F56185" w:rsidRPr="00F56185" w14:paraId="338C2CEE" w14:textId="77777777" w:rsidTr="00F56185">
        <w:trPr>
          <w:trHeight w:val="27"/>
        </w:trPr>
        <w:tc>
          <w:tcPr>
            <w:tcW w:w="579" w:type="dxa"/>
            <w:tcBorders>
              <w:top w:val="nil"/>
              <w:left w:val="nil"/>
              <w:bottom w:val="nil"/>
              <w:right w:val="nil"/>
            </w:tcBorders>
            <w:shd w:val="clear" w:color="auto" w:fill="auto"/>
            <w:noWrap/>
            <w:vAlign w:val="bottom"/>
            <w:hideMark/>
          </w:tcPr>
          <w:p w14:paraId="12F9336C" w14:textId="77777777" w:rsidR="00F56185" w:rsidRPr="00F56185" w:rsidRDefault="00F56185" w:rsidP="00F56185">
            <w:pPr>
              <w:spacing w:after="0" w:line="240" w:lineRule="auto"/>
              <w:jc w:val="center"/>
              <w:rPr>
                <w:rFonts w:ascii="Verdana" w:eastAsia="Times New Roman" w:hAnsi="Verdana" w:cs="Calibri"/>
                <w:sz w:val="16"/>
                <w:szCs w:val="16"/>
                <w:lang w:eastAsia="pt-BR"/>
              </w:rPr>
            </w:pPr>
          </w:p>
        </w:tc>
        <w:tc>
          <w:tcPr>
            <w:tcW w:w="3067" w:type="dxa"/>
            <w:tcBorders>
              <w:top w:val="nil"/>
              <w:left w:val="nil"/>
              <w:bottom w:val="nil"/>
              <w:right w:val="nil"/>
            </w:tcBorders>
            <w:shd w:val="clear" w:color="auto" w:fill="auto"/>
            <w:noWrap/>
            <w:vAlign w:val="bottom"/>
            <w:hideMark/>
          </w:tcPr>
          <w:p w14:paraId="7D365FBE" w14:textId="77777777" w:rsidR="00F56185" w:rsidRPr="00F56185" w:rsidRDefault="00F56185" w:rsidP="00F56185">
            <w:pPr>
              <w:spacing w:after="0" w:line="240" w:lineRule="auto"/>
              <w:rPr>
                <w:rFonts w:ascii="Times New Roman" w:eastAsia="Times New Roman" w:hAnsi="Times New Roman" w:cs="Times New Roman"/>
                <w:sz w:val="20"/>
                <w:szCs w:val="20"/>
                <w:lang w:eastAsia="pt-BR"/>
              </w:rPr>
            </w:pPr>
          </w:p>
        </w:tc>
        <w:tc>
          <w:tcPr>
            <w:tcW w:w="1368" w:type="dxa"/>
            <w:tcBorders>
              <w:top w:val="nil"/>
              <w:left w:val="nil"/>
              <w:bottom w:val="single" w:sz="4" w:space="0" w:color="auto"/>
              <w:right w:val="nil"/>
            </w:tcBorders>
            <w:shd w:val="clear" w:color="auto" w:fill="auto"/>
            <w:vAlign w:val="center"/>
            <w:hideMark/>
          </w:tcPr>
          <w:p w14:paraId="2A03EDFE" w14:textId="77777777" w:rsidR="00F56185" w:rsidRPr="00182CB9" w:rsidRDefault="00F56185" w:rsidP="00F56185">
            <w:pPr>
              <w:spacing w:after="0" w:line="240" w:lineRule="auto"/>
              <w:jc w:val="center"/>
              <w:rPr>
                <w:rFonts w:ascii="Verdana" w:eastAsia="Times New Roman" w:hAnsi="Verdana" w:cs="Calibri"/>
                <w:b/>
                <w:sz w:val="16"/>
                <w:szCs w:val="16"/>
                <w:lang w:eastAsia="pt-BR"/>
              </w:rPr>
            </w:pPr>
            <w:r w:rsidRPr="00182CB9">
              <w:rPr>
                <w:rFonts w:ascii="Verdana" w:eastAsia="Times New Roman" w:hAnsi="Verdana" w:cs="Calibri"/>
                <w:b/>
                <w:sz w:val="16"/>
                <w:szCs w:val="16"/>
                <w:lang w:eastAsia="pt-BR"/>
              </w:rPr>
              <w:t>Saldo em 30/06/22</w:t>
            </w:r>
          </w:p>
        </w:tc>
        <w:tc>
          <w:tcPr>
            <w:tcW w:w="198" w:type="dxa"/>
            <w:tcBorders>
              <w:top w:val="nil"/>
              <w:left w:val="nil"/>
              <w:bottom w:val="nil"/>
              <w:right w:val="nil"/>
            </w:tcBorders>
            <w:shd w:val="clear" w:color="auto" w:fill="auto"/>
            <w:vAlign w:val="center"/>
            <w:hideMark/>
          </w:tcPr>
          <w:p w14:paraId="73CDE763" w14:textId="77777777" w:rsidR="00F56185" w:rsidRPr="00182CB9" w:rsidRDefault="00F56185" w:rsidP="00F56185">
            <w:pPr>
              <w:spacing w:after="0" w:line="240" w:lineRule="auto"/>
              <w:jc w:val="center"/>
              <w:rPr>
                <w:rFonts w:ascii="Verdana" w:eastAsia="Times New Roman" w:hAnsi="Verdana" w:cs="Calibri"/>
                <w:b/>
                <w:sz w:val="16"/>
                <w:szCs w:val="16"/>
                <w:lang w:eastAsia="pt-BR"/>
              </w:rPr>
            </w:pPr>
          </w:p>
        </w:tc>
        <w:tc>
          <w:tcPr>
            <w:tcW w:w="1354" w:type="dxa"/>
            <w:tcBorders>
              <w:top w:val="nil"/>
              <w:left w:val="nil"/>
              <w:bottom w:val="single" w:sz="4" w:space="0" w:color="auto"/>
              <w:right w:val="nil"/>
            </w:tcBorders>
            <w:shd w:val="clear" w:color="auto" w:fill="auto"/>
            <w:vAlign w:val="center"/>
            <w:hideMark/>
          </w:tcPr>
          <w:p w14:paraId="3D32B10F" w14:textId="77777777" w:rsidR="00F56185" w:rsidRPr="00182CB9" w:rsidRDefault="00F56185" w:rsidP="00F56185">
            <w:pPr>
              <w:spacing w:after="0" w:line="240" w:lineRule="auto"/>
              <w:jc w:val="center"/>
              <w:rPr>
                <w:rFonts w:ascii="Verdana" w:eastAsia="Times New Roman" w:hAnsi="Verdana" w:cs="Calibri"/>
                <w:b/>
                <w:sz w:val="16"/>
                <w:szCs w:val="16"/>
                <w:lang w:eastAsia="pt-BR"/>
              </w:rPr>
            </w:pPr>
            <w:r w:rsidRPr="00182CB9">
              <w:rPr>
                <w:rFonts w:ascii="Verdana" w:eastAsia="Times New Roman" w:hAnsi="Verdana" w:cs="Calibri"/>
                <w:b/>
                <w:sz w:val="16"/>
                <w:szCs w:val="16"/>
                <w:lang w:eastAsia="pt-BR"/>
              </w:rPr>
              <w:t>Cenário I Provável 2022*</w:t>
            </w:r>
          </w:p>
        </w:tc>
        <w:tc>
          <w:tcPr>
            <w:tcW w:w="161" w:type="dxa"/>
            <w:tcBorders>
              <w:top w:val="nil"/>
              <w:left w:val="nil"/>
              <w:bottom w:val="nil"/>
              <w:right w:val="nil"/>
            </w:tcBorders>
            <w:shd w:val="clear" w:color="auto" w:fill="auto"/>
            <w:noWrap/>
            <w:vAlign w:val="center"/>
            <w:hideMark/>
          </w:tcPr>
          <w:p w14:paraId="5CBF5C19" w14:textId="77777777" w:rsidR="00F56185" w:rsidRPr="00182CB9" w:rsidRDefault="00F56185" w:rsidP="00F56185">
            <w:pPr>
              <w:spacing w:after="0" w:line="240" w:lineRule="auto"/>
              <w:jc w:val="center"/>
              <w:rPr>
                <w:rFonts w:ascii="Verdana" w:eastAsia="Times New Roman" w:hAnsi="Verdana" w:cs="Calibri"/>
                <w:b/>
                <w:sz w:val="16"/>
                <w:szCs w:val="16"/>
                <w:lang w:eastAsia="pt-BR"/>
              </w:rPr>
            </w:pPr>
          </w:p>
        </w:tc>
        <w:tc>
          <w:tcPr>
            <w:tcW w:w="1208" w:type="dxa"/>
            <w:tcBorders>
              <w:top w:val="nil"/>
              <w:left w:val="nil"/>
              <w:bottom w:val="single" w:sz="4" w:space="0" w:color="auto"/>
              <w:right w:val="nil"/>
            </w:tcBorders>
            <w:shd w:val="clear" w:color="auto" w:fill="auto"/>
            <w:vAlign w:val="center"/>
            <w:hideMark/>
          </w:tcPr>
          <w:p w14:paraId="343D0825" w14:textId="77777777" w:rsidR="00F56185" w:rsidRPr="00182CB9" w:rsidRDefault="00F56185" w:rsidP="00F56185">
            <w:pPr>
              <w:spacing w:after="0" w:line="240" w:lineRule="auto"/>
              <w:jc w:val="center"/>
              <w:rPr>
                <w:rFonts w:ascii="Verdana" w:eastAsia="Times New Roman" w:hAnsi="Verdana" w:cs="Calibri"/>
                <w:b/>
                <w:sz w:val="16"/>
                <w:szCs w:val="16"/>
                <w:lang w:eastAsia="pt-BR"/>
              </w:rPr>
            </w:pPr>
            <w:r w:rsidRPr="00182CB9">
              <w:rPr>
                <w:rFonts w:ascii="Verdana" w:eastAsia="Times New Roman" w:hAnsi="Verdana" w:cs="Calibri"/>
                <w:b/>
                <w:sz w:val="16"/>
                <w:szCs w:val="16"/>
                <w:lang w:eastAsia="pt-BR"/>
              </w:rPr>
              <w:t>Cenário II (+25%)*</w:t>
            </w:r>
          </w:p>
        </w:tc>
        <w:tc>
          <w:tcPr>
            <w:tcW w:w="161" w:type="dxa"/>
            <w:tcBorders>
              <w:top w:val="nil"/>
              <w:left w:val="nil"/>
              <w:bottom w:val="nil"/>
              <w:right w:val="nil"/>
            </w:tcBorders>
            <w:shd w:val="clear" w:color="auto" w:fill="auto"/>
            <w:noWrap/>
            <w:vAlign w:val="center"/>
            <w:hideMark/>
          </w:tcPr>
          <w:p w14:paraId="246E3DD9" w14:textId="77777777" w:rsidR="00F56185" w:rsidRPr="00182CB9" w:rsidRDefault="00F56185" w:rsidP="00F56185">
            <w:pPr>
              <w:spacing w:after="0" w:line="240" w:lineRule="auto"/>
              <w:jc w:val="center"/>
              <w:rPr>
                <w:rFonts w:ascii="Verdana" w:eastAsia="Times New Roman" w:hAnsi="Verdana" w:cs="Calibri"/>
                <w:b/>
                <w:sz w:val="16"/>
                <w:szCs w:val="16"/>
                <w:lang w:eastAsia="pt-BR"/>
              </w:rPr>
            </w:pPr>
          </w:p>
        </w:tc>
        <w:tc>
          <w:tcPr>
            <w:tcW w:w="1208" w:type="dxa"/>
            <w:tcBorders>
              <w:top w:val="nil"/>
              <w:left w:val="nil"/>
              <w:bottom w:val="single" w:sz="4" w:space="0" w:color="auto"/>
              <w:right w:val="nil"/>
            </w:tcBorders>
            <w:shd w:val="clear" w:color="auto" w:fill="auto"/>
            <w:vAlign w:val="center"/>
            <w:hideMark/>
          </w:tcPr>
          <w:p w14:paraId="34476F78" w14:textId="77777777" w:rsidR="00F56185" w:rsidRPr="00182CB9" w:rsidRDefault="00F56185" w:rsidP="00F56185">
            <w:pPr>
              <w:spacing w:after="0" w:line="240" w:lineRule="auto"/>
              <w:jc w:val="center"/>
              <w:rPr>
                <w:rFonts w:ascii="Verdana" w:eastAsia="Times New Roman" w:hAnsi="Verdana" w:cs="Calibri"/>
                <w:b/>
                <w:sz w:val="16"/>
                <w:szCs w:val="16"/>
                <w:lang w:eastAsia="pt-BR"/>
              </w:rPr>
            </w:pPr>
            <w:r w:rsidRPr="00182CB9">
              <w:rPr>
                <w:rFonts w:ascii="Verdana" w:eastAsia="Times New Roman" w:hAnsi="Verdana" w:cs="Calibri"/>
                <w:b/>
                <w:sz w:val="16"/>
                <w:szCs w:val="16"/>
                <w:lang w:eastAsia="pt-BR"/>
              </w:rPr>
              <w:t>Cenário III (+50%)*</w:t>
            </w:r>
          </w:p>
        </w:tc>
      </w:tr>
      <w:tr w:rsidR="00F56185" w:rsidRPr="00F56185" w14:paraId="1674F99B" w14:textId="77777777" w:rsidTr="00F56185">
        <w:trPr>
          <w:trHeight w:val="27"/>
        </w:trPr>
        <w:tc>
          <w:tcPr>
            <w:tcW w:w="579" w:type="dxa"/>
            <w:tcBorders>
              <w:top w:val="nil"/>
              <w:left w:val="nil"/>
              <w:bottom w:val="single" w:sz="4" w:space="0" w:color="auto"/>
              <w:right w:val="nil"/>
            </w:tcBorders>
            <w:shd w:val="clear" w:color="auto" w:fill="auto"/>
            <w:noWrap/>
            <w:vAlign w:val="bottom"/>
            <w:hideMark/>
          </w:tcPr>
          <w:p w14:paraId="23A4743D" w14:textId="77777777" w:rsidR="00F56185" w:rsidRPr="00F56185" w:rsidRDefault="00F56185" w:rsidP="00F56185">
            <w:pPr>
              <w:spacing w:after="0" w:line="240" w:lineRule="auto"/>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IPCA</w:t>
            </w:r>
          </w:p>
        </w:tc>
        <w:tc>
          <w:tcPr>
            <w:tcW w:w="3067" w:type="dxa"/>
            <w:tcBorders>
              <w:top w:val="nil"/>
              <w:left w:val="nil"/>
              <w:bottom w:val="single" w:sz="4" w:space="0" w:color="auto"/>
              <w:right w:val="nil"/>
            </w:tcBorders>
            <w:shd w:val="clear" w:color="auto" w:fill="auto"/>
            <w:noWrap/>
            <w:vAlign w:val="bottom"/>
            <w:hideMark/>
          </w:tcPr>
          <w:p w14:paraId="770C1077" w14:textId="77777777" w:rsidR="00F56185" w:rsidRPr="00F56185" w:rsidRDefault="00F56185" w:rsidP="00F56185">
            <w:pPr>
              <w:spacing w:after="0" w:line="240" w:lineRule="auto"/>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Empréstimos e financiamentos</w:t>
            </w:r>
          </w:p>
        </w:tc>
        <w:tc>
          <w:tcPr>
            <w:tcW w:w="1368" w:type="dxa"/>
            <w:tcBorders>
              <w:top w:val="nil"/>
              <w:left w:val="nil"/>
              <w:bottom w:val="single" w:sz="4" w:space="0" w:color="auto"/>
              <w:right w:val="nil"/>
            </w:tcBorders>
            <w:shd w:val="clear" w:color="auto" w:fill="auto"/>
            <w:noWrap/>
            <w:vAlign w:val="bottom"/>
            <w:hideMark/>
          </w:tcPr>
          <w:p w14:paraId="24E089F0" w14:textId="77777777" w:rsidR="00F56185" w:rsidRPr="00F56185" w:rsidRDefault="00F56185" w:rsidP="00F56185">
            <w:pPr>
              <w:spacing w:after="0" w:line="240" w:lineRule="auto"/>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 xml:space="preserve">     (298.242)</w:t>
            </w:r>
          </w:p>
        </w:tc>
        <w:tc>
          <w:tcPr>
            <w:tcW w:w="198" w:type="dxa"/>
            <w:tcBorders>
              <w:top w:val="nil"/>
              <w:left w:val="nil"/>
              <w:bottom w:val="nil"/>
              <w:right w:val="nil"/>
            </w:tcBorders>
            <w:shd w:val="clear" w:color="auto" w:fill="auto"/>
            <w:noWrap/>
            <w:vAlign w:val="bottom"/>
            <w:hideMark/>
          </w:tcPr>
          <w:p w14:paraId="55187475" w14:textId="77777777" w:rsidR="00F56185" w:rsidRPr="00F56185" w:rsidRDefault="00F56185" w:rsidP="00F56185">
            <w:pPr>
              <w:spacing w:after="0" w:line="240" w:lineRule="auto"/>
              <w:rPr>
                <w:rFonts w:ascii="Verdana" w:eastAsia="Times New Roman" w:hAnsi="Verdana" w:cs="Calibri"/>
                <w:sz w:val="16"/>
                <w:szCs w:val="16"/>
                <w:lang w:eastAsia="pt-BR"/>
              </w:rPr>
            </w:pPr>
          </w:p>
        </w:tc>
        <w:tc>
          <w:tcPr>
            <w:tcW w:w="1354" w:type="dxa"/>
            <w:tcBorders>
              <w:top w:val="nil"/>
              <w:left w:val="nil"/>
              <w:bottom w:val="single" w:sz="4" w:space="0" w:color="auto"/>
              <w:right w:val="nil"/>
            </w:tcBorders>
            <w:shd w:val="clear" w:color="auto" w:fill="auto"/>
            <w:noWrap/>
            <w:vAlign w:val="bottom"/>
            <w:hideMark/>
          </w:tcPr>
          <w:p w14:paraId="26389628" w14:textId="77777777" w:rsidR="00F56185" w:rsidRPr="00F56185" w:rsidRDefault="00F56185" w:rsidP="00F56185">
            <w:pPr>
              <w:spacing w:after="0" w:line="240" w:lineRule="auto"/>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 xml:space="preserve">     (39.891)</w:t>
            </w:r>
          </w:p>
        </w:tc>
        <w:tc>
          <w:tcPr>
            <w:tcW w:w="161" w:type="dxa"/>
            <w:tcBorders>
              <w:top w:val="nil"/>
              <w:left w:val="nil"/>
              <w:bottom w:val="nil"/>
              <w:right w:val="nil"/>
            </w:tcBorders>
            <w:shd w:val="clear" w:color="auto" w:fill="auto"/>
            <w:noWrap/>
            <w:vAlign w:val="bottom"/>
            <w:hideMark/>
          </w:tcPr>
          <w:p w14:paraId="63E5345A" w14:textId="77777777" w:rsidR="00F56185" w:rsidRPr="00F56185" w:rsidRDefault="00F56185" w:rsidP="00F56185">
            <w:pPr>
              <w:spacing w:after="0" w:line="240" w:lineRule="auto"/>
              <w:rPr>
                <w:rFonts w:ascii="Verdana" w:eastAsia="Times New Roman" w:hAnsi="Verdana" w:cs="Calibri"/>
                <w:sz w:val="16"/>
                <w:szCs w:val="16"/>
                <w:lang w:eastAsia="pt-BR"/>
              </w:rPr>
            </w:pPr>
          </w:p>
        </w:tc>
        <w:tc>
          <w:tcPr>
            <w:tcW w:w="1208" w:type="dxa"/>
            <w:tcBorders>
              <w:top w:val="nil"/>
              <w:left w:val="nil"/>
              <w:bottom w:val="single" w:sz="4" w:space="0" w:color="auto"/>
              <w:right w:val="nil"/>
            </w:tcBorders>
            <w:shd w:val="clear" w:color="auto" w:fill="auto"/>
            <w:noWrap/>
            <w:vAlign w:val="bottom"/>
            <w:hideMark/>
          </w:tcPr>
          <w:p w14:paraId="6B1646E5" w14:textId="77777777" w:rsidR="00F56185" w:rsidRPr="00F56185" w:rsidRDefault="00F56185" w:rsidP="00F56185">
            <w:pPr>
              <w:spacing w:after="0" w:line="240" w:lineRule="auto"/>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 xml:space="preserve">   (44.135)</w:t>
            </w:r>
          </w:p>
        </w:tc>
        <w:tc>
          <w:tcPr>
            <w:tcW w:w="161" w:type="dxa"/>
            <w:tcBorders>
              <w:top w:val="nil"/>
              <w:left w:val="nil"/>
              <w:bottom w:val="nil"/>
              <w:right w:val="nil"/>
            </w:tcBorders>
            <w:shd w:val="clear" w:color="auto" w:fill="auto"/>
            <w:noWrap/>
            <w:vAlign w:val="bottom"/>
            <w:hideMark/>
          </w:tcPr>
          <w:p w14:paraId="50AAB61A" w14:textId="77777777" w:rsidR="00F56185" w:rsidRPr="00F56185" w:rsidRDefault="00F56185" w:rsidP="00F56185">
            <w:pPr>
              <w:spacing w:after="0" w:line="240" w:lineRule="auto"/>
              <w:rPr>
                <w:rFonts w:ascii="Verdana" w:eastAsia="Times New Roman" w:hAnsi="Verdana" w:cs="Calibri"/>
                <w:sz w:val="16"/>
                <w:szCs w:val="16"/>
                <w:lang w:eastAsia="pt-BR"/>
              </w:rPr>
            </w:pPr>
          </w:p>
        </w:tc>
        <w:tc>
          <w:tcPr>
            <w:tcW w:w="1208" w:type="dxa"/>
            <w:tcBorders>
              <w:top w:val="nil"/>
              <w:left w:val="nil"/>
              <w:bottom w:val="single" w:sz="4" w:space="0" w:color="auto"/>
              <w:right w:val="nil"/>
            </w:tcBorders>
            <w:shd w:val="clear" w:color="auto" w:fill="auto"/>
            <w:noWrap/>
            <w:vAlign w:val="bottom"/>
            <w:hideMark/>
          </w:tcPr>
          <w:p w14:paraId="4018E77A" w14:textId="77777777" w:rsidR="00F56185" w:rsidRPr="00F56185" w:rsidRDefault="00F56185" w:rsidP="00F56185">
            <w:pPr>
              <w:spacing w:after="0" w:line="240" w:lineRule="auto"/>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 xml:space="preserve">   (48.343)</w:t>
            </w:r>
          </w:p>
        </w:tc>
      </w:tr>
      <w:tr w:rsidR="00F56185" w:rsidRPr="00F56185" w14:paraId="446B26D0" w14:textId="77777777" w:rsidTr="00F56185">
        <w:trPr>
          <w:trHeight w:val="27"/>
        </w:trPr>
        <w:tc>
          <w:tcPr>
            <w:tcW w:w="579" w:type="dxa"/>
            <w:tcBorders>
              <w:top w:val="nil"/>
              <w:left w:val="nil"/>
              <w:bottom w:val="single" w:sz="4" w:space="0" w:color="auto"/>
              <w:right w:val="nil"/>
            </w:tcBorders>
            <w:shd w:val="clear" w:color="auto" w:fill="auto"/>
            <w:noWrap/>
            <w:vAlign w:val="bottom"/>
            <w:hideMark/>
          </w:tcPr>
          <w:p w14:paraId="20987153" w14:textId="77777777" w:rsidR="00F56185" w:rsidRPr="00F56185" w:rsidRDefault="00F56185" w:rsidP="00F56185">
            <w:pPr>
              <w:spacing w:after="0" w:line="240" w:lineRule="auto"/>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 </w:t>
            </w:r>
          </w:p>
        </w:tc>
        <w:tc>
          <w:tcPr>
            <w:tcW w:w="3067" w:type="dxa"/>
            <w:tcBorders>
              <w:top w:val="nil"/>
              <w:left w:val="nil"/>
              <w:bottom w:val="single" w:sz="4" w:space="0" w:color="auto"/>
              <w:right w:val="nil"/>
            </w:tcBorders>
            <w:shd w:val="clear" w:color="auto" w:fill="auto"/>
            <w:noWrap/>
            <w:vAlign w:val="bottom"/>
            <w:hideMark/>
          </w:tcPr>
          <w:p w14:paraId="1340319B" w14:textId="77777777" w:rsidR="00F56185" w:rsidRPr="00F56185" w:rsidRDefault="00F56185" w:rsidP="00F56185">
            <w:pPr>
              <w:spacing w:after="0" w:line="240" w:lineRule="auto"/>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Impacto no resultado</w:t>
            </w:r>
          </w:p>
        </w:tc>
        <w:tc>
          <w:tcPr>
            <w:tcW w:w="1368" w:type="dxa"/>
            <w:tcBorders>
              <w:top w:val="nil"/>
              <w:left w:val="nil"/>
              <w:bottom w:val="single" w:sz="4" w:space="0" w:color="auto"/>
              <w:right w:val="nil"/>
            </w:tcBorders>
            <w:shd w:val="clear" w:color="auto" w:fill="auto"/>
            <w:noWrap/>
            <w:vAlign w:val="bottom"/>
            <w:hideMark/>
          </w:tcPr>
          <w:p w14:paraId="20BBC07B" w14:textId="77777777" w:rsidR="00F56185" w:rsidRPr="00F56185" w:rsidRDefault="00F56185" w:rsidP="00F56185">
            <w:pPr>
              <w:spacing w:after="0" w:line="240" w:lineRule="auto"/>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 xml:space="preserve">     (298.242)</w:t>
            </w:r>
          </w:p>
        </w:tc>
        <w:tc>
          <w:tcPr>
            <w:tcW w:w="198" w:type="dxa"/>
            <w:tcBorders>
              <w:top w:val="nil"/>
              <w:left w:val="nil"/>
              <w:bottom w:val="nil"/>
              <w:right w:val="nil"/>
            </w:tcBorders>
            <w:shd w:val="clear" w:color="auto" w:fill="auto"/>
            <w:noWrap/>
            <w:vAlign w:val="bottom"/>
            <w:hideMark/>
          </w:tcPr>
          <w:p w14:paraId="5DD3F8DC" w14:textId="77777777" w:rsidR="00F56185" w:rsidRPr="00F56185" w:rsidRDefault="00F56185" w:rsidP="00F56185">
            <w:pPr>
              <w:spacing w:after="0" w:line="240" w:lineRule="auto"/>
              <w:rPr>
                <w:rFonts w:ascii="Verdana" w:eastAsia="Times New Roman" w:hAnsi="Verdana" w:cs="Calibri"/>
                <w:sz w:val="16"/>
                <w:szCs w:val="16"/>
                <w:lang w:eastAsia="pt-BR"/>
              </w:rPr>
            </w:pPr>
          </w:p>
        </w:tc>
        <w:tc>
          <w:tcPr>
            <w:tcW w:w="1354" w:type="dxa"/>
            <w:tcBorders>
              <w:top w:val="nil"/>
              <w:left w:val="nil"/>
              <w:bottom w:val="single" w:sz="4" w:space="0" w:color="auto"/>
              <w:right w:val="nil"/>
            </w:tcBorders>
            <w:shd w:val="clear" w:color="auto" w:fill="auto"/>
            <w:noWrap/>
            <w:vAlign w:val="bottom"/>
            <w:hideMark/>
          </w:tcPr>
          <w:p w14:paraId="27FF0962" w14:textId="77777777" w:rsidR="00F56185" w:rsidRPr="00F56185" w:rsidRDefault="00F56185" w:rsidP="00F56185">
            <w:pPr>
              <w:spacing w:after="0" w:line="240" w:lineRule="auto"/>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 xml:space="preserve">     (39.891)</w:t>
            </w:r>
          </w:p>
        </w:tc>
        <w:tc>
          <w:tcPr>
            <w:tcW w:w="161" w:type="dxa"/>
            <w:tcBorders>
              <w:top w:val="nil"/>
              <w:left w:val="nil"/>
              <w:bottom w:val="nil"/>
              <w:right w:val="nil"/>
            </w:tcBorders>
            <w:shd w:val="clear" w:color="auto" w:fill="auto"/>
            <w:noWrap/>
            <w:vAlign w:val="bottom"/>
            <w:hideMark/>
          </w:tcPr>
          <w:p w14:paraId="7E17B8EF" w14:textId="77777777" w:rsidR="00F56185" w:rsidRPr="00F56185" w:rsidRDefault="00F56185" w:rsidP="00F56185">
            <w:pPr>
              <w:spacing w:after="0" w:line="240" w:lineRule="auto"/>
              <w:rPr>
                <w:rFonts w:ascii="Verdana" w:eastAsia="Times New Roman" w:hAnsi="Verdana" w:cs="Calibri"/>
                <w:sz w:val="16"/>
                <w:szCs w:val="16"/>
                <w:lang w:eastAsia="pt-BR"/>
              </w:rPr>
            </w:pPr>
          </w:p>
        </w:tc>
        <w:tc>
          <w:tcPr>
            <w:tcW w:w="1208" w:type="dxa"/>
            <w:tcBorders>
              <w:top w:val="nil"/>
              <w:left w:val="nil"/>
              <w:bottom w:val="single" w:sz="4" w:space="0" w:color="auto"/>
              <w:right w:val="nil"/>
            </w:tcBorders>
            <w:shd w:val="clear" w:color="auto" w:fill="auto"/>
            <w:noWrap/>
            <w:vAlign w:val="bottom"/>
            <w:hideMark/>
          </w:tcPr>
          <w:p w14:paraId="6F1E9BD6" w14:textId="77777777" w:rsidR="00F56185" w:rsidRPr="00F56185" w:rsidRDefault="00F56185" w:rsidP="00F56185">
            <w:pPr>
              <w:spacing w:after="0" w:line="240" w:lineRule="auto"/>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 xml:space="preserve">   (44.135)</w:t>
            </w:r>
          </w:p>
        </w:tc>
        <w:tc>
          <w:tcPr>
            <w:tcW w:w="161" w:type="dxa"/>
            <w:tcBorders>
              <w:top w:val="nil"/>
              <w:left w:val="nil"/>
              <w:bottom w:val="nil"/>
              <w:right w:val="nil"/>
            </w:tcBorders>
            <w:shd w:val="clear" w:color="auto" w:fill="auto"/>
            <w:noWrap/>
            <w:vAlign w:val="bottom"/>
            <w:hideMark/>
          </w:tcPr>
          <w:p w14:paraId="044D5A0E" w14:textId="77777777" w:rsidR="00F56185" w:rsidRPr="00F56185" w:rsidRDefault="00F56185" w:rsidP="00F56185">
            <w:pPr>
              <w:spacing w:after="0" w:line="240" w:lineRule="auto"/>
              <w:rPr>
                <w:rFonts w:ascii="Verdana" w:eastAsia="Times New Roman" w:hAnsi="Verdana" w:cs="Calibri"/>
                <w:sz w:val="16"/>
                <w:szCs w:val="16"/>
                <w:lang w:eastAsia="pt-BR"/>
              </w:rPr>
            </w:pPr>
          </w:p>
        </w:tc>
        <w:tc>
          <w:tcPr>
            <w:tcW w:w="1208" w:type="dxa"/>
            <w:tcBorders>
              <w:top w:val="nil"/>
              <w:left w:val="nil"/>
              <w:bottom w:val="single" w:sz="4" w:space="0" w:color="auto"/>
              <w:right w:val="nil"/>
            </w:tcBorders>
            <w:shd w:val="clear" w:color="auto" w:fill="auto"/>
            <w:noWrap/>
            <w:vAlign w:val="bottom"/>
            <w:hideMark/>
          </w:tcPr>
          <w:p w14:paraId="26848190" w14:textId="77777777" w:rsidR="00F56185" w:rsidRPr="00F56185" w:rsidRDefault="00F56185" w:rsidP="00F56185">
            <w:pPr>
              <w:spacing w:after="0" w:line="240" w:lineRule="auto"/>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 xml:space="preserve">   (48.343)</w:t>
            </w:r>
          </w:p>
        </w:tc>
      </w:tr>
      <w:tr w:rsidR="00F56185" w:rsidRPr="00F56185" w14:paraId="6F21ECBE" w14:textId="77777777" w:rsidTr="00F56185">
        <w:trPr>
          <w:trHeight w:val="27"/>
        </w:trPr>
        <w:tc>
          <w:tcPr>
            <w:tcW w:w="579" w:type="dxa"/>
            <w:tcBorders>
              <w:top w:val="nil"/>
              <w:left w:val="nil"/>
              <w:bottom w:val="nil"/>
              <w:right w:val="nil"/>
            </w:tcBorders>
            <w:shd w:val="clear" w:color="auto" w:fill="auto"/>
            <w:noWrap/>
            <w:vAlign w:val="bottom"/>
            <w:hideMark/>
          </w:tcPr>
          <w:p w14:paraId="5DBCC790" w14:textId="77777777" w:rsidR="00F56185" w:rsidRPr="00F56185" w:rsidRDefault="00F56185" w:rsidP="00F56185">
            <w:pPr>
              <w:spacing w:after="0" w:line="240" w:lineRule="auto"/>
              <w:rPr>
                <w:rFonts w:ascii="Verdana" w:eastAsia="Times New Roman" w:hAnsi="Verdana" w:cs="Calibri"/>
                <w:sz w:val="16"/>
                <w:szCs w:val="16"/>
                <w:lang w:eastAsia="pt-BR"/>
              </w:rPr>
            </w:pPr>
          </w:p>
        </w:tc>
        <w:tc>
          <w:tcPr>
            <w:tcW w:w="3067" w:type="dxa"/>
            <w:tcBorders>
              <w:top w:val="nil"/>
              <w:left w:val="nil"/>
              <w:bottom w:val="nil"/>
              <w:right w:val="nil"/>
            </w:tcBorders>
            <w:shd w:val="clear" w:color="auto" w:fill="auto"/>
            <w:noWrap/>
            <w:vAlign w:val="bottom"/>
            <w:hideMark/>
          </w:tcPr>
          <w:p w14:paraId="2E40BC86" w14:textId="77777777" w:rsidR="00F56185" w:rsidRPr="00F56185" w:rsidRDefault="00F56185" w:rsidP="00F56185">
            <w:pPr>
              <w:spacing w:after="0" w:line="240" w:lineRule="auto"/>
              <w:rPr>
                <w:rFonts w:ascii="Times New Roman" w:eastAsia="Times New Roman" w:hAnsi="Times New Roman" w:cs="Times New Roman"/>
                <w:sz w:val="20"/>
                <w:szCs w:val="20"/>
                <w:lang w:eastAsia="pt-BR"/>
              </w:rPr>
            </w:pPr>
          </w:p>
        </w:tc>
        <w:tc>
          <w:tcPr>
            <w:tcW w:w="1368" w:type="dxa"/>
            <w:tcBorders>
              <w:top w:val="nil"/>
              <w:left w:val="nil"/>
              <w:bottom w:val="nil"/>
              <w:right w:val="nil"/>
            </w:tcBorders>
            <w:shd w:val="clear" w:color="auto" w:fill="auto"/>
            <w:noWrap/>
            <w:vAlign w:val="bottom"/>
            <w:hideMark/>
          </w:tcPr>
          <w:p w14:paraId="048D3906" w14:textId="77777777" w:rsidR="00F56185" w:rsidRPr="00F56185" w:rsidRDefault="00F56185" w:rsidP="00F56185">
            <w:pPr>
              <w:spacing w:after="0" w:line="240" w:lineRule="auto"/>
              <w:rPr>
                <w:rFonts w:ascii="Times New Roman" w:eastAsia="Times New Roman" w:hAnsi="Times New Roman" w:cs="Times New Roman"/>
                <w:sz w:val="20"/>
                <w:szCs w:val="20"/>
                <w:lang w:eastAsia="pt-BR"/>
              </w:rPr>
            </w:pPr>
          </w:p>
        </w:tc>
        <w:tc>
          <w:tcPr>
            <w:tcW w:w="198" w:type="dxa"/>
            <w:tcBorders>
              <w:top w:val="nil"/>
              <w:left w:val="nil"/>
              <w:bottom w:val="nil"/>
              <w:right w:val="nil"/>
            </w:tcBorders>
            <w:shd w:val="clear" w:color="auto" w:fill="auto"/>
            <w:noWrap/>
            <w:vAlign w:val="bottom"/>
            <w:hideMark/>
          </w:tcPr>
          <w:p w14:paraId="38D15493" w14:textId="77777777" w:rsidR="00F56185" w:rsidRPr="00F56185" w:rsidRDefault="00F56185" w:rsidP="00F56185">
            <w:pPr>
              <w:spacing w:after="0" w:line="240" w:lineRule="auto"/>
              <w:rPr>
                <w:rFonts w:ascii="Times New Roman" w:eastAsia="Times New Roman" w:hAnsi="Times New Roman" w:cs="Times New Roman"/>
                <w:sz w:val="20"/>
                <w:szCs w:val="20"/>
                <w:lang w:eastAsia="pt-BR"/>
              </w:rPr>
            </w:pPr>
          </w:p>
        </w:tc>
        <w:tc>
          <w:tcPr>
            <w:tcW w:w="1354" w:type="dxa"/>
            <w:tcBorders>
              <w:top w:val="nil"/>
              <w:left w:val="nil"/>
              <w:bottom w:val="nil"/>
              <w:right w:val="nil"/>
            </w:tcBorders>
            <w:shd w:val="clear" w:color="auto" w:fill="auto"/>
            <w:noWrap/>
            <w:vAlign w:val="bottom"/>
            <w:hideMark/>
          </w:tcPr>
          <w:p w14:paraId="51A66A7C" w14:textId="77777777" w:rsidR="00F56185" w:rsidRPr="00F56185" w:rsidRDefault="00F56185" w:rsidP="00F56185">
            <w:pPr>
              <w:spacing w:after="0" w:line="240" w:lineRule="auto"/>
              <w:rPr>
                <w:rFonts w:ascii="Times New Roman" w:eastAsia="Times New Roman" w:hAnsi="Times New Roman" w:cs="Times New Roman"/>
                <w:sz w:val="20"/>
                <w:szCs w:val="20"/>
                <w:lang w:eastAsia="pt-BR"/>
              </w:rPr>
            </w:pPr>
          </w:p>
        </w:tc>
        <w:tc>
          <w:tcPr>
            <w:tcW w:w="161" w:type="dxa"/>
            <w:tcBorders>
              <w:top w:val="nil"/>
              <w:left w:val="nil"/>
              <w:bottom w:val="nil"/>
              <w:right w:val="nil"/>
            </w:tcBorders>
            <w:shd w:val="clear" w:color="auto" w:fill="auto"/>
            <w:noWrap/>
            <w:vAlign w:val="bottom"/>
            <w:hideMark/>
          </w:tcPr>
          <w:p w14:paraId="78500424" w14:textId="77777777" w:rsidR="00F56185" w:rsidRPr="00F56185" w:rsidRDefault="00F56185" w:rsidP="00F56185">
            <w:pPr>
              <w:spacing w:after="0" w:line="240" w:lineRule="auto"/>
              <w:rPr>
                <w:rFonts w:ascii="Times New Roman" w:eastAsia="Times New Roman" w:hAnsi="Times New Roman" w:cs="Times New Roman"/>
                <w:sz w:val="20"/>
                <w:szCs w:val="20"/>
                <w:lang w:eastAsia="pt-BR"/>
              </w:rPr>
            </w:pPr>
          </w:p>
        </w:tc>
        <w:tc>
          <w:tcPr>
            <w:tcW w:w="1208" w:type="dxa"/>
            <w:tcBorders>
              <w:top w:val="nil"/>
              <w:left w:val="nil"/>
              <w:bottom w:val="nil"/>
              <w:right w:val="nil"/>
            </w:tcBorders>
            <w:shd w:val="clear" w:color="auto" w:fill="auto"/>
            <w:noWrap/>
            <w:vAlign w:val="bottom"/>
            <w:hideMark/>
          </w:tcPr>
          <w:p w14:paraId="30BBC4E7" w14:textId="77777777" w:rsidR="00F56185" w:rsidRPr="00F56185" w:rsidRDefault="00F56185" w:rsidP="00F56185">
            <w:pPr>
              <w:spacing w:after="0" w:line="240" w:lineRule="auto"/>
              <w:rPr>
                <w:rFonts w:ascii="Times New Roman" w:eastAsia="Times New Roman" w:hAnsi="Times New Roman" w:cs="Times New Roman"/>
                <w:sz w:val="20"/>
                <w:szCs w:val="20"/>
                <w:lang w:eastAsia="pt-BR"/>
              </w:rPr>
            </w:pPr>
          </w:p>
        </w:tc>
        <w:tc>
          <w:tcPr>
            <w:tcW w:w="161" w:type="dxa"/>
            <w:tcBorders>
              <w:top w:val="nil"/>
              <w:left w:val="nil"/>
              <w:bottom w:val="nil"/>
              <w:right w:val="nil"/>
            </w:tcBorders>
            <w:shd w:val="clear" w:color="auto" w:fill="auto"/>
            <w:noWrap/>
            <w:vAlign w:val="bottom"/>
            <w:hideMark/>
          </w:tcPr>
          <w:p w14:paraId="2E7D9415" w14:textId="77777777" w:rsidR="00F56185" w:rsidRPr="00F56185" w:rsidRDefault="00F56185" w:rsidP="00F56185">
            <w:pPr>
              <w:spacing w:after="0" w:line="240" w:lineRule="auto"/>
              <w:rPr>
                <w:rFonts w:ascii="Times New Roman" w:eastAsia="Times New Roman" w:hAnsi="Times New Roman" w:cs="Times New Roman"/>
                <w:sz w:val="20"/>
                <w:szCs w:val="20"/>
                <w:lang w:eastAsia="pt-BR"/>
              </w:rPr>
            </w:pPr>
          </w:p>
        </w:tc>
        <w:tc>
          <w:tcPr>
            <w:tcW w:w="1208" w:type="dxa"/>
            <w:tcBorders>
              <w:top w:val="nil"/>
              <w:left w:val="nil"/>
              <w:bottom w:val="nil"/>
              <w:right w:val="nil"/>
            </w:tcBorders>
            <w:shd w:val="clear" w:color="auto" w:fill="auto"/>
            <w:noWrap/>
            <w:vAlign w:val="bottom"/>
            <w:hideMark/>
          </w:tcPr>
          <w:p w14:paraId="22A6AC04" w14:textId="77777777" w:rsidR="00F56185" w:rsidRPr="00F56185" w:rsidRDefault="00F56185" w:rsidP="00F56185">
            <w:pPr>
              <w:spacing w:after="0" w:line="240" w:lineRule="auto"/>
              <w:rPr>
                <w:rFonts w:ascii="Times New Roman" w:eastAsia="Times New Roman" w:hAnsi="Times New Roman" w:cs="Times New Roman"/>
                <w:sz w:val="20"/>
                <w:szCs w:val="20"/>
                <w:lang w:eastAsia="pt-BR"/>
              </w:rPr>
            </w:pPr>
          </w:p>
        </w:tc>
      </w:tr>
      <w:tr w:rsidR="00F56185" w:rsidRPr="00F56185" w14:paraId="1A924FB3" w14:textId="77777777" w:rsidTr="00F56185">
        <w:trPr>
          <w:trHeight w:val="27"/>
        </w:trPr>
        <w:tc>
          <w:tcPr>
            <w:tcW w:w="579" w:type="dxa"/>
            <w:tcBorders>
              <w:top w:val="nil"/>
              <w:left w:val="nil"/>
              <w:bottom w:val="nil"/>
              <w:right w:val="nil"/>
            </w:tcBorders>
            <w:shd w:val="clear" w:color="auto" w:fill="auto"/>
            <w:noWrap/>
            <w:vAlign w:val="bottom"/>
          </w:tcPr>
          <w:p w14:paraId="03842652" w14:textId="77777777" w:rsidR="00F56185" w:rsidRPr="00F56185" w:rsidRDefault="00F56185" w:rsidP="00F56185">
            <w:pPr>
              <w:spacing w:after="0" w:line="240" w:lineRule="auto"/>
              <w:rPr>
                <w:rFonts w:ascii="Verdana" w:eastAsia="Times New Roman" w:hAnsi="Verdana" w:cs="Calibri"/>
                <w:sz w:val="10"/>
                <w:szCs w:val="10"/>
                <w:lang w:eastAsia="pt-BR"/>
              </w:rPr>
            </w:pPr>
          </w:p>
        </w:tc>
        <w:tc>
          <w:tcPr>
            <w:tcW w:w="3067" w:type="dxa"/>
            <w:tcBorders>
              <w:top w:val="nil"/>
              <w:left w:val="nil"/>
              <w:bottom w:val="nil"/>
              <w:right w:val="nil"/>
            </w:tcBorders>
            <w:shd w:val="clear" w:color="auto" w:fill="auto"/>
            <w:noWrap/>
            <w:vAlign w:val="bottom"/>
          </w:tcPr>
          <w:p w14:paraId="7FBEBD79" w14:textId="77777777" w:rsidR="00F56185" w:rsidRPr="00F56185" w:rsidRDefault="00F56185" w:rsidP="00F56185">
            <w:pPr>
              <w:spacing w:after="0" w:line="240" w:lineRule="auto"/>
              <w:rPr>
                <w:rFonts w:ascii="Times New Roman" w:eastAsia="Times New Roman" w:hAnsi="Times New Roman" w:cs="Times New Roman"/>
                <w:sz w:val="10"/>
                <w:szCs w:val="10"/>
                <w:lang w:eastAsia="pt-BR"/>
              </w:rPr>
            </w:pPr>
          </w:p>
        </w:tc>
        <w:tc>
          <w:tcPr>
            <w:tcW w:w="1368" w:type="dxa"/>
            <w:tcBorders>
              <w:top w:val="nil"/>
              <w:left w:val="nil"/>
              <w:bottom w:val="nil"/>
              <w:right w:val="nil"/>
            </w:tcBorders>
            <w:shd w:val="clear" w:color="auto" w:fill="auto"/>
            <w:noWrap/>
            <w:vAlign w:val="bottom"/>
          </w:tcPr>
          <w:p w14:paraId="5377D92C" w14:textId="77777777" w:rsidR="00F56185" w:rsidRPr="00F56185" w:rsidRDefault="00F56185" w:rsidP="00F56185">
            <w:pPr>
              <w:spacing w:after="0" w:line="240" w:lineRule="auto"/>
              <w:rPr>
                <w:rFonts w:ascii="Times New Roman" w:eastAsia="Times New Roman" w:hAnsi="Times New Roman" w:cs="Times New Roman"/>
                <w:sz w:val="10"/>
                <w:szCs w:val="10"/>
                <w:lang w:eastAsia="pt-BR"/>
              </w:rPr>
            </w:pPr>
          </w:p>
        </w:tc>
        <w:tc>
          <w:tcPr>
            <w:tcW w:w="198" w:type="dxa"/>
            <w:tcBorders>
              <w:top w:val="nil"/>
              <w:left w:val="nil"/>
              <w:bottom w:val="nil"/>
              <w:right w:val="nil"/>
            </w:tcBorders>
            <w:shd w:val="clear" w:color="auto" w:fill="auto"/>
            <w:noWrap/>
            <w:vAlign w:val="bottom"/>
          </w:tcPr>
          <w:p w14:paraId="37D33D88" w14:textId="77777777" w:rsidR="00F56185" w:rsidRPr="00F56185" w:rsidRDefault="00F56185" w:rsidP="00F56185">
            <w:pPr>
              <w:spacing w:after="0" w:line="240" w:lineRule="auto"/>
              <w:rPr>
                <w:rFonts w:ascii="Times New Roman" w:eastAsia="Times New Roman" w:hAnsi="Times New Roman" w:cs="Times New Roman"/>
                <w:sz w:val="10"/>
                <w:szCs w:val="10"/>
                <w:lang w:eastAsia="pt-BR"/>
              </w:rPr>
            </w:pPr>
          </w:p>
        </w:tc>
        <w:tc>
          <w:tcPr>
            <w:tcW w:w="1354" w:type="dxa"/>
            <w:tcBorders>
              <w:top w:val="nil"/>
              <w:left w:val="nil"/>
              <w:bottom w:val="nil"/>
              <w:right w:val="nil"/>
            </w:tcBorders>
            <w:shd w:val="clear" w:color="auto" w:fill="auto"/>
            <w:noWrap/>
            <w:vAlign w:val="bottom"/>
          </w:tcPr>
          <w:p w14:paraId="3DEC6E5C" w14:textId="77777777" w:rsidR="00F56185" w:rsidRPr="00F56185" w:rsidRDefault="00F56185" w:rsidP="00F56185">
            <w:pPr>
              <w:spacing w:after="0" w:line="240" w:lineRule="auto"/>
              <w:rPr>
                <w:rFonts w:ascii="Times New Roman" w:eastAsia="Times New Roman" w:hAnsi="Times New Roman" w:cs="Times New Roman"/>
                <w:sz w:val="10"/>
                <w:szCs w:val="10"/>
                <w:lang w:eastAsia="pt-BR"/>
              </w:rPr>
            </w:pPr>
          </w:p>
        </w:tc>
        <w:tc>
          <w:tcPr>
            <w:tcW w:w="161" w:type="dxa"/>
            <w:tcBorders>
              <w:top w:val="nil"/>
              <w:left w:val="nil"/>
              <w:bottom w:val="nil"/>
              <w:right w:val="nil"/>
            </w:tcBorders>
            <w:shd w:val="clear" w:color="auto" w:fill="auto"/>
            <w:noWrap/>
            <w:vAlign w:val="bottom"/>
          </w:tcPr>
          <w:p w14:paraId="3252A51A" w14:textId="77777777" w:rsidR="00F56185" w:rsidRPr="00F56185" w:rsidRDefault="00F56185" w:rsidP="00F56185">
            <w:pPr>
              <w:spacing w:after="0" w:line="240" w:lineRule="auto"/>
              <w:rPr>
                <w:rFonts w:ascii="Times New Roman" w:eastAsia="Times New Roman" w:hAnsi="Times New Roman" w:cs="Times New Roman"/>
                <w:sz w:val="10"/>
                <w:szCs w:val="10"/>
                <w:lang w:eastAsia="pt-BR"/>
              </w:rPr>
            </w:pPr>
          </w:p>
        </w:tc>
        <w:tc>
          <w:tcPr>
            <w:tcW w:w="1208" w:type="dxa"/>
            <w:tcBorders>
              <w:top w:val="nil"/>
              <w:left w:val="nil"/>
              <w:bottom w:val="nil"/>
              <w:right w:val="nil"/>
            </w:tcBorders>
            <w:shd w:val="clear" w:color="auto" w:fill="auto"/>
            <w:noWrap/>
            <w:vAlign w:val="bottom"/>
          </w:tcPr>
          <w:p w14:paraId="27949C94" w14:textId="77777777" w:rsidR="00F56185" w:rsidRPr="00F56185" w:rsidRDefault="00F56185" w:rsidP="00F56185">
            <w:pPr>
              <w:spacing w:after="0" w:line="240" w:lineRule="auto"/>
              <w:rPr>
                <w:rFonts w:ascii="Times New Roman" w:eastAsia="Times New Roman" w:hAnsi="Times New Roman" w:cs="Times New Roman"/>
                <w:sz w:val="10"/>
                <w:szCs w:val="10"/>
                <w:lang w:eastAsia="pt-BR"/>
              </w:rPr>
            </w:pPr>
          </w:p>
        </w:tc>
        <w:tc>
          <w:tcPr>
            <w:tcW w:w="161" w:type="dxa"/>
            <w:tcBorders>
              <w:top w:val="nil"/>
              <w:left w:val="nil"/>
              <w:bottom w:val="nil"/>
              <w:right w:val="nil"/>
            </w:tcBorders>
            <w:shd w:val="clear" w:color="auto" w:fill="auto"/>
            <w:noWrap/>
            <w:vAlign w:val="bottom"/>
          </w:tcPr>
          <w:p w14:paraId="0B47B435" w14:textId="77777777" w:rsidR="00F56185" w:rsidRPr="00F56185" w:rsidRDefault="00F56185" w:rsidP="00F56185">
            <w:pPr>
              <w:spacing w:after="0" w:line="240" w:lineRule="auto"/>
              <w:rPr>
                <w:rFonts w:ascii="Times New Roman" w:eastAsia="Times New Roman" w:hAnsi="Times New Roman" w:cs="Times New Roman"/>
                <w:sz w:val="10"/>
                <w:szCs w:val="10"/>
                <w:lang w:eastAsia="pt-BR"/>
              </w:rPr>
            </w:pPr>
          </w:p>
        </w:tc>
        <w:tc>
          <w:tcPr>
            <w:tcW w:w="1208" w:type="dxa"/>
            <w:tcBorders>
              <w:top w:val="nil"/>
              <w:left w:val="nil"/>
              <w:bottom w:val="nil"/>
              <w:right w:val="nil"/>
            </w:tcBorders>
            <w:shd w:val="clear" w:color="auto" w:fill="auto"/>
            <w:noWrap/>
            <w:vAlign w:val="bottom"/>
          </w:tcPr>
          <w:p w14:paraId="58D911F2" w14:textId="77777777" w:rsidR="00F56185" w:rsidRPr="00F56185" w:rsidRDefault="00F56185" w:rsidP="00F56185">
            <w:pPr>
              <w:spacing w:after="0" w:line="240" w:lineRule="auto"/>
              <w:rPr>
                <w:rFonts w:ascii="Times New Roman" w:eastAsia="Times New Roman" w:hAnsi="Times New Roman" w:cs="Times New Roman"/>
                <w:sz w:val="10"/>
                <w:szCs w:val="10"/>
                <w:lang w:eastAsia="pt-BR"/>
              </w:rPr>
            </w:pPr>
          </w:p>
        </w:tc>
      </w:tr>
      <w:tr w:rsidR="00F56185" w:rsidRPr="00F56185" w14:paraId="62F03E9F" w14:textId="77777777" w:rsidTr="00F56185">
        <w:trPr>
          <w:trHeight w:val="27"/>
        </w:trPr>
        <w:tc>
          <w:tcPr>
            <w:tcW w:w="579" w:type="dxa"/>
            <w:tcBorders>
              <w:top w:val="nil"/>
              <w:left w:val="nil"/>
              <w:bottom w:val="single" w:sz="4" w:space="0" w:color="auto"/>
              <w:right w:val="nil"/>
            </w:tcBorders>
            <w:shd w:val="clear" w:color="auto" w:fill="auto"/>
            <w:noWrap/>
            <w:vAlign w:val="bottom"/>
            <w:hideMark/>
          </w:tcPr>
          <w:p w14:paraId="7A08573F" w14:textId="77777777" w:rsidR="00F56185" w:rsidRPr="00F56185" w:rsidRDefault="00F56185" w:rsidP="00F56185">
            <w:pPr>
              <w:spacing w:after="0" w:line="240" w:lineRule="auto"/>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TJLP</w:t>
            </w:r>
          </w:p>
        </w:tc>
        <w:tc>
          <w:tcPr>
            <w:tcW w:w="3067" w:type="dxa"/>
            <w:tcBorders>
              <w:top w:val="nil"/>
              <w:left w:val="nil"/>
              <w:bottom w:val="single" w:sz="4" w:space="0" w:color="auto"/>
              <w:right w:val="nil"/>
            </w:tcBorders>
            <w:shd w:val="clear" w:color="auto" w:fill="auto"/>
            <w:noWrap/>
            <w:vAlign w:val="bottom"/>
            <w:hideMark/>
          </w:tcPr>
          <w:p w14:paraId="2D080832" w14:textId="77777777" w:rsidR="00F56185" w:rsidRPr="00F56185" w:rsidRDefault="00F56185" w:rsidP="00F56185">
            <w:pPr>
              <w:spacing w:after="0" w:line="240" w:lineRule="auto"/>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Empréstimos e financiamentos</w:t>
            </w:r>
          </w:p>
        </w:tc>
        <w:tc>
          <w:tcPr>
            <w:tcW w:w="1368" w:type="dxa"/>
            <w:tcBorders>
              <w:top w:val="nil"/>
              <w:left w:val="nil"/>
              <w:bottom w:val="single" w:sz="4" w:space="0" w:color="auto"/>
              <w:right w:val="nil"/>
            </w:tcBorders>
            <w:shd w:val="clear" w:color="auto" w:fill="auto"/>
            <w:noWrap/>
            <w:vAlign w:val="bottom"/>
            <w:hideMark/>
          </w:tcPr>
          <w:p w14:paraId="282F26D4" w14:textId="77777777" w:rsidR="00F56185" w:rsidRPr="00F56185" w:rsidRDefault="00F56185" w:rsidP="00F56185">
            <w:pPr>
              <w:spacing w:after="0" w:line="240" w:lineRule="auto"/>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 xml:space="preserve">  (3.306.669)</w:t>
            </w:r>
          </w:p>
        </w:tc>
        <w:tc>
          <w:tcPr>
            <w:tcW w:w="198" w:type="dxa"/>
            <w:tcBorders>
              <w:top w:val="nil"/>
              <w:left w:val="nil"/>
              <w:bottom w:val="nil"/>
              <w:right w:val="nil"/>
            </w:tcBorders>
            <w:shd w:val="clear" w:color="auto" w:fill="auto"/>
            <w:noWrap/>
            <w:vAlign w:val="bottom"/>
            <w:hideMark/>
          </w:tcPr>
          <w:p w14:paraId="33F1637D" w14:textId="77777777" w:rsidR="00F56185" w:rsidRPr="00F56185" w:rsidRDefault="00F56185" w:rsidP="00F56185">
            <w:pPr>
              <w:spacing w:after="0" w:line="240" w:lineRule="auto"/>
              <w:rPr>
                <w:rFonts w:ascii="Verdana" w:eastAsia="Times New Roman" w:hAnsi="Verdana" w:cs="Calibri"/>
                <w:sz w:val="16"/>
                <w:szCs w:val="16"/>
                <w:lang w:eastAsia="pt-BR"/>
              </w:rPr>
            </w:pPr>
          </w:p>
        </w:tc>
        <w:tc>
          <w:tcPr>
            <w:tcW w:w="1354" w:type="dxa"/>
            <w:tcBorders>
              <w:top w:val="nil"/>
              <w:left w:val="nil"/>
              <w:bottom w:val="single" w:sz="4" w:space="0" w:color="auto"/>
              <w:right w:val="nil"/>
            </w:tcBorders>
            <w:shd w:val="clear" w:color="auto" w:fill="auto"/>
            <w:noWrap/>
            <w:vAlign w:val="bottom"/>
            <w:hideMark/>
          </w:tcPr>
          <w:p w14:paraId="4E828F65" w14:textId="77777777" w:rsidR="00F56185" w:rsidRPr="00F56185" w:rsidRDefault="00F56185" w:rsidP="00F56185">
            <w:pPr>
              <w:spacing w:after="0" w:line="240" w:lineRule="auto"/>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 xml:space="preserve">   (267.810)</w:t>
            </w:r>
          </w:p>
        </w:tc>
        <w:tc>
          <w:tcPr>
            <w:tcW w:w="161" w:type="dxa"/>
            <w:tcBorders>
              <w:top w:val="nil"/>
              <w:left w:val="nil"/>
              <w:bottom w:val="nil"/>
              <w:right w:val="nil"/>
            </w:tcBorders>
            <w:shd w:val="clear" w:color="auto" w:fill="auto"/>
            <w:noWrap/>
            <w:vAlign w:val="bottom"/>
            <w:hideMark/>
          </w:tcPr>
          <w:p w14:paraId="01C3FF7F" w14:textId="77777777" w:rsidR="00F56185" w:rsidRPr="00F56185" w:rsidRDefault="00F56185" w:rsidP="00F56185">
            <w:pPr>
              <w:spacing w:after="0" w:line="240" w:lineRule="auto"/>
              <w:rPr>
                <w:rFonts w:ascii="Verdana" w:eastAsia="Times New Roman" w:hAnsi="Verdana" w:cs="Calibri"/>
                <w:sz w:val="16"/>
                <w:szCs w:val="16"/>
                <w:lang w:eastAsia="pt-BR"/>
              </w:rPr>
            </w:pPr>
          </w:p>
        </w:tc>
        <w:tc>
          <w:tcPr>
            <w:tcW w:w="1208" w:type="dxa"/>
            <w:tcBorders>
              <w:top w:val="nil"/>
              <w:left w:val="nil"/>
              <w:bottom w:val="single" w:sz="4" w:space="0" w:color="auto"/>
              <w:right w:val="nil"/>
            </w:tcBorders>
            <w:shd w:val="clear" w:color="auto" w:fill="auto"/>
            <w:noWrap/>
            <w:vAlign w:val="bottom"/>
            <w:hideMark/>
          </w:tcPr>
          <w:p w14:paraId="572D4A88" w14:textId="77777777" w:rsidR="00F56185" w:rsidRPr="00F56185" w:rsidRDefault="00F56185" w:rsidP="00F56185">
            <w:pPr>
              <w:spacing w:after="0" w:line="240" w:lineRule="auto"/>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 xml:space="preserve"> (295.252)</w:t>
            </w:r>
          </w:p>
        </w:tc>
        <w:tc>
          <w:tcPr>
            <w:tcW w:w="161" w:type="dxa"/>
            <w:tcBorders>
              <w:top w:val="nil"/>
              <w:left w:val="nil"/>
              <w:bottom w:val="nil"/>
              <w:right w:val="nil"/>
            </w:tcBorders>
            <w:shd w:val="clear" w:color="auto" w:fill="auto"/>
            <w:noWrap/>
            <w:vAlign w:val="bottom"/>
            <w:hideMark/>
          </w:tcPr>
          <w:p w14:paraId="7F91215D" w14:textId="77777777" w:rsidR="00F56185" w:rsidRPr="00F56185" w:rsidRDefault="00F56185" w:rsidP="00F56185">
            <w:pPr>
              <w:spacing w:after="0" w:line="240" w:lineRule="auto"/>
              <w:rPr>
                <w:rFonts w:ascii="Verdana" w:eastAsia="Times New Roman" w:hAnsi="Verdana" w:cs="Calibri"/>
                <w:sz w:val="16"/>
                <w:szCs w:val="16"/>
                <w:lang w:eastAsia="pt-BR"/>
              </w:rPr>
            </w:pPr>
          </w:p>
        </w:tc>
        <w:tc>
          <w:tcPr>
            <w:tcW w:w="1208" w:type="dxa"/>
            <w:tcBorders>
              <w:top w:val="nil"/>
              <w:left w:val="nil"/>
              <w:bottom w:val="single" w:sz="4" w:space="0" w:color="auto"/>
              <w:right w:val="nil"/>
            </w:tcBorders>
            <w:shd w:val="clear" w:color="auto" w:fill="auto"/>
            <w:noWrap/>
            <w:vAlign w:val="bottom"/>
            <w:hideMark/>
          </w:tcPr>
          <w:p w14:paraId="7DB9FB72" w14:textId="77777777" w:rsidR="00F56185" w:rsidRPr="00F56185" w:rsidRDefault="00F56185" w:rsidP="00F56185">
            <w:pPr>
              <w:spacing w:after="0" w:line="240" w:lineRule="auto"/>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 xml:space="preserve"> (322.558)</w:t>
            </w:r>
          </w:p>
        </w:tc>
      </w:tr>
      <w:tr w:rsidR="00F56185" w:rsidRPr="00F56185" w14:paraId="0437CF85" w14:textId="77777777" w:rsidTr="00F56185">
        <w:trPr>
          <w:trHeight w:val="27"/>
        </w:trPr>
        <w:tc>
          <w:tcPr>
            <w:tcW w:w="579" w:type="dxa"/>
            <w:tcBorders>
              <w:top w:val="nil"/>
              <w:left w:val="nil"/>
              <w:bottom w:val="single" w:sz="4" w:space="0" w:color="auto"/>
              <w:right w:val="nil"/>
            </w:tcBorders>
            <w:shd w:val="clear" w:color="auto" w:fill="auto"/>
            <w:noWrap/>
            <w:vAlign w:val="bottom"/>
            <w:hideMark/>
          </w:tcPr>
          <w:p w14:paraId="359F3D7E" w14:textId="77777777" w:rsidR="00F56185" w:rsidRPr="00F56185" w:rsidRDefault="00F56185" w:rsidP="00F56185">
            <w:pPr>
              <w:spacing w:after="0" w:line="240" w:lineRule="auto"/>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 </w:t>
            </w:r>
          </w:p>
        </w:tc>
        <w:tc>
          <w:tcPr>
            <w:tcW w:w="3067" w:type="dxa"/>
            <w:tcBorders>
              <w:top w:val="nil"/>
              <w:left w:val="nil"/>
              <w:bottom w:val="single" w:sz="4" w:space="0" w:color="auto"/>
              <w:right w:val="nil"/>
            </w:tcBorders>
            <w:shd w:val="clear" w:color="auto" w:fill="auto"/>
            <w:noWrap/>
            <w:vAlign w:val="bottom"/>
            <w:hideMark/>
          </w:tcPr>
          <w:p w14:paraId="3906DB8C" w14:textId="77777777" w:rsidR="00F56185" w:rsidRPr="00F56185" w:rsidRDefault="00F56185" w:rsidP="00F56185">
            <w:pPr>
              <w:spacing w:after="0" w:line="240" w:lineRule="auto"/>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Impacto no resultado</w:t>
            </w:r>
          </w:p>
        </w:tc>
        <w:tc>
          <w:tcPr>
            <w:tcW w:w="1368" w:type="dxa"/>
            <w:tcBorders>
              <w:top w:val="nil"/>
              <w:left w:val="nil"/>
              <w:bottom w:val="single" w:sz="4" w:space="0" w:color="auto"/>
              <w:right w:val="nil"/>
            </w:tcBorders>
            <w:shd w:val="clear" w:color="auto" w:fill="auto"/>
            <w:noWrap/>
            <w:vAlign w:val="bottom"/>
            <w:hideMark/>
          </w:tcPr>
          <w:p w14:paraId="57215C5B" w14:textId="77777777" w:rsidR="00F56185" w:rsidRPr="00F56185" w:rsidRDefault="00F56185" w:rsidP="00F56185">
            <w:pPr>
              <w:spacing w:after="0" w:line="240" w:lineRule="auto"/>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 xml:space="preserve">  (3.306.669)</w:t>
            </w:r>
          </w:p>
        </w:tc>
        <w:tc>
          <w:tcPr>
            <w:tcW w:w="198" w:type="dxa"/>
            <w:tcBorders>
              <w:top w:val="nil"/>
              <w:left w:val="nil"/>
              <w:bottom w:val="nil"/>
              <w:right w:val="nil"/>
            </w:tcBorders>
            <w:shd w:val="clear" w:color="auto" w:fill="auto"/>
            <w:noWrap/>
            <w:vAlign w:val="bottom"/>
            <w:hideMark/>
          </w:tcPr>
          <w:p w14:paraId="35E0E860" w14:textId="77777777" w:rsidR="00F56185" w:rsidRPr="00F56185" w:rsidRDefault="00F56185" w:rsidP="00F56185">
            <w:pPr>
              <w:spacing w:after="0" w:line="240" w:lineRule="auto"/>
              <w:rPr>
                <w:rFonts w:ascii="Verdana" w:eastAsia="Times New Roman" w:hAnsi="Verdana" w:cs="Calibri"/>
                <w:sz w:val="16"/>
                <w:szCs w:val="16"/>
                <w:lang w:eastAsia="pt-BR"/>
              </w:rPr>
            </w:pPr>
          </w:p>
        </w:tc>
        <w:tc>
          <w:tcPr>
            <w:tcW w:w="1354" w:type="dxa"/>
            <w:tcBorders>
              <w:top w:val="nil"/>
              <w:left w:val="nil"/>
              <w:bottom w:val="single" w:sz="4" w:space="0" w:color="auto"/>
              <w:right w:val="nil"/>
            </w:tcBorders>
            <w:shd w:val="clear" w:color="auto" w:fill="auto"/>
            <w:noWrap/>
            <w:vAlign w:val="bottom"/>
            <w:hideMark/>
          </w:tcPr>
          <w:p w14:paraId="103F7223" w14:textId="77777777" w:rsidR="00F56185" w:rsidRPr="00F56185" w:rsidRDefault="00F56185" w:rsidP="00F56185">
            <w:pPr>
              <w:spacing w:after="0" w:line="240" w:lineRule="auto"/>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 xml:space="preserve">   (267.810)</w:t>
            </w:r>
          </w:p>
        </w:tc>
        <w:tc>
          <w:tcPr>
            <w:tcW w:w="161" w:type="dxa"/>
            <w:tcBorders>
              <w:top w:val="nil"/>
              <w:left w:val="nil"/>
              <w:bottom w:val="nil"/>
              <w:right w:val="nil"/>
            </w:tcBorders>
            <w:shd w:val="clear" w:color="auto" w:fill="auto"/>
            <w:noWrap/>
            <w:vAlign w:val="bottom"/>
            <w:hideMark/>
          </w:tcPr>
          <w:p w14:paraId="6D0A5239" w14:textId="77777777" w:rsidR="00F56185" w:rsidRPr="00F56185" w:rsidRDefault="00F56185" w:rsidP="00F56185">
            <w:pPr>
              <w:spacing w:after="0" w:line="240" w:lineRule="auto"/>
              <w:rPr>
                <w:rFonts w:ascii="Verdana" w:eastAsia="Times New Roman" w:hAnsi="Verdana" w:cs="Calibri"/>
                <w:sz w:val="16"/>
                <w:szCs w:val="16"/>
                <w:lang w:eastAsia="pt-BR"/>
              </w:rPr>
            </w:pPr>
          </w:p>
        </w:tc>
        <w:tc>
          <w:tcPr>
            <w:tcW w:w="1208" w:type="dxa"/>
            <w:tcBorders>
              <w:top w:val="nil"/>
              <w:left w:val="nil"/>
              <w:bottom w:val="single" w:sz="4" w:space="0" w:color="auto"/>
              <w:right w:val="nil"/>
            </w:tcBorders>
            <w:shd w:val="clear" w:color="auto" w:fill="auto"/>
            <w:noWrap/>
            <w:vAlign w:val="bottom"/>
            <w:hideMark/>
          </w:tcPr>
          <w:p w14:paraId="400146AC" w14:textId="77777777" w:rsidR="00F56185" w:rsidRPr="00F56185" w:rsidRDefault="00F56185" w:rsidP="00F56185">
            <w:pPr>
              <w:spacing w:after="0" w:line="240" w:lineRule="auto"/>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 xml:space="preserve"> (295.252)</w:t>
            </w:r>
          </w:p>
        </w:tc>
        <w:tc>
          <w:tcPr>
            <w:tcW w:w="161" w:type="dxa"/>
            <w:tcBorders>
              <w:top w:val="nil"/>
              <w:left w:val="nil"/>
              <w:bottom w:val="nil"/>
              <w:right w:val="nil"/>
            </w:tcBorders>
            <w:shd w:val="clear" w:color="auto" w:fill="auto"/>
            <w:noWrap/>
            <w:vAlign w:val="bottom"/>
            <w:hideMark/>
          </w:tcPr>
          <w:p w14:paraId="0C0118F7" w14:textId="77777777" w:rsidR="00F56185" w:rsidRPr="00F56185" w:rsidRDefault="00F56185" w:rsidP="00F56185">
            <w:pPr>
              <w:spacing w:after="0" w:line="240" w:lineRule="auto"/>
              <w:rPr>
                <w:rFonts w:ascii="Verdana" w:eastAsia="Times New Roman" w:hAnsi="Verdana" w:cs="Calibri"/>
                <w:sz w:val="16"/>
                <w:szCs w:val="16"/>
                <w:lang w:eastAsia="pt-BR"/>
              </w:rPr>
            </w:pPr>
          </w:p>
        </w:tc>
        <w:tc>
          <w:tcPr>
            <w:tcW w:w="1208" w:type="dxa"/>
            <w:tcBorders>
              <w:top w:val="nil"/>
              <w:left w:val="nil"/>
              <w:bottom w:val="single" w:sz="4" w:space="0" w:color="auto"/>
              <w:right w:val="nil"/>
            </w:tcBorders>
            <w:shd w:val="clear" w:color="auto" w:fill="auto"/>
            <w:noWrap/>
            <w:vAlign w:val="bottom"/>
            <w:hideMark/>
          </w:tcPr>
          <w:p w14:paraId="21278576" w14:textId="77777777" w:rsidR="00F56185" w:rsidRPr="00F56185" w:rsidRDefault="00F56185" w:rsidP="00F56185">
            <w:pPr>
              <w:spacing w:after="0" w:line="240" w:lineRule="auto"/>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 xml:space="preserve"> (322.558)</w:t>
            </w:r>
          </w:p>
        </w:tc>
      </w:tr>
      <w:tr w:rsidR="00F56185" w:rsidRPr="00F56185" w14:paraId="27BC12ED" w14:textId="77777777" w:rsidTr="00F56185">
        <w:trPr>
          <w:trHeight w:val="27"/>
        </w:trPr>
        <w:tc>
          <w:tcPr>
            <w:tcW w:w="579" w:type="dxa"/>
            <w:tcBorders>
              <w:top w:val="nil"/>
              <w:left w:val="nil"/>
              <w:bottom w:val="nil"/>
              <w:right w:val="nil"/>
            </w:tcBorders>
            <w:shd w:val="clear" w:color="auto" w:fill="auto"/>
            <w:noWrap/>
            <w:vAlign w:val="bottom"/>
            <w:hideMark/>
          </w:tcPr>
          <w:p w14:paraId="6C20D803" w14:textId="77777777" w:rsidR="00F56185" w:rsidRPr="00F56185" w:rsidRDefault="00F56185" w:rsidP="00F56185">
            <w:pPr>
              <w:spacing w:after="0" w:line="240" w:lineRule="auto"/>
              <w:rPr>
                <w:rFonts w:ascii="Verdana" w:eastAsia="Times New Roman" w:hAnsi="Verdana" w:cs="Calibri"/>
                <w:sz w:val="16"/>
                <w:szCs w:val="16"/>
                <w:lang w:eastAsia="pt-BR"/>
              </w:rPr>
            </w:pPr>
          </w:p>
        </w:tc>
        <w:tc>
          <w:tcPr>
            <w:tcW w:w="3067" w:type="dxa"/>
            <w:tcBorders>
              <w:top w:val="nil"/>
              <w:left w:val="nil"/>
              <w:bottom w:val="nil"/>
              <w:right w:val="nil"/>
            </w:tcBorders>
            <w:shd w:val="clear" w:color="auto" w:fill="auto"/>
            <w:noWrap/>
            <w:vAlign w:val="bottom"/>
            <w:hideMark/>
          </w:tcPr>
          <w:p w14:paraId="430BDBDB" w14:textId="77777777" w:rsidR="00F56185" w:rsidRPr="00F56185" w:rsidRDefault="00F56185" w:rsidP="00F56185">
            <w:pPr>
              <w:spacing w:after="0" w:line="240" w:lineRule="auto"/>
              <w:rPr>
                <w:rFonts w:ascii="Times New Roman" w:eastAsia="Times New Roman" w:hAnsi="Times New Roman" w:cs="Times New Roman"/>
                <w:sz w:val="20"/>
                <w:szCs w:val="20"/>
                <w:lang w:eastAsia="pt-BR"/>
              </w:rPr>
            </w:pPr>
          </w:p>
        </w:tc>
        <w:tc>
          <w:tcPr>
            <w:tcW w:w="1368" w:type="dxa"/>
            <w:tcBorders>
              <w:top w:val="nil"/>
              <w:left w:val="nil"/>
              <w:bottom w:val="nil"/>
              <w:right w:val="nil"/>
            </w:tcBorders>
            <w:shd w:val="clear" w:color="auto" w:fill="auto"/>
            <w:noWrap/>
            <w:vAlign w:val="bottom"/>
            <w:hideMark/>
          </w:tcPr>
          <w:p w14:paraId="38FE48A2" w14:textId="77777777" w:rsidR="00F56185" w:rsidRPr="00F56185" w:rsidRDefault="00F56185" w:rsidP="00F56185">
            <w:pPr>
              <w:spacing w:after="0" w:line="240" w:lineRule="auto"/>
              <w:rPr>
                <w:rFonts w:ascii="Times New Roman" w:eastAsia="Times New Roman" w:hAnsi="Times New Roman" w:cs="Times New Roman"/>
                <w:sz w:val="20"/>
                <w:szCs w:val="20"/>
                <w:lang w:eastAsia="pt-BR"/>
              </w:rPr>
            </w:pPr>
          </w:p>
        </w:tc>
        <w:tc>
          <w:tcPr>
            <w:tcW w:w="198" w:type="dxa"/>
            <w:tcBorders>
              <w:top w:val="nil"/>
              <w:left w:val="nil"/>
              <w:bottom w:val="nil"/>
              <w:right w:val="nil"/>
            </w:tcBorders>
            <w:shd w:val="clear" w:color="auto" w:fill="auto"/>
            <w:noWrap/>
            <w:vAlign w:val="bottom"/>
            <w:hideMark/>
          </w:tcPr>
          <w:p w14:paraId="0E355428" w14:textId="77777777" w:rsidR="00F56185" w:rsidRPr="00F56185" w:rsidRDefault="00F56185" w:rsidP="00F56185">
            <w:pPr>
              <w:spacing w:after="0" w:line="240" w:lineRule="auto"/>
              <w:rPr>
                <w:rFonts w:ascii="Times New Roman" w:eastAsia="Times New Roman" w:hAnsi="Times New Roman" w:cs="Times New Roman"/>
                <w:sz w:val="20"/>
                <w:szCs w:val="20"/>
                <w:lang w:eastAsia="pt-BR"/>
              </w:rPr>
            </w:pPr>
          </w:p>
        </w:tc>
        <w:tc>
          <w:tcPr>
            <w:tcW w:w="1354" w:type="dxa"/>
            <w:tcBorders>
              <w:top w:val="nil"/>
              <w:left w:val="nil"/>
              <w:bottom w:val="nil"/>
              <w:right w:val="nil"/>
            </w:tcBorders>
            <w:shd w:val="clear" w:color="auto" w:fill="auto"/>
            <w:noWrap/>
            <w:vAlign w:val="bottom"/>
            <w:hideMark/>
          </w:tcPr>
          <w:p w14:paraId="2EEA4C30" w14:textId="77777777" w:rsidR="00F56185" w:rsidRPr="00F56185" w:rsidRDefault="00F56185" w:rsidP="00F56185">
            <w:pPr>
              <w:spacing w:after="0" w:line="240" w:lineRule="auto"/>
              <w:rPr>
                <w:rFonts w:ascii="Times New Roman" w:eastAsia="Times New Roman" w:hAnsi="Times New Roman" w:cs="Times New Roman"/>
                <w:sz w:val="20"/>
                <w:szCs w:val="20"/>
                <w:lang w:eastAsia="pt-BR"/>
              </w:rPr>
            </w:pPr>
          </w:p>
        </w:tc>
        <w:tc>
          <w:tcPr>
            <w:tcW w:w="161" w:type="dxa"/>
            <w:tcBorders>
              <w:top w:val="nil"/>
              <w:left w:val="nil"/>
              <w:bottom w:val="nil"/>
              <w:right w:val="nil"/>
            </w:tcBorders>
            <w:shd w:val="clear" w:color="auto" w:fill="auto"/>
            <w:noWrap/>
            <w:vAlign w:val="bottom"/>
            <w:hideMark/>
          </w:tcPr>
          <w:p w14:paraId="6D79961E" w14:textId="77777777" w:rsidR="00F56185" w:rsidRPr="00F56185" w:rsidRDefault="00F56185" w:rsidP="00F56185">
            <w:pPr>
              <w:spacing w:after="0" w:line="240" w:lineRule="auto"/>
              <w:rPr>
                <w:rFonts w:ascii="Times New Roman" w:eastAsia="Times New Roman" w:hAnsi="Times New Roman" w:cs="Times New Roman"/>
                <w:sz w:val="20"/>
                <w:szCs w:val="20"/>
                <w:lang w:eastAsia="pt-BR"/>
              </w:rPr>
            </w:pPr>
          </w:p>
        </w:tc>
        <w:tc>
          <w:tcPr>
            <w:tcW w:w="1208" w:type="dxa"/>
            <w:tcBorders>
              <w:top w:val="nil"/>
              <w:left w:val="nil"/>
              <w:bottom w:val="nil"/>
              <w:right w:val="nil"/>
            </w:tcBorders>
            <w:shd w:val="clear" w:color="auto" w:fill="auto"/>
            <w:noWrap/>
            <w:vAlign w:val="bottom"/>
            <w:hideMark/>
          </w:tcPr>
          <w:p w14:paraId="6C80DE14" w14:textId="77777777" w:rsidR="00F56185" w:rsidRPr="00F56185" w:rsidRDefault="00F56185" w:rsidP="00F56185">
            <w:pPr>
              <w:spacing w:after="0" w:line="240" w:lineRule="auto"/>
              <w:rPr>
                <w:rFonts w:ascii="Times New Roman" w:eastAsia="Times New Roman" w:hAnsi="Times New Roman" w:cs="Times New Roman"/>
                <w:sz w:val="20"/>
                <w:szCs w:val="20"/>
                <w:lang w:eastAsia="pt-BR"/>
              </w:rPr>
            </w:pPr>
          </w:p>
        </w:tc>
        <w:tc>
          <w:tcPr>
            <w:tcW w:w="161" w:type="dxa"/>
            <w:tcBorders>
              <w:top w:val="nil"/>
              <w:left w:val="nil"/>
              <w:bottom w:val="nil"/>
              <w:right w:val="nil"/>
            </w:tcBorders>
            <w:shd w:val="clear" w:color="auto" w:fill="auto"/>
            <w:noWrap/>
            <w:vAlign w:val="bottom"/>
            <w:hideMark/>
          </w:tcPr>
          <w:p w14:paraId="26D495BC" w14:textId="77777777" w:rsidR="00F56185" w:rsidRPr="00F56185" w:rsidRDefault="00F56185" w:rsidP="00F56185">
            <w:pPr>
              <w:spacing w:after="0" w:line="240" w:lineRule="auto"/>
              <w:rPr>
                <w:rFonts w:ascii="Times New Roman" w:eastAsia="Times New Roman" w:hAnsi="Times New Roman" w:cs="Times New Roman"/>
                <w:sz w:val="20"/>
                <w:szCs w:val="20"/>
                <w:lang w:eastAsia="pt-BR"/>
              </w:rPr>
            </w:pPr>
          </w:p>
        </w:tc>
        <w:tc>
          <w:tcPr>
            <w:tcW w:w="1208" w:type="dxa"/>
            <w:tcBorders>
              <w:top w:val="nil"/>
              <w:left w:val="nil"/>
              <w:bottom w:val="nil"/>
              <w:right w:val="nil"/>
            </w:tcBorders>
            <w:shd w:val="clear" w:color="auto" w:fill="auto"/>
            <w:noWrap/>
            <w:vAlign w:val="bottom"/>
            <w:hideMark/>
          </w:tcPr>
          <w:p w14:paraId="44811980" w14:textId="77777777" w:rsidR="00F56185" w:rsidRPr="00F56185" w:rsidRDefault="00F56185" w:rsidP="00F56185">
            <w:pPr>
              <w:spacing w:after="0" w:line="240" w:lineRule="auto"/>
              <w:rPr>
                <w:rFonts w:ascii="Times New Roman" w:eastAsia="Times New Roman" w:hAnsi="Times New Roman" w:cs="Times New Roman"/>
                <w:sz w:val="20"/>
                <w:szCs w:val="20"/>
                <w:lang w:eastAsia="pt-BR"/>
              </w:rPr>
            </w:pPr>
          </w:p>
        </w:tc>
      </w:tr>
      <w:tr w:rsidR="00F56185" w:rsidRPr="00F56185" w14:paraId="228AEE84" w14:textId="77777777" w:rsidTr="00F56185">
        <w:trPr>
          <w:trHeight w:val="27"/>
        </w:trPr>
        <w:tc>
          <w:tcPr>
            <w:tcW w:w="579" w:type="dxa"/>
            <w:tcBorders>
              <w:top w:val="nil"/>
              <w:left w:val="nil"/>
              <w:bottom w:val="nil"/>
              <w:right w:val="nil"/>
            </w:tcBorders>
            <w:shd w:val="clear" w:color="auto" w:fill="auto"/>
            <w:noWrap/>
            <w:vAlign w:val="bottom"/>
          </w:tcPr>
          <w:p w14:paraId="752ED640" w14:textId="77777777" w:rsidR="00F56185" w:rsidRPr="00F56185" w:rsidRDefault="00F56185" w:rsidP="00F56185">
            <w:pPr>
              <w:spacing w:after="0" w:line="240" w:lineRule="auto"/>
              <w:rPr>
                <w:rFonts w:ascii="Verdana" w:eastAsia="Times New Roman" w:hAnsi="Verdana" w:cs="Calibri"/>
                <w:sz w:val="10"/>
                <w:szCs w:val="10"/>
                <w:lang w:eastAsia="pt-BR"/>
              </w:rPr>
            </w:pPr>
          </w:p>
        </w:tc>
        <w:tc>
          <w:tcPr>
            <w:tcW w:w="3067" w:type="dxa"/>
            <w:tcBorders>
              <w:top w:val="nil"/>
              <w:left w:val="nil"/>
              <w:bottom w:val="nil"/>
              <w:right w:val="nil"/>
            </w:tcBorders>
            <w:shd w:val="clear" w:color="auto" w:fill="auto"/>
            <w:noWrap/>
            <w:vAlign w:val="bottom"/>
          </w:tcPr>
          <w:p w14:paraId="20DE5262" w14:textId="77777777" w:rsidR="00F56185" w:rsidRPr="00F56185" w:rsidRDefault="00F56185" w:rsidP="00F56185">
            <w:pPr>
              <w:spacing w:after="0" w:line="240" w:lineRule="auto"/>
              <w:rPr>
                <w:rFonts w:ascii="Times New Roman" w:eastAsia="Times New Roman" w:hAnsi="Times New Roman" w:cs="Times New Roman"/>
                <w:sz w:val="10"/>
                <w:szCs w:val="10"/>
                <w:lang w:eastAsia="pt-BR"/>
              </w:rPr>
            </w:pPr>
          </w:p>
        </w:tc>
        <w:tc>
          <w:tcPr>
            <w:tcW w:w="1368" w:type="dxa"/>
            <w:tcBorders>
              <w:top w:val="nil"/>
              <w:left w:val="nil"/>
              <w:bottom w:val="nil"/>
              <w:right w:val="nil"/>
            </w:tcBorders>
            <w:shd w:val="clear" w:color="auto" w:fill="auto"/>
            <w:noWrap/>
            <w:vAlign w:val="bottom"/>
          </w:tcPr>
          <w:p w14:paraId="0C0B3A45" w14:textId="77777777" w:rsidR="00F56185" w:rsidRPr="00F56185" w:rsidRDefault="00F56185" w:rsidP="00F56185">
            <w:pPr>
              <w:spacing w:after="0" w:line="240" w:lineRule="auto"/>
              <w:rPr>
                <w:rFonts w:ascii="Times New Roman" w:eastAsia="Times New Roman" w:hAnsi="Times New Roman" w:cs="Times New Roman"/>
                <w:sz w:val="10"/>
                <w:szCs w:val="10"/>
                <w:lang w:eastAsia="pt-BR"/>
              </w:rPr>
            </w:pPr>
          </w:p>
        </w:tc>
        <w:tc>
          <w:tcPr>
            <w:tcW w:w="198" w:type="dxa"/>
            <w:tcBorders>
              <w:top w:val="nil"/>
              <w:left w:val="nil"/>
              <w:bottom w:val="nil"/>
              <w:right w:val="nil"/>
            </w:tcBorders>
            <w:shd w:val="clear" w:color="auto" w:fill="auto"/>
            <w:noWrap/>
            <w:vAlign w:val="bottom"/>
          </w:tcPr>
          <w:p w14:paraId="25C7132E" w14:textId="77777777" w:rsidR="00F56185" w:rsidRPr="00F56185" w:rsidRDefault="00F56185" w:rsidP="00F56185">
            <w:pPr>
              <w:spacing w:after="0" w:line="240" w:lineRule="auto"/>
              <w:rPr>
                <w:rFonts w:ascii="Times New Roman" w:eastAsia="Times New Roman" w:hAnsi="Times New Roman" w:cs="Times New Roman"/>
                <w:sz w:val="10"/>
                <w:szCs w:val="10"/>
                <w:lang w:eastAsia="pt-BR"/>
              </w:rPr>
            </w:pPr>
          </w:p>
        </w:tc>
        <w:tc>
          <w:tcPr>
            <w:tcW w:w="1354" w:type="dxa"/>
            <w:tcBorders>
              <w:top w:val="nil"/>
              <w:left w:val="nil"/>
              <w:bottom w:val="nil"/>
              <w:right w:val="nil"/>
            </w:tcBorders>
            <w:shd w:val="clear" w:color="auto" w:fill="auto"/>
            <w:noWrap/>
            <w:vAlign w:val="bottom"/>
          </w:tcPr>
          <w:p w14:paraId="61378255" w14:textId="77777777" w:rsidR="00F56185" w:rsidRPr="00F56185" w:rsidRDefault="00F56185" w:rsidP="00F56185">
            <w:pPr>
              <w:spacing w:after="0" w:line="240" w:lineRule="auto"/>
              <w:rPr>
                <w:rFonts w:ascii="Times New Roman" w:eastAsia="Times New Roman" w:hAnsi="Times New Roman" w:cs="Times New Roman"/>
                <w:sz w:val="10"/>
                <w:szCs w:val="10"/>
                <w:lang w:eastAsia="pt-BR"/>
              </w:rPr>
            </w:pPr>
          </w:p>
        </w:tc>
        <w:tc>
          <w:tcPr>
            <w:tcW w:w="161" w:type="dxa"/>
            <w:tcBorders>
              <w:top w:val="nil"/>
              <w:left w:val="nil"/>
              <w:bottom w:val="nil"/>
              <w:right w:val="nil"/>
            </w:tcBorders>
            <w:shd w:val="clear" w:color="auto" w:fill="auto"/>
            <w:noWrap/>
            <w:vAlign w:val="bottom"/>
          </w:tcPr>
          <w:p w14:paraId="298FE0AE" w14:textId="77777777" w:rsidR="00F56185" w:rsidRPr="00F56185" w:rsidRDefault="00F56185" w:rsidP="00F56185">
            <w:pPr>
              <w:spacing w:after="0" w:line="240" w:lineRule="auto"/>
              <w:rPr>
                <w:rFonts w:ascii="Times New Roman" w:eastAsia="Times New Roman" w:hAnsi="Times New Roman" w:cs="Times New Roman"/>
                <w:sz w:val="10"/>
                <w:szCs w:val="10"/>
                <w:lang w:eastAsia="pt-BR"/>
              </w:rPr>
            </w:pPr>
          </w:p>
        </w:tc>
        <w:tc>
          <w:tcPr>
            <w:tcW w:w="1208" w:type="dxa"/>
            <w:tcBorders>
              <w:top w:val="nil"/>
              <w:left w:val="nil"/>
              <w:bottom w:val="nil"/>
              <w:right w:val="nil"/>
            </w:tcBorders>
            <w:shd w:val="clear" w:color="auto" w:fill="auto"/>
            <w:noWrap/>
            <w:vAlign w:val="bottom"/>
          </w:tcPr>
          <w:p w14:paraId="0FAB38F9" w14:textId="77777777" w:rsidR="00F56185" w:rsidRPr="00F56185" w:rsidRDefault="00F56185" w:rsidP="00F56185">
            <w:pPr>
              <w:spacing w:after="0" w:line="240" w:lineRule="auto"/>
              <w:rPr>
                <w:rFonts w:ascii="Times New Roman" w:eastAsia="Times New Roman" w:hAnsi="Times New Roman" w:cs="Times New Roman"/>
                <w:sz w:val="10"/>
                <w:szCs w:val="10"/>
                <w:lang w:eastAsia="pt-BR"/>
              </w:rPr>
            </w:pPr>
          </w:p>
        </w:tc>
        <w:tc>
          <w:tcPr>
            <w:tcW w:w="161" w:type="dxa"/>
            <w:tcBorders>
              <w:top w:val="nil"/>
              <w:left w:val="nil"/>
              <w:bottom w:val="nil"/>
              <w:right w:val="nil"/>
            </w:tcBorders>
            <w:shd w:val="clear" w:color="auto" w:fill="auto"/>
            <w:noWrap/>
            <w:vAlign w:val="bottom"/>
          </w:tcPr>
          <w:p w14:paraId="36B5600E" w14:textId="77777777" w:rsidR="00F56185" w:rsidRPr="00F56185" w:rsidRDefault="00F56185" w:rsidP="00F56185">
            <w:pPr>
              <w:spacing w:after="0" w:line="240" w:lineRule="auto"/>
              <w:rPr>
                <w:rFonts w:ascii="Times New Roman" w:eastAsia="Times New Roman" w:hAnsi="Times New Roman" w:cs="Times New Roman"/>
                <w:sz w:val="10"/>
                <w:szCs w:val="10"/>
                <w:lang w:eastAsia="pt-BR"/>
              </w:rPr>
            </w:pPr>
          </w:p>
        </w:tc>
        <w:tc>
          <w:tcPr>
            <w:tcW w:w="1208" w:type="dxa"/>
            <w:tcBorders>
              <w:top w:val="nil"/>
              <w:left w:val="nil"/>
              <w:bottom w:val="nil"/>
              <w:right w:val="nil"/>
            </w:tcBorders>
            <w:shd w:val="clear" w:color="auto" w:fill="auto"/>
            <w:noWrap/>
            <w:vAlign w:val="bottom"/>
          </w:tcPr>
          <w:p w14:paraId="6732CA62" w14:textId="77777777" w:rsidR="00F56185" w:rsidRPr="00F56185" w:rsidRDefault="00F56185" w:rsidP="00F56185">
            <w:pPr>
              <w:spacing w:after="0" w:line="240" w:lineRule="auto"/>
              <w:rPr>
                <w:rFonts w:ascii="Times New Roman" w:eastAsia="Times New Roman" w:hAnsi="Times New Roman" w:cs="Times New Roman"/>
                <w:sz w:val="10"/>
                <w:szCs w:val="10"/>
                <w:lang w:eastAsia="pt-BR"/>
              </w:rPr>
            </w:pPr>
          </w:p>
        </w:tc>
      </w:tr>
      <w:tr w:rsidR="00F56185" w:rsidRPr="00F56185" w14:paraId="21900237" w14:textId="77777777" w:rsidTr="00F56185">
        <w:trPr>
          <w:trHeight w:val="27"/>
        </w:trPr>
        <w:tc>
          <w:tcPr>
            <w:tcW w:w="3646" w:type="dxa"/>
            <w:gridSpan w:val="2"/>
            <w:tcBorders>
              <w:top w:val="single" w:sz="4" w:space="0" w:color="auto"/>
              <w:left w:val="nil"/>
              <w:bottom w:val="single" w:sz="4" w:space="0" w:color="auto"/>
              <w:right w:val="nil"/>
            </w:tcBorders>
            <w:shd w:val="clear" w:color="auto" w:fill="auto"/>
            <w:noWrap/>
            <w:vAlign w:val="bottom"/>
            <w:hideMark/>
          </w:tcPr>
          <w:p w14:paraId="46ECFA6C" w14:textId="77777777" w:rsidR="00F56185" w:rsidRPr="00F56185" w:rsidRDefault="00F56185" w:rsidP="00F56185">
            <w:pPr>
              <w:spacing w:after="0" w:line="240" w:lineRule="auto"/>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Impacto no resultado dos índices</w:t>
            </w:r>
          </w:p>
        </w:tc>
        <w:tc>
          <w:tcPr>
            <w:tcW w:w="1368" w:type="dxa"/>
            <w:tcBorders>
              <w:top w:val="single" w:sz="4" w:space="0" w:color="auto"/>
              <w:left w:val="nil"/>
              <w:bottom w:val="single" w:sz="4" w:space="0" w:color="auto"/>
              <w:right w:val="nil"/>
            </w:tcBorders>
            <w:shd w:val="clear" w:color="auto" w:fill="auto"/>
            <w:noWrap/>
            <w:vAlign w:val="bottom"/>
            <w:hideMark/>
          </w:tcPr>
          <w:p w14:paraId="0C4FCB1E" w14:textId="77777777" w:rsidR="00F56185" w:rsidRPr="00F56185" w:rsidRDefault="00F56185" w:rsidP="00F56185">
            <w:pPr>
              <w:spacing w:after="0" w:line="240" w:lineRule="auto"/>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 </w:t>
            </w:r>
          </w:p>
        </w:tc>
        <w:tc>
          <w:tcPr>
            <w:tcW w:w="198" w:type="dxa"/>
            <w:tcBorders>
              <w:top w:val="nil"/>
              <w:left w:val="nil"/>
              <w:bottom w:val="nil"/>
              <w:right w:val="nil"/>
            </w:tcBorders>
            <w:shd w:val="clear" w:color="auto" w:fill="auto"/>
            <w:noWrap/>
            <w:vAlign w:val="bottom"/>
            <w:hideMark/>
          </w:tcPr>
          <w:p w14:paraId="6C2FF51E" w14:textId="77777777" w:rsidR="00F56185" w:rsidRPr="00F56185" w:rsidRDefault="00F56185" w:rsidP="00F56185">
            <w:pPr>
              <w:spacing w:after="0" w:line="240" w:lineRule="auto"/>
              <w:rPr>
                <w:rFonts w:ascii="Verdana" w:eastAsia="Times New Roman" w:hAnsi="Verdana" w:cs="Calibri"/>
                <w:sz w:val="16"/>
                <w:szCs w:val="16"/>
                <w:lang w:eastAsia="pt-BR"/>
              </w:rPr>
            </w:pPr>
          </w:p>
        </w:tc>
        <w:tc>
          <w:tcPr>
            <w:tcW w:w="1354" w:type="dxa"/>
            <w:tcBorders>
              <w:top w:val="single" w:sz="4" w:space="0" w:color="auto"/>
              <w:left w:val="nil"/>
              <w:bottom w:val="single" w:sz="4" w:space="0" w:color="auto"/>
              <w:right w:val="nil"/>
            </w:tcBorders>
            <w:shd w:val="clear" w:color="auto" w:fill="auto"/>
            <w:noWrap/>
            <w:vAlign w:val="bottom"/>
            <w:hideMark/>
          </w:tcPr>
          <w:p w14:paraId="06DB7B16" w14:textId="77777777" w:rsidR="00F56185" w:rsidRPr="00F56185" w:rsidRDefault="00F56185" w:rsidP="00F56185">
            <w:pPr>
              <w:spacing w:after="0" w:line="240" w:lineRule="auto"/>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 xml:space="preserve">   (307.701)</w:t>
            </w:r>
          </w:p>
        </w:tc>
        <w:tc>
          <w:tcPr>
            <w:tcW w:w="161" w:type="dxa"/>
            <w:tcBorders>
              <w:top w:val="nil"/>
              <w:left w:val="nil"/>
              <w:bottom w:val="nil"/>
              <w:right w:val="nil"/>
            </w:tcBorders>
            <w:shd w:val="clear" w:color="auto" w:fill="auto"/>
            <w:noWrap/>
            <w:vAlign w:val="bottom"/>
            <w:hideMark/>
          </w:tcPr>
          <w:p w14:paraId="2D0D9FC9" w14:textId="77777777" w:rsidR="00F56185" w:rsidRPr="00F56185" w:rsidRDefault="00F56185" w:rsidP="00F56185">
            <w:pPr>
              <w:spacing w:after="0" w:line="240" w:lineRule="auto"/>
              <w:rPr>
                <w:rFonts w:ascii="Verdana" w:eastAsia="Times New Roman" w:hAnsi="Verdana" w:cs="Calibri"/>
                <w:sz w:val="16"/>
                <w:szCs w:val="16"/>
                <w:lang w:eastAsia="pt-BR"/>
              </w:rPr>
            </w:pPr>
          </w:p>
        </w:tc>
        <w:tc>
          <w:tcPr>
            <w:tcW w:w="1208" w:type="dxa"/>
            <w:tcBorders>
              <w:top w:val="single" w:sz="4" w:space="0" w:color="auto"/>
              <w:left w:val="nil"/>
              <w:bottom w:val="single" w:sz="4" w:space="0" w:color="auto"/>
              <w:right w:val="nil"/>
            </w:tcBorders>
            <w:shd w:val="clear" w:color="auto" w:fill="auto"/>
            <w:noWrap/>
            <w:vAlign w:val="bottom"/>
            <w:hideMark/>
          </w:tcPr>
          <w:p w14:paraId="7EB79C9C" w14:textId="77777777" w:rsidR="00F56185" w:rsidRPr="00F56185" w:rsidRDefault="00F56185" w:rsidP="00F56185">
            <w:pPr>
              <w:spacing w:after="0" w:line="240" w:lineRule="auto"/>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 xml:space="preserve">   339.387 </w:t>
            </w:r>
          </w:p>
        </w:tc>
        <w:tc>
          <w:tcPr>
            <w:tcW w:w="161" w:type="dxa"/>
            <w:tcBorders>
              <w:top w:val="nil"/>
              <w:left w:val="nil"/>
              <w:bottom w:val="nil"/>
              <w:right w:val="nil"/>
            </w:tcBorders>
            <w:shd w:val="clear" w:color="auto" w:fill="auto"/>
            <w:noWrap/>
            <w:vAlign w:val="bottom"/>
            <w:hideMark/>
          </w:tcPr>
          <w:p w14:paraId="65000E85" w14:textId="77777777" w:rsidR="00F56185" w:rsidRPr="00F56185" w:rsidRDefault="00F56185" w:rsidP="00F56185">
            <w:pPr>
              <w:spacing w:after="0" w:line="240" w:lineRule="auto"/>
              <w:rPr>
                <w:rFonts w:ascii="Verdana" w:eastAsia="Times New Roman" w:hAnsi="Verdana" w:cs="Calibri"/>
                <w:sz w:val="16"/>
                <w:szCs w:val="16"/>
                <w:lang w:eastAsia="pt-BR"/>
              </w:rPr>
            </w:pPr>
          </w:p>
        </w:tc>
        <w:tc>
          <w:tcPr>
            <w:tcW w:w="1208" w:type="dxa"/>
            <w:tcBorders>
              <w:top w:val="single" w:sz="4" w:space="0" w:color="auto"/>
              <w:left w:val="nil"/>
              <w:bottom w:val="single" w:sz="4" w:space="0" w:color="auto"/>
              <w:right w:val="nil"/>
            </w:tcBorders>
            <w:shd w:val="clear" w:color="auto" w:fill="auto"/>
            <w:noWrap/>
            <w:vAlign w:val="bottom"/>
            <w:hideMark/>
          </w:tcPr>
          <w:p w14:paraId="4E39FC47" w14:textId="77777777" w:rsidR="00F56185" w:rsidRPr="00F56185" w:rsidRDefault="00F56185" w:rsidP="00F56185">
            <w:pPr>
              <w:spacing w:after="0" w:line="240" w:lineRule="auto"/>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 xml:space="preserve">   370.901 </w:t>
            </w:r>
          </w:p>
        </w:tc>
      </w:tr>
      <w:tr w:rsidR="00F56185" w:rsidRPr="00F56185" w14:paraId="25770291" w14:textId="77777777" w:rsidTr="00F56185">
        <w:trPr>
          <w:trHeight w:val="27"/>
        </w:trPr>
        <w:tc>
          <w:tcPr>
            <w:tcW w:w="579" w:type="dxa"/>
            <w:tcBorders>
              <w:top w:val="nil"/>
              <w:left w:val="nil"/>
              <w:bottom w:val="nil"/>
              <w:right w:val="nil"/>
            </w:tcBorders>
            <w:shd w:val="clear" w:color="auto" w:fill="auto"/>
            <w:noWrap/>
            <w:vAlign w:val="bottom"/>
            <w:hideMark/>
          </w:tcPr>
          <w:p w14:paraId="2CB1CA54" w14:textId="77777777" w:rsidR="00F56185" w:rsidRPr="00F56185" w:rsidRDefault="00F56185" w:rsidP="00F56185">
            <w:pPr>
              <w:spacing w:after="0" w:line="240" w:lineRule="auto"/>
              <w:rPr>
                <w:rFonts w:ascii="Verdana" w:eastAsia="Times New Roman" w:hAnsi="Verdana" w:cs="Calibri"/>
                <w:sz w:val="16"/>
                <w:szCs w:val="16"/>
                <w:lang w:eastAsia="pt-BR"/>
              </w:rPr>
            </w:pPr>
          </w:p>
        </w:tc>
        <w:tc>
          <w:tcPr>
            <w:tcW w:w="3067" w:type="dxa"/>
            <w:tcBorders>
              <w:top w:val="nil"/>
              <w:left w:val="nil"/>
              <w:bottom w:val="nil"/>
              <w:right w:val="nil"/>
            </w:tcBorders>
            <w:shd w:val="clear" w:color="auto" w:fill="auto"/>
            <w:noWrap/>
            <w:vAlign w:val="bottom"/>
            <w:hideMark/>
          </w:tcPr>
          <w:p w14:paraId="3BABC3E5" w14:textId="77777777" w:rsidR="00F56185" w:rsidRPr="00F56185" w:rsidRDefault="00F56185" w:rsidP="00F56185">
            <w:pPr>
              <w:spacing w:after="0" w:line="240" w:lineRule="auto"/>
              <w:rPr>
                <w:rFonts w:ascii="Times New Roman" w:eastAsia="Times New Roman" w:hAnsi="Times New Roman" w:cs="Times New Roman"/>
                <w:sz w:val="20"/>
                <w:szCs w:val="20"/>
                <w:lang w:eastAsia="pt-BR"/>
              </w:rPr>
            </w:pPr>
          </w:p>
        </w:tc>
        <w:tc>
          <w:tcPr>
            <w:tcW w:w="1368" w:type="dxa"/>
            <w:tcBorders>
              <w:top w:val="nil"/>
              <w:left w:val="nil"/>
              <w:bottom w:val="nil"/>
              <w:right w:val="nil"/>
            </w:tcBorders>
            <w:shd w:val="clear" w:color="auto" w:fill="auto"/>
            <w:noWrap/>
            <w:vAlign w:val="bottom"/>
            <w:hideMark/>
          </w:tcPr>
          <w:p w14:paraId="4786F7B1" w14:textId="77777777" w:rsidR="00F56185" w:rsidRPr="00F56185" w:rsidRDefault="00F56185" w:rsidP="00F56185">
            <w:pPr>
              <w:spacing w:after="0" w:line="240" w:lineRule="auto"/>
              <w:rPr>
                <w:rFonts w:ascii="Times New Roman" w:eastAsia="Times New Roman" w:hAnsi="Times New Roman" w:cs="Times New Roman"/>
                <w:sz w:val="20"/>
                <w:szCs w:val="20"/>
                <w:lang w:eastAsia="pt-BR"/>
              </w:rPr>
            </w:pPr>
          </w:p>
        </w:tc>
        <w:tc>
          <w:tcPr>
            <w:tcW w:w="198" w:type="dxa"/>
            <w:tcBorders>
              <w:top w:val="nil"/>
              <w:left w:val="nil"/>
              <w:bottom w:val="nil"/>
              <w:right w:val="nil"/>
            </w:tcBorders>
            <w:shd w:val="clear" w:color="auto" w:fill="auto"/>
            <w:noWrap/>
            <w:vAlign w:val="bottom"/>
            <w:hideMark/>
          </w:tcPr>
          <w:p w14:paraId="1FD9106D" w14:textId="77777777" w:rsidR="00F56185" w:rsidRPr="00F56185" w:rsidRDefault="00F56185" w:rsidP="00F56185">
            <w:pPr>
              <w:spacing w:after="0" w:line="240" w:lineRule="auto"/>
              <w:rPr>
                <w:rFonts w:ascii="Times New Roman" w:eastAsia="Times New Roman" w:hAnsi="Times New Roman" w:cs="Times New Roman"/>
                <w:sz w:val="20"/>
                <w:szCs w:val="20"/>
                <w:lang w:eastAsia="pt-BR"/>
              </w:rPr>
            </w:pPr>
          </w:p>
        </w:tc>
        <w:tc>
          <w:tcPr>
            <w:tcW w:w="1354" w:type="dxa"/>
            <w:tcBorders>
              <w:top w:val="nil"/>
              <w:left w:val="nil"/>
              <w:bottom w:val="nil"/>
              <w:right w:val="nil"/>
            </w:tcBorders>
            <w:shd w:val="clear" w:color="auto" w:fill="auto"/>
            <w:noWrap/>
            <w:vAlign w:val="bottom"/>
            <w:hideMark/>
          </w:tcPr>
          <w:p w14:paraId="6557F83E" w14:textId="77777777" w:rsidR="00F56185" w:rsidRPr="00F56185" w:rsidRDefault="00F56185" w:rsidP="00F56185">
            <w:pPr>
              <w:spacing w:after="0" w:line="240" w:lineRule="auto"/>
              <w:rPr>
                <w:rFonts w:ascii="Times New Roman" w:eastAsia="Times New Roman" w:hAnsi="Times New Roman" w:cs="Times New Roman"/>
                <w:sz w:val="20"/>
                <w:szCs w:val="20"/>
                <w:lang w:eastAsia="pt-BR"/>
              </w:rPr>
            </w:pPr>
          </w:p>
        </w:tc>
        <w:tc>
          <w:tcPr>
            <w:tcW w:w="161" w:type="dxa"/>
            <w:tcBorders>
              <w:top w:val="nil"/>
              <w:left w:val="nil"/>
              <w:bottom w:val="nil"/>
              <w:right w:val="nil"/>
            </w:tcBorders>
            <w:shd w:val="clear" w:color="auto" w:fill="auto"/>
            <w:noWrap/>
            <w:vAlign w:val="bottom"/>
            <w:hideMark/>
          </w:tcPr>
          <w:p w14:paraId="7ADB49C5" w14:textId="77777777" w:rsidR="00F56185" w:rsidRPr="00F56185" w:rsidRDefault="00F56185" w:rsidP="00F56185">
            <w:pPr>
              <w:spacing w:after="0" w:line="240" w:lineRule="auto"/>
              <w:rPr>
                <w:rFonts w:ascii="Times New Roman" w:eastAsia="Times New Roman" w:hAnsi="Times New Roman" w:cs="Times New Roman"/>
                <w:sz w:val="20"/>
                <w:szCs w:val="20"/>
                <w:lang w:eastAsia="pt-BR"/>
              </w:rPr>
            </w:pPr>
          </w:p>
        </w:tc>
        <w:tc>
          <w:tcPr>
            <w:tcW w:w="1208" w:type="dxa"/>
            <w:tcBorders>
              <w:top w:val="nil"/>
              <w:left w:val="nil"/>
              <w:bottom w:val="nil"/>
              <w:right w:val="nil"/>
            </w:tcBorders>
            <w:shd w:val="clear" w:color="auto" w:fill="auto"/>
            <w:noWrap/>
            <w:vAlign w:val="bottom"/>
            <w:hideMark/>
          </w:tcPr>
          <w:p w14:paraId="49AA164F" w14:textId="77777777" w:rsidR="00F56185" w:rsidRPr="00F56185" w:rsidRDefault="00F56185" w:rsidP="00F56185">
            <w:pPr>
              <w:spacing w:after="0" w:line="240" w:lineRule="auto"/>
              <w:rPr>
                <w:rFonts w:ascii="Times New Roman" w:eastAsia="Times New Roman" w:hAnsi="Times New Roman" w:cs="Times New Roman"/>
                <w:sz w:val="20"/>
                <w:szCs w:val="20"/>
                <w:lang w:eastAsia="pt-BR"/>
              </w:rPr>
            </w:pPr>
          </w:p>
        </w:tc>
        <w:tc>
          <w:tcPr>
            <w:tcW w:w="161" w:type="dxa"/>
            <w:tcBorders>
              <w:top w:val="nil"/>
              <w:left w:val="nil"/>
              <w:bottom w:val="nil"/>
              <w:right w:val="nil"/>
            </w:tcBorders>
            <w:shd w:val="clear" w:color="auto" w:fill="auto"/>
            <w:noWrap/>
            <w:vAlign w:val="bottom"/>
            <w:hideMark/>
          </w:tcPr>
          <w:p w14:paraId="1D26A566" w14:textId="77777777" w:rsidR="00F56185" w:rsidRPr="00F56185" w:rsidRDefault="00F56185" w:rsidP="00F56185">
            <w:pPr>
              <w:spacing w:after="0" w:line="240" w:lineRule="auto"/>
              <w:rPr>
                <w:rFonts w:ascii="Times New Roman" w:eastAsia="Times New Roman" w:hAnsi="Times New Roman" w:cs="Times New Roman"/>
                <w:sz w:val="20"/>
                <w:szCs w:val="20"/>
                <w:lang w:eastAsia="pt-BR"/>
              </w:rPr>
            </w:pPr>
          </w:p>
        </w:tc>
        <w:tc>
          <w:tcPr>
            <w:tcW w:w="1208" w:type="dxa"/>
            <w:tcBorders>
              <w:top w:val="nil"/>
              <w:left w:val="nil"/>
              <w:bottom w:val="nil"/>
              <w:right w:val="nil"/>
            </w:tcBorders>
            <w:shd w:val="clear" w:color="auto" w:fill="auto"/>
            <w:noWrap/>
            <w:vAlign w:val="bottom"/>
            <w:hideMark/>
          </w:tcPr>
          <w:p w14:paraId="6EA40594" w14:textId="77777777" w:rsidR="00F56185" w:rsidRPr="00F56185" w:rsidRDefault="00F56185" w:rsidP="00F56185">
            <w:pPr>
              <w:spacing w:after="0" w:line="240" w:lineRule="auto"/>
              <w:rPr>
                <w:rFonts w:ascii="Times New Roman" w:eastAsia="Times New Roman" w:hAnsi="Times New Roman" w:cs="Times New Roman"/>
                <w:sz w:val="20"/>
                <w:szCs w:val="20"/>
                <w:lang w:eastAsia="pt-BR"/>
              </w:rPr>
            </w:pPr>
          </w:p>
        </w:tc>
      </w:tr>
      <w:tr w:rsidR="00F56185" w:rsidRPr="00F56185" w14:paraId="5C296054" w14:textId="77777777" w:rsidTr="00F56185">
        <w:trPr>
          <w:trHeight w:val="27"/>
        </w:trPr>
        <w:tc>
          <w:tcPr>
            <w:tcW w:w="3646" w:type="dxa"/>
            <w:gridSpan w:val="2"/>
            <w:tcBorders>
              <w:top w:val="nil"/>
              <w:left w:val="nil"/>
              <w:bottom w:val="nil"/>
              <w:right w:val="nil"/>
            </w:tcBorders>
            <w:shd w:val="clear" w:color="auto" w:fill="auto"/>
            <w:noWrap/>
            <w:vAlign w:val="bottom"/>
            <w:hideMark/>
          </w:tcPr>
          <w:p w14:paraId="61AA3BA2" w14:textId="77777777" w:rsidR="00F56185" w:rsidRPr="00F56185" w:rsidRDefault="00F56185" w:rsidP="00F56185">
            <w:pPr>
              <w:spacing w:after="0" w:line="240" w:lineRule="auto"/>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 xml:space="preserve">(*) Premissas adotadas: </w:t>
            </w:r>
          </w:p>
        </w:tc>
        <w:tc>
          <w:tcPr>
            <w:tcW w:w="1368" w:type="dxa"/>
            <w:tcBorders>
              <w:top w:val="nil"/>
              <w:left w:val="nil"/>
              <w:bottom w:val="single" w:sz="4" w:space="0" w:color="auto"/>
              <w:right w:val="nil"/>
            </w:tcBorders>
            <w:shd w:val="clear" w:color="auto" w:fill="auto"/>
            <w:noWrap/>
            <w:vAlign w:val="bottom"/>
            <w:hideMark/>
          </w:tcPr>
          <w:p w14:paraId="5ABE9037" w14:textId="77777777" w:rsidR="00F56185" w:rsidRPr="00182CB9" w:rsidRDefault="00F56185" w:rsidP="00F56185">
            <w:pPr>
              <w:spacing w:after="0" w:line="240" w:lineRule="auto"/>
              <w:jc w:val="center"/>
              <w:rPr>
                <w:rFonts w:ascii="Verdana" w:eastAsia="Times New Roman" w:hAnsi="Verdana" w:cs="Calibri"/>
                <w:b/>
                <w:sz w:val="16"/>
                <w:szCs w:val="16"/>
                <w:lang w:eastAsia="pt-BR"/>
              </w:rPr>
            </w:pPr>
            <w:r w:rsidRPr="00182CB9">
              <w:rPr>
                <w:rFonts w:ascii="Verdana" w:eastAsia="Times New Roman" w:hAnsi="Verdana" w:cs="Calibri"/>
                <w:b/>
                <w:sz w:val="16"/>
                <w:szCs w:val="16"/>
                <w:lang w:eastAsia="pt-BR"/>
              </w:rPr>
              <w:t>30/06/2022</w:t>
            </w:r>
          </w:p>
        </w:tc>
        <w:tc>
          <w:tcPr>
            <w:tcW w:w="198" w:type="dxa"/>
            <w:tcBorders>
              <w:top w:val="nil"/>
              <w:left w:val="nil"/>
              <w:bottom w:val="nil"/>
              <w:right w:val="nil"/>
            </w:tcBorders>
            <w:shd w:val="clear" w:color="auto" w:fill="auto"/>
            <w:noWrap/>
            <w:vAlign w:val="bottom"/>
            <w:hideMark/>
          </w:tcPr>
          <w:p w14:paraId="5BAF6A11" w14:textId="77777777" w:rsidR="00F56185" w:rsidRPr="00182CB9" w:rsidRDefault="00F56185" w:rsidP="00F56185">
            <w:pPr>
              <w:spacing w:after="0" w:line="240" w:lineRule="auto"/>
              <w:jc w:val="center"/>
              <w:rPr>
                <w:rFonts w:ascii="Verdana" w:eastAsia="Times New Roman" w:hAnsi="Verdana" w:cs="Calibri"/>
                <w:b/>
                <w:sz w:val="16"/>
                <w:szCs w:val="16"/>
                <w:lang w:eastAsia="pt-BR"/>
              </w:rPr>
            </w:pPr>
          </w:p>
        </w:tc>
        <w:tc>
          <w:tcPr>
            <w:tcW w:w="1354" w:type="dxa"/>
            <w:tcBorders>
              <w:top w:val="nil"/>
              <w:left w:val="nil"/>
              <w:bottom w:val="single" w:sz="4" w:space="0" w:color="auto"/>
              <w:right w:val="nil"/>
            </w:tcBorders>
            <w:shd w:val="clear" w:color="auto" w:fill="auto"/>
            <w:noWrap/>
            <w:vAlign w:val="bottom"/>
            <w:hideMark/>
          </w:tcPr>
          <w:p w14:paraId="7384F114" w14:textId="77777777" w:rsidR="00F56185" w:rsidRPr="00182CB9" w:rsidRDefault="00F56185" w:rsidP="00F56185">
            <w:pPr>
              <w:spacing w:after="0" w:line="240" w:lineRule="auto"/>
              <w:jc w:val="center"/>
              <w:rPr>
                <w:rFonts w:ascii="Verdana" w:eastAsia="Times New Roman" w:hAnsi="Verdana" w:cs="Calibri"/>
                <w:b/>
                <w:sz w:val="16"/>
                <w:szCs w:val="16"/>
                <w:lang w:eastAsia="pt-BR"/>
              </w:rPr>
            </w:pPr>
            <w:r w:rsidRPr="00182CB9">
              <w:rPr>
                <w:rFonts w:ascii="Verdana" w:eastAsia="Times New Roman" w:hAnsi="Verdana" w:cs="Calibri"/>
                <w:b/>
                <w:sz w:val="16"/>
                <w:szCs w:val="16"/>
                <w:lang w:eastAsia="pt-BR"/>
              </w:rPr>
              <w:t>Provável</w:t>
            </w:r>
          </w:p>
        </w:tc>
        <w:tc>
          <w:tcPr>
            <w:tcW w:w="161" w:type="dxa"/>
            <w:tcBorders>
              <w:top w:val="nil"/>
              <w:left w:val="nil"/>
              <w:bottom w:val="nil"/>
              <w:right w:val="nil"/>
            </w:tcBorders>
            <w:shd w:val="clear" w:color="auto" w:fill="auto"/>
            <w:noWrap/>
            <w:vAlign w:val="bottom"/>
            <w:hideMark/>
          </w:tcPr>
          <w:p w14:paraId="4E21837A" w14:textId="77777777" w:rsidR="00F56185" w:rsidRPr="00182CB9" w:rsidRDefault="00F56185" w:rsidP="00F56185">
            <w:pPr>
              <w:spacing w:after="0" w:line="240" w:lineRule="auto"/>
              <w:jc w:val="center"/>
              <w:rPr>
                <w:rFonts w:ascii="Verdana" w:eastAsia="Times New Roman" w:hAnsi="Verdana" w:cs="Calibri"/>
                <w:b/>
                <w:sz w:val="16"/>
                <w:szCs w:val="16"/>
                <w:lang w:eastAsia="pt-BR"/>
              </w:rPr>
            </w:pPr>
          </w:p>
        </w:tc>
        <w:tc>
          <w:tcPr>
            <w:tcW w:w="1208" w:type="dxa"/>
            <w:tcBorders>
              <w:top w:val="nil"/>
              <w:left w:val="nil"/>
              <w:bottom w:val="single" w:sz="4" w:space="0" w:color="auto"/>
              <w:right w:val="nil"/>
            </w:tcBorders>
            <w:shd w:val="clear" w:color="auto" w:fill="auto"/>
            <w:noWrap/>
            <w:vAlign w:val="bottom"/>
            <w:hideMark/>
          </w:tcPr>
          <w:p w14:paraId="76BDB8DB" w14:textId="77777777" w:rsidR="00F56185" w:rsidRPr="00182CB9" w:rsidRDefault="00F56185" w:rsidP="00F56185">
            <w:pPr>
              <w:spacing w:after="0" w:line="240" w:lineRule="auto"/>
              <w:jc w:val="center"/>
              <w:rPr>
                <w:rFonts w:ascii="Verdana" w:eastAsia="Times New Roman" w:hAnsi="Verdana" w:cs="Calibri"/>
                <w:b/>
                <w:sz w:val="16"/>
                <w:szCs w:val="16"/>
                <w:lang w:eastAsia="pt-BR"/>
              </w:rPr>
            </w:pPr>
            <w:r w:rsidRPr="00182CB9">
              <w:rPr>
                <w:rFonts w:ascii="Verdana" w:eastAsia="Times New Roman" w:hAnsi="Verdana" w:cs="Calibri"/>
                <w:b/>
                <w:sz w:val="16"/>
                <w:szCs w:val="16"/>
                <w:lang w:eastAsia="pt-BR"/>
              </w:rPr>
              <w:t>+25%</w:t>
            </w:r>
          </w:p>
        </w:tc>
        <w:tc>
          <w:tcPr>
            <w:tcW w:w="161" w:type="dxa"/>
            <w:tcBorders>
              <w:top w:val="nil"/>
              <w:left w:val="nil"/>
              <w:bottom w:val="nil"/>
              <w:right w:val="nil"/>
            </w:tcBorders>
            <w:shd w:val="clear" w:color="auto" w:fill="auto"/>
            <w:noWrap/>
            <w:vAlign w:val="bottom"/>
            <w:hideMark/>
          </w:tcPr>
          <w:p w14:paraId="6769AC15" w14:textId="77777777" w:rsidR="00F56185" w:rsidRPr="00182CB9" w:rsidRDefault="00F56185" w:rsidP="00F56185">
            <w:pPr>
              <w:spacing w:after="0" w:line="240" w:lineRule="auto"/>
              <w:jc w:val="center"/>
              <w:rPr>
                <w:rFonts w:ascii="Verdana" w:eastAsia="Times New Roman" w:hAnsi="Verdana" w:cs="Calibri"/>
                <w:b/>
                <w:sz w:val="16"/>
                <w:szCs w:val="16"/>
                <w:lang w:eastAsia="pt-BR"/>
              </w:rPr>
            </w:pPr>
          </w:p>
        </w:tc>
        <w:tc>
          <w:tcPr>
            <w:tcW w:w="1208" w:type="dxa"/>
            <w:tcBorders>
              <w:top w:val="nil"/>
              <w:left w:val="nil"/>
              <w:bottom w:val="single" w:sz="4" w:space="0" w:color="auto"/>
              <w:right w:val="nil"/>
            </w:tcBorders>
            <w:shd w:val="clear" w:color="auto" w:fill="auto"/>
            <w:noWrap/>
            <w:vAlign w:val="bottom"/>
            <w:hideMark/>
          </w:tcPr>
          <w:p w14:paraId="5BFB8BA7" w14:textId="77777777" w:rsidR="00F56185" w:rsidRPr="00182CB9" w:rsidRDefault="00F56185" w:rsidP="00F56185">
            <w:pPr>
              <w:spacing w:after="0" w:line="240" w:lineRule="auto"/>
              <w:jc w:val="center"/>
              <w:rPr>
                <w:rFonts w:ascii="Verdana" w:eastAsia="Times New Roman" w:hAnsi="Verdana" w:cs="Calibri"/>
                <w:b/>
                <w:sz w:val="16"/>
                <w:szCs w:val="16"/>
                <w:lang w:eastAsia="pt-BR"/>
              </w:rPr>
            </w:pPr>
            <w:r w:rsidRPr="00182CB9">
              <w:rPr>
                <w:rFonts w:ascii="Verdana" w:eastAsia="Times New Roman" w:hAnsi="Verdana" w:cs="Calibri"/>
                <w:b/>
                <w:sz w:val="16"/>
                <w:szCs w:val="16"/>
                <w:lang w:eastAsia="pt-BR"/>
              </w:rPr>
              <w:t>+50%</w:t>
            </w:r>
          </w:p>
        </w:tc>
      </w:tr>
      <w:tr w:rsidR="00F56185" w:rsidRPr="00F56185" w14:paraId="41AE6FF7" w14:textId="77777777" w:rsidTr="00F56185">
        <w:trPr>
          <w:trHeight w:val="27"/>
        </w:trPr>
        <w:tc>
          <w:tcPr>
            <w:tcW w:w="579" w:type="dxa"/>
            <w:tcBorders>
              <w:top w:val="nil"/>
              <w:left w:val="nil"/>
              <w:bottom w:val="nil"/>
              <w:right w:val="nil"/>
            </w:tcBorders>
            <w:shd w:val="clear" w:color="auto" w:fill="auto"/>
            <w:noWrap/>
            <w:vAlign w:val="bottom"/>
            <w:hideMark/>
          </w:tcPr>
          <w:p w14:paraId="3A616E7A" w14:textId="77777777" w:rsidR="00F56185" w:rsidRPr="00F56185" w:rsidRDefault="00F56185" w:rsidP="00F56185">
            <w:pPr>
              <w:spacing w:after="0" w:line="240" w:lineRule="auto"/>
              <w:jc w:val="center"/>
              <w:rPr>
                <w:rFonts w:ascii="Verdana" w:eastAsia="Times New Roman" w:hAnsi="Verdana" w:cs="Calibri"/>
                <w:sz w:val="16"/>
                <w:szCs w:val="16"/>
                <w:lang w:eastAsia="pt-BR"/>
              </w:rPr>
            </w:pPr>
          </w:p>
        </w:tc>
        <w:tc>
          <w:tcPr>
            <w:tcW w:w="3067" w:type="dxa"/>
            <w:tcBorders>
              <w:top w:val="nil"/>
              <w:left w:val="nil"/>
              <w:bottom w:val="nil"/>
              <w:right w:val="nil"/>
            </w:tcBorders>
            <w:shd w:val="clear" w:color="auto" w:fill="auto"/>
            <w:noWrap/>
            <w:vAlign w:val="bottom"/>
            <w:hideMark/>
          </w:tcPr>
          <w:p w14:paraId="46D810BE" w14:textId="77777777" w:rsidR="00F56185" w:rsidRPr="00F56185" w:rsidRDefault="00F56185" w:rsidP="00F56185">
            <w:pPr>
              <w:spacing w:after="0" w:line="240" w:lineRule="auto"/>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IPCA</w:t>
            </w:r>
          </w:p>
        </w:tc>
        <w:tc>
          <w:tcPr>
            <w:tcW w:w="1368" w:type="dxa"/>
            <w:tcBorders>
              <w:top w:val="nil"/>
              <w:left w:val="nil"/>
              <w:bottom w:val="nil"/>
              <w:right w:val="nil"/>
            </w:tcBorders>
            <w:shd w:val="clear" w:color="auto" w:fill="auto"/>
            <w:noWrap/>
            <w:vAlign w:val="bottom"/>
            <w:hideMark/>
          </w:tcPr>
          <w:p w14:paraId="6A071B5E" w14:textId="77777777" w:rsidR="00F56185" w:rsidRPr="00F56185" w:rsidRDefault="00F56185" w:rsidP="00F56185">
            <w:pPr>
              <w:spacing w:after="0" w:line="240" w:lineRule="auto"/>
              <w:jc w:val="right"/>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11,89%</w:t>
            </w:r>
          </w:p>
        </w:tc>
        <w:tc>
          <w:tcPr>
            <w:tcW w:w="198" w:type="dxa"/>
            <w:tcBorders>
              <w:top w:val="nil"/>
              <w:left w:val="nil"/>
              <w:bottom w:val="nil"/>
              <w:right w:val="nil"/>
            </w:tcBorders>
            <w:shd w:val="clear" w:color="auto" w:fill="auto"/>
            <w:noWrap/>
            <w:vAlign w:val="bottom"/>
            <w:hideMark/>
          </w:tcPr>
          <w:p w14:paraId="2DB1D6E4" w14:textId="77777777" w:rsidR="00F56185" w:rsidRPr="00F56185" w:rsidRDefault="00F56185" w:rsidP="00F56185">
            <w:pPr>
              <w:spacing w:after="0" w:line="240" w:lineRule="auto"/>
              <w:jc w:val="right"/>
              <w:rPr>
                <w:rFonts w:ascii="Verdana" w:eastAsia="Times New Roman" w:hAnsi="Verdana" w:cs="Calibri"/>
                <w:sz w:val="16"/>
                <w:szCs w:val="16"/>
                <w:lang w:eastAsia="pt-BR"/>
              </w:rPr>
            </w:pPr>
          </w:p>
        </w:tc>
        <w:tc>
          <w:tcPr>
            <w:tcW w:w="1354" w:type="dxa"/>
            <w:tcBorders>
              <w:top w:val="nil"/>
              <w:left w:val="nil"/>
              <w:bottom w:val="nil"/>
              <w:right w:val="nil"/>
            </w:tcBorders>
            <w:shd w:val="clear" w:color="auto" w:fill="auto"/>
            <w:noWrap/>
            <w:vAlign w:val="bottom"/>
            <w:hideMark/>
          </w:tcPr>
          <w:p w14:paraId="1A8DB854" w14:textId="77777777" w:rsidR="00F56185" w:rsidRPr="00F56185" w:rsidRDefault="00F56185" w:rsidP="00F56185">
            <w:pPr>
              <w:spacing w:after="0" w:line="240" w:lineRule="auto"/>
              <w:jc w:val="right"/>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7,54%</w:t>
            </w:r>
          </w:p>
        </w:tc>
        <w:tc>
          <w:tcPr>
            <w:tcW w:w="161" w:type="dxa"/>
            <w:tcBorders>
              <w:top w:val="nil"/>
              <w:left w:val="nil"/>
              <w:bottom w:val="nil"/>
              <w:right w:val="nil"/>
            </w:tcBorders>
            <w:shd w:val="clear" w:color="auto" w:fill="auto"/>
            <w:noWrap/>
            <w:vAlign w:val="bottom"/>
            <w:hideMark/>
          </w:tcPr>
          <w:p w14:paraId="49E53DA4" w14:textId="77777777" w:rsidR="00F56185" w:rsidRPr="00F56185" w:rsidRDefault="00F56185" w:rsidP="00F56185">
            <w:pPr>
              <w:spacing w:after="0" w:line="240" w:lineRule="auto"/>
              <w:jc w:val="right"/>
              <w:rPr>
                <w:rFonts w:ascii="Verdana" w:eastAsia="Times New Roman" w:hAnsi="Verdana" w:cs="Calibri"/>
                <w:sz w:val="16"/>
                <w:szCs w:val="16"/>
                <w:lang w:eastAsia="pt-BR"/>
              </w:rPr>
            </w:pPr>
          </w:p>
        </w:tc>
        <w:tc>
          <w:tcPr>
            <w:tcW w:w="1208" w:type="dxa"/>
            <w:tcBorders>
              <w:top w:val="nil"/>
              <w:left w:val="nil"/>
              <w:bottom w:val="nil"/>
              <w:right w:val="nil"/>
            </w:tcBorders>
            <w:shd w:val="clear" w:color="auto" w:fill="auto"/>
            <w:noWrap/>
            <w:vAlign w:val="bottom"/>
            <w:hideMark/>
          </w:tcPr>
          <w:p w14:paraId="7A7A8F39" w14:textId="77777777" w:rsidR="00F56185" w:rsidRPr="00F56185" w:rsidRDefault="00F56185" w:rsidP="00F56185">
            <w:pPr>
              <w:spacing w:after="0" w:line="240" w:lineRule="auto"/>
              <w:jc w:val="right"/>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9,43%</w:t>
            </w:r>
          </w:p>
        </w:tc>
        <w:tc>
          <w:tcPr>
            <w:tcW w:w="161" w:type="dxa"/>
            <w:tcBorders>
              <w:top w:val="nil"/>
              <w:left w:val="nil"/>
              <w:bottom w:val="nil"/>
              <w:right w:val="nil"/>
            </w:tcBorders>
            <w:shd w:val="clear" w:color="auto" w:fill="auto"/>
            <w:noWrap/>
            <w:vAlign w:val="bottom"/>
            <w:hideMark/>
          </w:tcPr>
          <w:p w14:paraId="4AD564F5" w14:textId="77777777" w:rsidR="00F56185" w:rsidRPr="00F56185" w:rsidRDefault="00F56185" w:rsidP="00F56185">
            <w:pPr>
              <w:spacing w:after="0" w:line="240" w:lineRule="auto"/>
              <w:jc w:val="right"/>
              <w:rPr>
                <w:rFonts w:ascii="Verdana" w:eastAsia="Times New Roman" w:hAnsi="Verdana" w:cs="Calibri"/>
                <w:sz w:val="16"/>
                <w:szCs w:val="16"/>
                <w:lang w:eastAsia="pt-BR"/>
              </w:rPr>
            </w:pPr>
          </w:p>
        </w:tc>
        <w:tc>
          <w:tcPr>
            <w:tcW w:w="1208" w:type="dxa"/>
            <w:tcBorders>
              <w:top w:val="nil"/>
              <w:left w:val="nil"/>
              <w:bottom w:val="nil"/>
              <w:right w:val="nil"/>
            </w:tcBorders>
            <w:shd w:val="clear" w:color="auto" w:fill="auto"/>
            <w:noWrap/>
            <w:vAlign w:val="bottom"/>
            <w:hideMark/>
          </w:tcPr>
          <w:p w14:paraId="778EF087" w14:textId="77777777" w:rsidR="00F56185" w:rsidRPr="00F56185" w:rsidRDefault="00F56185" w:rsidP="00F56185">
            <w:pPr>
              <w:spacing w:after="0" w:line="240" w:lineRule="auto"/>
              <w:jc w:val="right"/>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11,31%</w:t>
            </w:r>
          </w:p>
        </w:tc>
      </w:tr>
      <w:tr w:rsidR="00F56185" w:rsidRPr="00F56185" w14:paraId="00BC9505" w14:textId="77777777" w:rsidTr="00F56185">
        <w:trPr>
          <w:trHeight w:val="27"/>
        </w:trPr>
        <w:tc>
          <w:tcPr>
            <w:tcW w:w="579" w:type="dxa"/>
            <w:tcBorders>
              <w:top w:val="nil"/>
              <w:left w:val="nil"/>
              <w:bottom w:val="nil"/>
              <w:right w:val="nil"/>
            </w:tcBorders>
            <w:shd w:val="clear" w:color="auto" w:fill="auto"/>
            <w:noWrap/>
            <w:vAlign w:val="bottom"/>
            <w:hideMark/>
          </w:tcPr>
          <w:p w14:paraId="5C0A398F" w14:textId="77777777" w:rsidR="00F56185" w:rsidRPr="00F56185" w:rsidRDefault="00F56185" w:rsidP="00F56185">
            <w:pPr>
              <w:spacing w:after="0" w:line="240" w:lineRule="auto"/>
              <w:jc w:val="right"/>
              <w:rPr>
                <w:rFonts w:ascii="Verdana" w:eastAsia="Times New Roman" w:hAnsi="Verdana" w:cs="Calibri"/>
                <w:sz w:val="16"/>
                <w:szCs w:val="16"/>
                <w:lang w:eastAsia="pt-BR"/>
              </w:rPr>
            </w:pPr>
          </w:p>
        </w:tc>
        <w:tc>
          <w:tcPr>
            <w:tcW w:w="3067" w:type="dxa"/>
            <w:tcBorders>
              <w:top w:val="nil"/>
              <w:left w:val="nil"/>
              <w:bottom w:val="nil"/>
              <w:right w:val="nil"/>
            </w:tcBorders>
            <w:shd w:val="clear" w:color="auto" w:fill="auto"/>
            <w:noWrap/>
            <w:vAlign w:val="bottom"/>
            <w:hideMark/>
          </w:tcPr>
          <w:p w14:paraId="0F4F1332" w14:textId="77777777" w:rsidR="00F56185" w:rsidRPr="00F56185" w:rsidRDefault="00F56185" w:rsidP="00F56185">
            <w:pPr>
              <w:spacing w:after="0" w:line="240" w:lineRule="auto"/>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TJLP</w:t>
            </w:r>
          </w:p>
        </w:tc>
        <w:tc>
          <w:tcPr>
            <w:tcW w:w="1368" w:type="dxa"/>
            <w:tcBorders>
              <w:top w:val="nil"/>
              <w:left w:val="nil"/>
              <w:bottom w:val="nil"/>
              <w:right w:val="nil"/>
            </w:tcBorders>
            <w:shd w:val="clear" w:color="auto" w:fill="auto"/>
            <w:noWrap/>
            <w:vAlign w:val="bottom"/>
            <w:hideMark/>
          </w:tcPr>
          <w:p w14:paraId="67A01C62" w14:textId="77777777" w:rsidR="00F56185" w:rsidRPr="00F56185" w:rsidRDefault="00F56185" w:rsidP="00F56185">
            <w:pPr>
              <w:spacing w:after="0" w:line="240" w:lineRule="auto"/>
              <w:jc w:val="right"/>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6,82%</w:t>
            </w:r>
          </w:p>
        </w:tc>
        <w:tc>
          <w:tcPr>
            <w:tcW w:w="198" w:type="dxa"/>
            <w:tcBorders>
              <w:top w:val="nil"/>
              <w:left w:val="nil"/>
              <w:bottom w:val="nil"/>
              <w:right w:val="nil"/>
            </w:tcBorders>
            <w:shd w:val="clear" w:color="auto" w:fill="auto"/>
            <w:noWrap/>
            <w:vAlign w:val="bottom"/>
            <w:hideMark/>
          </w:tcPr>
          <w:p w14:paraId="046DD6CA" w14:textId="77777777" w:rsidR="00F56185" w:rsidRPr="00F56185" w:rsidRDefault="00F56185" w:rsidP="00F56185">
            <w:pPr>
              <w:spacing w:after="0" w:line="240" w:lineRule="auto"/>
              <w:jc w:val="right"/>
              <w:rPr>
                <w:rFonts w:ascii="Verdana" w:eastAsia="Times New Roman" w:hAnsi="Verdana" w:cs="Calibri"/>
                <w:sz w:val="16"/>
                <w:szCs w:val="16"/>
                <w:lang w:eastAsia="pt-BR"/>
              </w:rPr>
            </w:pPr>
          </w:p>
        </w:tc>
        <w:tc>
          <w:tcPr>
            <w:tcW w:w="1354" w:type="dxa"/>
            <w:tcBorders>
              <w:top w:val="nil"/>
              <w:left w:val="nil"/>
              <w:bottom w:val="nil"/>
              <w:right w:val="nil"/>
            </w:tcBorders>
            <w:shd w:val="clear" w:color="auto" w:fill="auto"/>
            <w:noWrap/>
            <w:vAlign w:val="bottom"/>
            <w:hideMark/>
          </w:tcPr>
          <w:p w14:paraId="04D5A82D" w14:textId="77777777" w:rsidR="00F56185" w:rsidRPr="00F56185" w:rsidRDefault="00F56185" w:rsidP="00F56185">
            <w:pPr>
              <w:spacing w:after="0" w:line="240" w:lineRule="auto"/>
              <w:jc w:val="right"/>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7,01%</w:t>
            </w:r>
          </w:p>
        </w:tc>
        <w:tc>
          <w:tcPr>
            <w:tcW w:w="161" w:type="dxa"/>
            <w:tcBorders>
              <w:top w:val="nil"/>
              <w:left w:val="nil"/>
              <w:bottom w:val="nil"/>
              <w:right w:val="nil"/>
            </w:tcBorders>
            <w:shd w:val="clear" w:color="auto" w:fill="auto"/>
            <w:noWrap/>
            <w:vAlign w:val="bottom"/>
            <w:hideMark/>
          </w:tcPr>
          <w:p w14:paraId="13A180F2" w14:textId="77777777" w:rsidR="00F56185" w:rsidRPr="00F56185" w:rsidRDefault="00F56185" w:rsidP="00F56185">
            <w:pPr>
              <w:spacing w:after="0" w:line="240" w:lineRule="auto"/>
              <w:jc w:val="right"/>
              <w:rPr>
                <w:rFonts w:ascii="Verdana" w:eastAsia="Times New Roman" w:hAnsi="Verdana" w:cs="Calibri"/>
                <w:sz w:val="16"/>
                <w:szCs w:val="16"/>
                <w:lang w:eastAsia="pt-BR"/>
              </w:rPr>
            </w:pPr>
          </w:p>
        </w:tc>
        <w:tc>
          <w:tcPr>
            <w:tcW w:w="1208" w:type="dxa"/>
            <w:tcBorders>
              <w:top w:val="nil"/>
              <w:left w:val="nil"/>
              <w:bottom w:val="nil"/>
              <w:right w:val="nil"/>
            </w:tcBorders>
            <w:shd w:val="clear" w:color="auto" w:fill="auto"/>
            <w:noWrap/>
            <w:vAlign w:val="bottom"/>
            <w:hideMark/>
          </w:tcPr>
          <w:p w14:paraId="35DC790A" w14:textId="77777777" w:rsidR="00F56185" w:rsidRPr="00F56185" w:rsidRDefault="00F56185" w:rsidP="00F56185">
            <w:pPr>
              <w:spacing w:after="0" w:line="240" w:lineRule="auto"/>
              <w:jc w:val="right"/>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8,76%</w:t>
            </w:r>
          </w:p>
        </w:tc>
        <w:tc>
          <w:tcPr>
            <w:tcW w:w="161" w:type="dxa"/>
            <w:tcBorders>
              <w:top w:val="nil"/>
              <w:left w:val="nil"/>
              <w:bottom w:val="nil"/>
              <w:right w:val="nil"/>
            </w:tcBorders>
            <w:shd w:val="clear" w:color="auto" w:fill="auto"/>
            <w:noWrap/>
            <w:vAlign w:val="bottom"/>
            <w:hideMark/>
          </w:tcPr>
          <w:p w14:paraId="661C4627" w14:textId="77777777" w:rsidR="00F56185" w:rsidRPr="00F56185" w:rsidRDefault="00F56185" w:rsidP="00F56185">
            <w:pPr>
              <w:spacing w:after="0" w:line="240" w:lineRule="auto"/>
              <w:jc w:val="right"/>
              <w:rPr>
                <w:rFonts w:ascii="Verdana" w:eastAsia="Times New Roman" w:hAnsi="Verdana" w:cs="Calibri"/>
                <w:sz w:val="16"/>
                <w:szCs w:val="16"/>
                <w:lang w:eastAsia="pt-BR"/>
              </w:rPr>
            </w:pPr>
          </w:p>
        </w:tc>
        <w:tc>
          <w:tcPr>
            <w:tcW w:w="1208" w:type="dxa"/>
            <w:tcBorders>
              <w:top w:val="nil"/>
              <w:left w:val="nil"/>
              <w:bottom w:val="nil"/>
              <w:right w:val="nil"/>
            </w:tcBorders>
            <w:shd w:val="clear" w:color="auto" w:fill="auto"/>
            <w:noWrap/>
            <w:vAlign w:val="bottom"/>
            <w:hideMark/>
          </w:tcPr>
          <w:p w14:paraId="65BC37FB" w14:textId="77777777" w:rsidR="00F56185" w:rsidRPr="00F56185" w:rsidRDefault="00F56185" w:rsidP="00F56185">
            <w:pPr>
              <w:spacing w:after="0" w:line="240" w:lineRule="auto"/>
              <w:jc w:val="right"/>
              <w:rPr>
                <w:rFonts w:ascii="Verdana" w:eastAsia="Times New Roman" w:hAnsi="Verdana" w:cs="Calibri"/>
                <w:sz w:val="16"/>
                <w:szCs w:val="16"/>
                <w:lang w:eastAsia="pt-BR"/>
              </w:rPr>
            </w:pPr>
            <w:r w:rsidRPr="00F56185">
              <w:rPr>
                <w:rFonts w:ascii="Verdana" w:eastAsia="Times New Roman" w:hAnsi="Verdana" w:cs="Calibri"/>
                <w:sz w:val="16"/>
                <w:szCs w:val="16"/>
                <w:lang w:eastAsia="pt-BR"/>
              </w:rPr>
              <w:t>10,52%</w:t>
            </w:r>
          </w:p>
        </w:tc>
      </w:tr>
    </w:tbl>
    <w:p w14:paraId="5DAD8574" w14:textId="77777777" w:rsidR="00182CB9" w:rsidRDefault="00182CB9" w:rsidP="00182CB9">
      <w:pPr>
        <w:pStyle w:val="Default"/>
        <w:jc w:val="both"/>
        <w:rPr>
          <w:rFonts w:eastAsiaTheme="minorHAnsi" w:cstheme="minorHAnsi"/>
          <w:b/>
          <w:bCs/>
          <w:color w:val="auto"/>
          <w:sz w:val="22"/>
          <w:szCs w:val="22"/>
          <w:lang w:eastAsia="en-US"/>
        </w:rPr>
      </w:pPr>
    </w:p>
    <w:p w14:paraId="64E5AC86" w14:textId="77777777" w:rsidR="00DB59B8" w:rsidRPr="00F7132F" w:rsidRDefault="00AD7DA9" w:rsidP="005C2926">
      <w:pPr>
        <w:pStyle w:val="Default"/>
        <w:spacing w:after="160"/>
        <w:jc w:val="both"/>
        <w:rPr>
          <w:rFonts w:eastAsiaTheme="minorHAnsi" w:cstheme="minorHAnsi"/>
          <w:b/>
          <w:bCs/>
          <w:color w:val="auto"/>
          <w:sz w:val="22"/>
          <w:szCs w:val="22"/>
          <w:lang w:eastAsia="en-US"/>
        </w:rPr>
      </w:pPr>
      <w:r w:rsidRPr="00F7132F">
        <w:rPr>
          <w:rFonts w:eastAsiaTheme="minorHAnsi" w:cstheme="minorHAnsi"/>
          <w:b/>
          <w:bCs/>
          <w:color w:val="auto"/>
          <w:sz w:val="22"/>
          <w:szCs w:val="22"/>
          <w:lang w:eastAsia="en-US"/>
        </w:rPr>
        <w:t>30</w:t>
      </w:r>
      <w:r w:rsidR="00DB59B8" w:rsidRPr="00F7132F">
        <w:rPr>
          <w:rFonts w:eastAsiaTheme="minorHAnsi" w:cstheme="minorHAnsi"/>
          <w:b/>
          <w:bCs/>
          <w:color w:val="auto"/>
          <w:sz w:val="22"/>
          <w:szCs w:val="22"/>
          <w:lang w:eastAsia="en-US"/>
        </w:rPr>
        <w:t>.3.3 - Risco de crédito</w:t>
      </w:r>
      <w:r w:rsidR="00DB59B8" w:rsidRPr="00F7132F">
        <w:rPr>
          <w:rFonts w:eastAsiaTheme="minorHAnsi" w:cstheme="minorHAnsi"/>
          <w:b/>
          <w:bCs/>
          <w:color w:val="auto"/>
          <w:sz w:val="22"/>
          <w:szCs w:val="22"/>
          <w:lang w:eastAsia="en-US"/>
        </w:rPr>
        <w:tab/>
      </w:r>
      <w:r w:rsidR="00DB59B8" w:rsidRPr="00F7132F">
        <w:rPr>
          <w:rFonts w:eastAsiaTheme="minorHAnsi" w:cstheme="minorHAnsi"/>
          <w:b/>
          <w:bCs/>
          <w:color w:val="auto"/>
          <w:sz w:val="22"/>
          <w:szCs w:val="22"/>
          <w:lang w:eastAsia="en-US"/>
        </w:rPr>
        <w:tab/>
      </w:r>
    </w:p>
    <w:p w14:paraId="5A187FDF" w14:textId="77777777" w:rsidR="00DB59B8" w:rsidRPr="00C11BC9" w:rsidRDefault="00DB59B8" w:rsidP="005C2926">
      <w:pPr>
        <w:jc w:val="both"/>
        <w:rPr>
          <w:rFonts w:ascii="Verdana" w:hAnsi="Verdana" w:cstheme="minorHAnsi"/>
        </w:rPr>
      </w:pPr>
      <w:r w:rsidRPr="00116729">
        <w:rPr>
          <w:rFonts w:ascii="Verdana" w:hAnsi="Verdana" w:cstheme="minorHAnsi"/>
        </w:rPr>
        <w:t xml:space="preserve">Risco de crédito é o risco de a Companhia incorrer em perdas financeiras decorrentes de um cliente ou de uma contraparte em um instrumento financeiro que falhe ao cumprir com suas obrigações contratuais. Esse risco é principalmente proveniente </w:t>
      </w:r>
      <w:r w:rsidRPr="00C11BC9">
        <w:rPr>
          <w:rFonts w:ascii="Verdana" w:hAnsi="Verdana" w:cstheme="minorHAnsi"/>
        </w:rPr>
        <w:t>das contas a receber de clientes e instrumentos financeiros da Companhia. O valor contábil dos ativos financeiros representa a exposição máxima do crédito.</w:t>
      </w:r>
    </w:p>
    <w:p w14:paraId="78EE7D21" w14:textId="77777777" w:rsidR="00DB59B8" w:rsidRPr="00C11BC9" w:rsidRDefault="00DB59B8" w:rsidP="005C2926">
      <w:pPr>
        <w:jc w:val="both"/>
        <w:rPr>
          <w:rFonts w:ascii="Verdana" w:hAnsi="Verdana" w:cstheme="minorHAnsi"/>
        </w:rPr>
      </w:pPr>
      <w:r w:rsidRPr="00C11BC9">
        <w:rPr>
          <w:rFonts w:ascii="Verdana" w:hAnsi="Verdana" w:cstheme="minorHAnsi"/>
        </w:rPr>
        <w:t xml:space="preserve">Conforme </w:t>
      </w:r>
      <w:r w:rsidRPr="008361CF">
        <w:rPr>
          <w:rFonts w:ascii="Verdana" w:hAnsi="Verdana" w:cstheme="minorHAnsi"/>
        </w:rPr>
        <w:t xml:space="preserve">descrito na </w:t>
      </w:r>
      <w:r w:rsidRPr="004D3063">
        <w:rPr>
          <w:rFonts w:ascii="Verdana" w:hAnsi="Verdana" w:cstheme="minorHAnsi"/>
        </w:rPr>
        <w:t>nota 1</w:t>
      </w:r>
      <w:r w:rsidRPr="008361CF">
        <w:rPr>
          <w:rFonts w:ascii="Verdana" w:hAnsi="Verdana" w:cstheme="minorHAnsi"/>
        </w:rPr>
        <w:t xml:space="preserve">, a </w:t>
      </w:r>
      <w:r w:rsidR="00397D36" w:rsidRPr="008361CF">
        <w:rPr>
          <w:rFonts w:ascii="Verdana" w:hAnsi="Verdana" w:cstheme="minorHAnsi"/>
        </w:rPr>
        <w:t>controlada Eletronuclear</w:t>
      </w:r>
      <w:r w:rsidRPr="008361CF">
        <w:rPr>
          <w:rFonts w:ascii="Verdana" w:hAnsi="Verdana" w:cstheme="minorHAnsi"/>
        </w:rPr>
        <w:t xml:space="preserve"> tem a totalidade da sua geração de energia elétrica a partir</w:t>
      </w:r>
      <w:r w:rsidRPr="00C11BC9">
        <w:rPr>
          <w:rFonts w:ascii="Verdana" w:hAnsi="Verdana" w:cstheme="minorHAnsi"/>
        </w:rPr>
        <w:t xml:space="preserve"> de janeiro de 2013 comercializada através da Câmara de Comercialização de Energia Elétrica - CCEE, com todas as distribuidoras do Sistema Interligado Nacional - SIN.</w:t>
      </w:r>
    </w:p>
    <w:p w14:paraId="70434323" w14:textId="77777777" w:rsidR="00DB59B8" w:rsidRPr="00C11BC9" w:rsidRDefault="00DB59B8" w:rsidP="005C2926">
      <w:pPr>
        <w:jc w:val="both"/>
        <w:rPr>
          <w:rFonts w:ascii="Verdana" w:hAnsi="Verdana" w:cstheme="minorHAnsi"/>
        </w:rPr>
      </w:pPr>
      <w:r w:rsidRPr="00C11BC9">
        <w:rPr>
          <w:rFonts w:ascii="Verdana" w:hAnsi="Verdana" w:cstheme="minorHAnsi"/>
        </w:rPr>
        <w:t xml:space="preserve">A Resolução Normativa nº 1.009, de 22 de março de 2022, evidencia que, apesar de o faturamento ser repassado pela CCEE, o risco de crédito final é da </w:t>
      </w:r>
      <w:r w:rsidR="00397D36" w:rsidRPr="00C11BC9">
        <w:rPr>
          <w:rFonts w:ascii="Verdana" w:hAnsi="Verdana" w:cstheme="minorHAnsi"/>
        </w:rPr>
        <w:t>controlada Eletronuclear</w:t>
      </w:r>
      <w:r w:rsidRPr="00C11BC9">
        <w:rPr>
          <w:rFonts w:ascii="Verdana" w:hAnsi="Verdana" w:cstheme="minorHAnsi"/>
        </w:rPr>
        <w:t xml:space="preserve">. </w:t>
      </w:r>
    </w:p>
    <w:p w14:paraId="5F738222" w14:textId="77777777" w:rsidR="00DB59B8" w:rsidRPr="00C11BC9" w:rsidRDefault="00DB59B8" w:rsidP="005C2926">
      <w:pPr>
        <w:jc w:val="both"/>
        <w:rPr>
          <w:rFonts w:ascii="Verdana" w:hAnsi="Verdana" w:cstheme="minorHAnsi"/>
        </w:rPr>
      </w:pPr>
      <w:r w:rsidRPr="00C11BC9">
        <w:rPr>
          <w:rFonts w:ascii="Verdana" w:hAnsi="Verdana" w:cstheme="minorHAnsi"/>
        </w:rPr>
        <w:t xml:space="preserve">Dessa forma, a </w:t>
      </w:r>
      <w:r w:rsidR="00397D36" w:rsidRPr="00C11BC9">
        <w:rPr>
          <w:rFonts w:ascii="Verdana" w:hAnsi="Verdana" w:cstheme="minorHAnsi"/>
        </w:rPr>
        <w:t>controlada Eletronuclear</w:t>
      </w:r>
      <w:r w:rsidRPr="00C11BC9">
        <w:rPr>
          <w:rFonts w:ascii="Verdana" w:hAnsi="Verdana" w:cstheme="minorHAnsi"/>
        </w:rPr>
        <w:t xml:space="preserve"> monitora constantemente os possíveis efeitos e a eventual necessidade de contratação de instrumentos de proteção. </w:t>
      </w:r>
    </w:p>
    <w:p w14:paraId="6D544C42" w14:textId="77777777" w:rsidR="001A3CF3" w:rsidRPr="004A1E74" w:rsidRDefault="00DB59B8" w:rsidP="00F7132F">
      <w:pPr>
        <w:jc w:val="both"/>
        <w:rPr>
          <w:rFonts w:ascii="Verdana" w:hAnsi="Verdana" w:cstheme="minorHAnsi"/>
          <w:noProof/>
          <w:lang w:eastAsia="pt-BR"/>
        </w:rPr>
      </w:pPr>
      <w:r w:rsidRPr="00C11BC9">
        <w:rPr>
          <w:rFonts w:ascii="Verdana" w:hAnsi="Verdana" w:cstheme="minorHAnsi"/>
        </w:rPr>
        <w:t>Abaixo, apresentamos as principais contas sujeitas a risco de crédito:</w:t>
      </w:r>
    </w:p>
    <w:tbl>
      <w:tblPr>
        <w:tblW w:w="9310" w:type="dxa"/>
        <w:tblCellMar>
          <w:left w:w="70" w:type="dxa"/>
          <w:right w:w="70" w:type="dxa"/>
        </w:tblCellMar>
        <w:tblLook w:val="04A0" w:firstRow="1" w:lastRow="0" w:firstColumn="1" w:lastColumn="0" w:noHBand="0" w:noVBand="1"/>
      </w:tblPr>
      <w:tblGrid>
        <w:gridCol w:w="4976"/>
        <w:gridCol w:w="237"/>
        <w:gridCol w:w="1930"/>
        <w:gridCol w:w="237"/>
        <w:gridCol w:w="1930"/>
      </w:tblGrid>
      <w:tr w:rsidR="001A3CF3" w:rsidRPr="001A3CF3" w14:paraId="125DF9C0" w14:textId="77777777" w:rsidTr="00F7132F">
        <w:trPr>
          <w:trHeight w:val="23"/>
        </w:trPr>
        <w:tc>
          <w:tcPr>
            <w:tcW w:w="4976" w:type="dxa"/>
            <w:tcBorders>
              <w:top w:val="nil"/>
              <w:left w:val="nil"/>
              <w:bottom w:val="nil"/>
              <w:right w:val="nil"/>
            </w:tcBorders>
            <w:shd w:val="clear" w:color="auto" w:fill="auto"/>
            <w:noWrap/>
            <w:vAlign w:val="bottom"/>
            <w:hideMark/>
          </w:tcPr>
          <w:p w14:paraId="55FE6E1F" w14:textId="77777777" w:rsidR="001A3CF3" w:rsidRPr="001A3CF3" w:rsidRDefault="001A3CF3" w:rsidP="001A3CF3">
            <w:pPr>
              <w:spacing w:after="0" w:line="240" w:lineRule="auto"/>
              <w:rPr>
                <w:rFonts w:ascii="Times New Roman" w:eastAsia="Times New Roman" w:hAnsi="Times New Roman" w:cs="Times New Roman"/>
                <w:sz w:val="24"/>
                <w:szCs w:val="24"/>
                <w:lang w:eastAsia="pt-BR"/>
              </w:rPr>
            </w:pPr>
          </w:p>
        </w:tc>
        <w:tc>
          <w:tcPr>
            <w:tcW w:w="237" w:type="dxa"/>
            <w:tcBorders>
              <w:top w:val="nil"/>
              <w:left w:val="nil"/>
              <w:bottom w:val="nil"/>
              <w:right w:val="nil"/>
            </w:tcBorders>
            <w:shd w:val="clear" w:color="auto" w:fill="auto"/>
            <w:noWrap/>
            <w:vAlign w:val="bottom"/>
            <w:hideMark/>
          </w:tcPr>
          <w:p w14:paraId="1CD375B4" w14:textId="77777777" w:rsidR="001A3CF3" w:rsidRPr="001A3CF3" w:rsidRDefault="001A3CF3" w:rsidP="001A3CF3">
            <w:pPr>
              <w:spacing w:after="0" w:line="240" w:lineRule="auto"/>
              <w:rPr>
                <w:rFonts w:ascii="Times New Roman" w:eastAsia="Times New Roman" w:hAnsi="Times New Roman" w:cs="Times New Roman"/>
                <w:sz w:val="20"/>
                <w:szCs w:val="20"/>
                <w:lang w:eastAsia="pt-BR"/>
              </w:rPr>
            </w:pPr>
          </w:p>
        </w:tc>
        <w:tc>
          <w:tcPr>
            <w:tcW w:w="1930" w:type="dxa"/>
            <w:tcBorders>
              <w:top w:val="nil"/>
              <w:left w:val="nil"/>
              <w:bottom w:val="single" w:sz="4" w:space="0" w:color="auto"/>
              <w:right w:val="nil"/>
            </w:tcBorders>
            <w:shd w:val="clear" w:color="auto" w:fill="auto"/>
            <w:noWrap/>
            <w:vAlign w:val="bottom"/>
            <w:hideMark/>
          </w:tcPr>
          <w:p w14:paraId="77573714" w14:textId="77777777" w:rsidR="001A3CF3" w:rsidRPr="001A3CF3" w:rsidRDefault="001A3CF3" w:rsidP="001A3CF3">
            <w:pPr>
              <w:spacing w:after="0" w:line="240" w:lineRule="auto"/>
              <w:jc w:val="center"/>
              <w:rPr>
                <w:rFonts w:ascii="Verdana" w:eastAsia="Times New Roman" w:hAnsi="Verdana" w:cs="Calibri"/>
                <w:b/>
                <w:bCs/>
                <w:color w:val="000000"/>
                <w:sz w:val="18"/>
                <w:szCs w:val="18"/>
                <w:lang w:eastAsia="pt-BR"/>
              </w:rPr>
            </w:pPr>
            <w:r w:rsidRPr="001A3CF3">
              <w:rPr>
                <w:rFonts w:ascii="Verdana" w:eastAsia="Times New Roman" w:hAnsi="Verdana" w:cs="Calibri"/>
                <w:b/>
                <w:bCs/>
                <w:color w:val="000000"/>
                <w:sz w:val="18"/>
                <w:szCs w:val="18"/>
                <w:lang w:eastAsia="pt-BR"/>
              </w:rPr>
              <w:t>Controladora</w:t>
            </w:r>
          </w:p>
        </w:tc>
        <w:tc>
          <w:tcPr>
            <w:tcW w:w="237" w:type="dxa"/>
            <w:tcBorders>
              <w:top w:val="nil"/>
              <w:left w:val="nil"/>
              <w:bottom w:val="nil"/>
              <w:right w:val="nil"/>
            </w:tcBorders>
            <w:shd w:val="clear" w:color="auto" w:fill="auto"/>
            <w:noWrap/>
            <w:vAlign w:val="bottom"/>
            <w:hideMark/>
          </w:tcPr>
          <w:p w14:paraId="67E8FF69" w14:textId="77777777" w:rsidR="001A3CF3" w:rsidRPr="001A3CF3" w:rsidRDefault="001A3CF3" w:rsidP="001A3CF3">
            <w:pPr>
              <w:spacing w:after="0" w:line="240" w:lineRule="auto"/>
              <w:jc w:val="center"/>
              <w:rPr>
                <w:rFonts w:ascii="Verdana" w:eastAsia="Times New Roman" w:hAnsi="Verdana" w:cs="Calibri"/>
                <w:b/>
                <w:bCs/>
                <w:color w:val="000000"/>
                <w:sz w:val="18"/>
                <w:szCs w:val="18"/>
                <w:lang w:eastAsia="pt-BR"/>
              </w:rPr>
            </w:pPr>
          </w:p>
        </w:tc>
        <w:tc>
          <w:tcPr>
            <w:tcW w:w="1930" w:type="dxa"/>
            <w:tcBorders>
              <w:top w:val="nil"/>
              <w:left w:val="nil"/>
              <w:bottom w:val="single" w:sz="4" w:space="0" w:color="auto"/>
              <w:right w:val="nil"/>
            </w:tcBorders>
            <w:shd w:val="clear" w:color="auto" w:fill="auto"/>
            <w:noWrap/>
            <w:vAlign w:val="bottom"/>
            <w:hideMark/>
          </w:tcPr>
          <w:p w14:paraId="709B56CD" w14:textId="77777777" w:rsidR="001A3CF3" w:rsidRPr="001A3CF3" w:rsidRDefault="001A3CF3" w:rsidP="001A3CF3">
            <w:pPr>
              <w:spacing w:after="0" w:line="240" w:lineRule="auto"/>
              <w:jc w:val="center"/>
              <w:rPr>
                <w:rFonts w:ascii="Verdana" w:eastAsia="Times New Roman" w:hAnsi="Verdana" w:cs="Calibri"/>
                <w:b/>
                <w:bCs/>
                <w:color w:val="000000"/>
                <w:sz w:val="18"/>
                <w:szCs w:val="18"/>
                <w:lang w:eastAsia="pt-BR"/>
              </w:rPr>
            </w:pPr>
            <w:r w:rsidRPr="001A3CF3">
              <w:rPr>
                <w:rFonts w:ascii="Verdana" w:eastAsia="Times New Roman" w:hAnsi="Verdana" w:cs="Calibri"/>
                <w:b/>
                <w:bCs/>
                <w:color w:val="000000"/>
                <w:sz w:val="18"/>
                <w:szCs w:val="18"/>
                <w:lang w:eastAsia="pt-BR"/>
              </w:rPr>
              <w:t>Consolidado</w:t>
            </w:r>
          </w:p>
        </w:tc>
      </w:tr>
      <w:tr w:rsidR="001A3CF3" w:rsidRPr="001A3CF3" w14:paraId="09A0757A" w14:textId="77777777" w:rsidTr="00F7132F">
        <w:trPr>
          <w:trHeight w:val="23"/>
        </w:trPr>
        <w:tc>
          <w:tcPr>
            <w:tcW w:w="4976" w:type="dxa"/>
            <w:tcBorders>
              <w:top w:val="nil"/>
              <w:left w:val="nil"/>
              <w:bottom w:val="nil"/>
              <w:right w:val="nil"/>
            </w:tcBorders>
            <w:shd w:val="clear" w:color="auto" w:fill="auto"/>
            <w:noWrap/>
            <w:vAlign w:val="center"/>
            <w:hideMark/>
          </w:tcPr>
          <w:p w14:paraId="3A42F738" w14:textId="77777777" w:rsidR="001A3CF3" w:rsidRPr="001A3CF3" w:rsidRDefault="001A3CF3" w:rsidP="001A3CF3">
            <w:pPr>
              <w:spacing w:after="0" w:line="240" w:lineRule="auto"/>
              <w:jc w:val="center"/>
              <w:rPr>
                <w:rFonts w:ascii="Verdana" w:eastAsia="Times New Roman" w:hAnsi="Verdana" w:cs="Calibri"/>
                <w:b/>
                <w:bCs/>
                <w:color w:val="000000"/>
                <w:sz w:val="18"/>
                <w:szCs w:val="18"/>
                <w:lang w:eastAsia="pt-BR"/>
              </w:rPr>
            </w:pPr>
          </w:p>
        </w:tc>
        <w:tc>
          <w:tcPr>
            <w:tcW w:w="237" w:type="dxa"/>
            <w:tcBorders>
              <w:top w:val="nil"/>
              <w:left w:val="nil"/>
              <w:bottom w:val="nil"/>
              <w:right w:val="nil"/>
            </w:tcBorders>
            <w:shd w:val="clear" w:color="auto" w:fill="auto"/>
            <w:noWrap/>
            <w:vAlign w:val="center"/>
            <w:hideMark/>
          </w:tcPr>
          <w:p w14:paraId="3612E939" w14:textId="77777777" w:rsidR="001A3CF3" w:rsidRPr="001A3CF3" w:rsidRDefault="001A3CF3" w:rsidP="001A3CF3">
            <w:pPr>
              <w:spacing w:after="0" w:line="240" w:lineRule="auto"/>
              <w:rPr>
                <w:rFonts w:ascii="Times New Roman" w:eastAsia="Times New Roman" w:hAnsi="Times New Roman" w:cs="Times New Roman"/>
                <w:sz w:val="20"/>
                <w:szCs w:val="20"/>
                <w:lang w:eastAsia="pt-BR"/>
              </w:rPr>
            </w:pPr>
          </w:p>
        </w:tc>
        <w:tc>
          <w:tcPr>
            <w:tcW w:w="1930" w:type="dxa"/>
            <w:tcBorders>
              <w:top w:val="nil"/>
              <w:left w:val="nil"/>
              <w:bottom w:val="single" w:sz="4" w:space="0" w:color="auto"/>
              <w:right w:val="nil"/>
            </w:tcBorders>
            <w:shd w:val="clear" w:color="auto" w:fill="auto"/>
            <w:noWrap/>
            <w:vAlign w:val="center"/>
            <w:hideMark/>
          </w:tcPr>
          <w:p w14:paraId="0E8A0D4C" w14:textId="77777777" w:rsidR="001A3CF3" w:rsidRPr="001A3CF3" w:rsidRDefault="001A3CF3" w:rsidP="001A3CF3">
            <w:pPr>
              <w:spacing w:after="0" w:line="240" w:lineRule="auto"/>
              <w:jc w:val="center"/>
              <w:rPr>
                <w:rFonts w:ascii="Verdana" w:eastAsia="Times New Roman" w:hAnsi="Verdana" w:cs="Calibri"/>
                <w:b/>
                <w:bCs/>
                <w:color w:val="000000"/>
                <w:sz w:val="18"/>
                <w:szCs w:val="18"/>
                <w:lang w:eastAsia="pt-BR"/>
              </w:rPr>
            </w:pPr>
            <w:r w:rsidRPr="001A3CF3">
              <w:rPr>
                <w:rFonts w:ascii="Verdana" w:eastAsia="Times New Roman" w:hAnsi="Verdana" w:cs="Calibri"/>
                <w:b/>
                <w:bCs/>
                <w:color w:val="000000"/>
                <w:sz w:val="18"/>
                <w:szCs w:val="18"/>
                <w:lang w:eastAsia="pt-BR"/>
              </w:rPr>
              <w:t>30/06/2022</w:t>
            </w:r>
          </w:p>
        </w:tc>
        <w:tc>
          <w:tcPr>
            <w:tcW w:w="237" w:type="dxa"/>
            <w:tcBorders>
              <w:top w:val="nil"/>
              <w:left w:val="nil"/>
              <w:bottom w:val="nil"/>
              <w:right w:val="nil"/>
            </w:tcBorders>
            <w:shd w:val="clear" w:color="auto" w:fill="auto"/>
            <w:noWrap/>
            <w:vAlign w:val="center"/>
            <w:hideMark/>
          </w:tcPr>
          <w:p w14:paraId="612CCB10" w14:textId="77777777" w:rsidR="001A3CF3" w:rsidRPr="001A3CF3" w:rsidRDefault="001A3CF3" w:rsidP="001A3CF3">
            <w:pPr>
              <w:spacing w:after="0" w:line="240" w:lineRule="auto"/>
              <w:jc w:val="center"/>
              <w:rPr>
                <w:rFonts w:ascii="Verdana" w:eastAsia="Times New Roman" w:hAnsi="Verdana" w:cs="Calibri"/>
                <w:b/>
                <w:bCs/>
                <w:color w:val="000000"/>
                <w:sz w:val="18"/>
                <w:szCs w:val="18"/>
                <w:lang w:eastAsia="pt-BR"/>
              </w:rPr>
            </w:pPr>
          </w:p>
        </w:tc>
        <w:tc>
          <w:tcPr>
            <w:tcW w:w="1930" w:type="dxa"/>
            <w:tcBorders>
              <w:top w:val="nil"/>
              <w:left w:val="nil"/>
              <w:bottom w:val="single" w:sz="4" w:space="0" w:color="auto"/>
              <w:right w:val="nil"/>
            </w:tcBorders>
            <w:shd w:val="clear" w:color="auto" w:fill="auto"/>
            <w:noWrap/>
            <w:vAlign w:val="center"/>
            <w:hideMark/>
          </w:tcPr>
          <w:p w14:paraId="0E771655" w14:textId="77777777" w:rsidR="001A3CF3" w:rsidRPr="001A3CF3" w:rsidRDefault="001A3CF3" w:rsidP="001A3CF3">
            <w:pPr>
              <w:spacing w:after="0" w:line="240" w:lineRule="auto"/>
              <w:jc w:val="center"/>
              <w:rPr>
                <w:rFonts w:ascii="Verdana" w:eastAsia="Times New Roman" w:hAnsi="Verdana" w:cs="Calibri"/>
                <w:b/>
                <w:bCs/>
                <w:color w:val="000000"/>
                <w:sz w:val="18"/>
                <w:szCs w:val="18"/>
                <w:lang w:eastAsia="pt-BR"/>
              </w:rPr>
            </w:pPr>
            <w:r w:rsidRPr="001A3CF3">
              <w:rPr>
                <w:rFonts w:ascii="Verdana" w:eastAsia="Times New Roman" w:hAnsi="Verdana" w:cs="Calibri"/>
                <w:b/>
                <w:bCs/>
                <w:color w:val="000000"/>
                <w:sz w:val="18"/>
                <w:szCs w:val="18"/>
                <w:lang w:eastAsia="pt-BR"/>
              </w:rPr>
              <w:t>30/06/2022</w:t>
            </w:r>
          </w:p>
        </w:tc>
      </w:tr>
      <w:tr w:rsidR="001A3CF3" w:rsidRPr="001A3CF3" w14:paraId="7C220DE1" w14:textId="77777777" w:rsidTr="00F7132F">
        <w:trPr>
          <w:trHeight w:val="23"/>
        </w:trPr>
        <w:tc>
          <w:tcPr>
            <w:tcW w:w="4976" w:type="dxa"/>
            <w:tcBorders>
              <w:top w:val="nil"/>
              <w:left w:val="nil"/>
              <w:bottom w:val="nil"/>
              <w:right w:val="nil"/>
            </w:tcBorders>
            <w:shd w:val="clear" w:color="auto" w:fill="auto"/>
            <w:noWrap/>
            <w:vAlign w:val="center"/>
            <w:hideMark/>
          </w:tcPr>
          <w:p w14:paraId="6BC77E71" w14:textId="77777777" w:rsidR="001A3CF3" w:rsidRPr="001A3CF3" w:rsidRDefault="001A3CF3" w:rsidP="001A3CF3">
            <w:pPr>
              <w:spacing w:after="0" w:line="240" w:lineRule="auto"/>
              <w:rPr>
                <w:rFonts w:ascii="Verdana" w:eastAsia="Times New Roman" w:hAnsi="Verdana" w:cs="Calibri"/>
                <w:color w:val="000000"/>
                <w:sz w:val="18"/>
                <w:szCs w:val="18"/>
                <w:lang w:eastAsia="pt-BR"/>
              </w:rPr>
            </w:pPr>
            <w:r w:rsidRPr="001A3CF3">
              <w:rPr>
                <w:rFonts w:ascii="Verdana" w:eastAsia="Times New Roman" w:hAnsi="Verdana" w:cs="Calibri"/>
                <w:color w:val="000000"/>
                <w:sz w:val="18"/>
                <w:szCs w:val="18"/>
                <w:lang w:eastAsia="pt-BR"/>
              </w:rPr>
              <w:t>Caixa e equivalentes de caixa</w:t>
            </w:r>
          </w:p>
        </w:tc>
        <w:tc>
          <w:tcPr>
            <w:tcW w:w="237" w:type="dxa"/>
            <w:tcBorders>
              <w:top w:val="nil"/>
              <w:left w:val="nil"/>
              <w:bottom w:val="nil"/>
              <w:right w:val="nil"/>
            </w:tcBorders>
            <w:shd w:val="clear" w:color="auto" w:fill="auto"/>
            <w:noWrap/>
            <w:vAlign w:val="center"/>
            <w:hideMark/>
          </w:tcPr>
          <w:p w14:paraId="5F4AACEF" w14:textId="77777777" w:rsidR="001A3CF3" w:rsidRPr="001A3CF3" w:rsidRDefault="001A3CF3" w:rsidP="001A3CF3">
            <w:pPr>
              <w:spacing w:after="0" w:line="240" w:lineRule="auto"/>
              <w:rPr>
                <w:rFonts w:ascii="Verdana" w:eastAsia="Times New Roman" w:hAnsi="Verdana" w:cs="Calibri"/>
                <w:color w:val="000000"/>
                <w:sz w:val="18"/>
                <w:szCs w:val="18"/>
                <w:lang w:eastAsia="pt-BR"/>
              </w:rPr>
            </w:pPr>
            <w:r w:rsidRPr="001A3CF3">
              <w:rPr>
                <w:rFonts w:ascii="Verdana" w:eastAsia="Times New Roman" w:hAnsi="Verdana" w:cs="Calibri"/>
                <w:color w:val="000000"/>
                <w:sz w:val="18"/>
                <w:szCs w:val="18"/>
                <w:lang w:eastAsia="pt-BR"/>
              </w:rPr>
              <w:t> </w:t>
            </w:r>
          </w:p>
        </w:tc>
        <w:tc>
          <w:tcPr>
            <w:tcW w:w="1930" w:type="dxa"/>
            <w:tcBorders>
              <w:top w:val="nil"/>
              <w:left w:val="nil"/>
              <w:bottom w:val="nil"/>
              <w:right w:val="nil"/>
            </w:tcBorders>
            <w:shd w:val="clear" w:color="auto" w:fill="auto"/>
            <w:noWrap/>
            <w:vAlign w:val="center"/>
            <w:hideMark/>
          </w:tcPr>
          <w:p w14:paraId="4ED93EA4" w14:textId="77777777" w:rsidR="001A3CF3" w:rsidRPr="001A3CF3" w:rsidRDefault="001A3CF3" w:rsidP="001A3CF3">
            <w:pPr>
              <w:spacing w:after="0" w:line="240" w:lineRule="auto"/>
              <w:jc w:val="right"/>
              <w:rPr>
                <w:rFonts w:ascii="Verdana" w:eastAsia="Times New Roman" w:hAnsi="Verdana" w:cs="Calibri"/>
                <w:color w:val="000000"/>
                <w:sz w:val="18"/>
                <w:szCs w:val="18"/>
                <w:lang w:eastAsia="pt-BR"/>
              </w:rPr>
            </w:pPr>
            <w:r w:rsidRPr="001A3CF3">
              <w:rPr>
                <w:rFonts w:ascii="Verdana" w:eastAsia="Times New Roman" w:hAnsi="Verdana" w:cs="Calibri"/>
                <w:color w:val="000000"/>
                <w:sz w:val="18"/>
                <w:szCs w:val="18"/>
                <w:lang w:eastAsia="pt-BR"/>
              </w:rPr>
              <w:t xml:space="preserve">            596.318 </w:t>
            </w:r>
          </w:p>
        </w:tc>
        <w:tc>
          <w:tcPr>
            <w:tcW w:w="237" w:type="dxa"/>
            <w:tcBorders>
              <w:top w:val="nil"/>
              <w:left w:val="nil"/>
              <w:bottom w:val="nil"/>
              <w:right w:val="nil"/>
            </w:tcBorders>
            <w:shd w:val="clear" w:color="auto" w:fill="auto"/>
            <w:noWrap/>
            <w:vAlign w:val="center"/>
            <w:hideMark/>
          </w:tcPr>
          <w:p w14:paraId="7F44F00B" w14:textId="77777777" w:rsidR="001A3CF3" w:rsidRPr="001A3CF3" w:rsidRDefault="001A3CF3" w:rsidP="001A3CF3">
            <w:pPr>
              <w:spacing w:after="0" w:line="240" w:lineRule="auto"/>
              <w:rPr>
                <w:rFonts w:ascii="Verdana" w:eastAsia="Times New Roman" w:hAnsi="Verdana" w:cs="Calibri"/>
                <w:color w:val="000000"/>
                <w:sz w:val="18"/>
                <w:szCs w:val="18"/>
                <w:lang w:eastAsia="pt-BR"/>
              </w:rPr>
            </w:pPr>
            <w:r w:rsidRPr="001A3CF3">
              <w:rPr>
                <w:rFonts w:ascii="Verdana" w:eastAsia="Times New Roman" w:hAnsi="Verdana" w:cs="Calibri"/>
                <w:color w:val="000000"/>
                <w:sz w:val="18"/>
                <w:szCs w:val="18"/>
                <w:lang w:eastAsia="pt-BR"/>
              </w:rPr>
              <w:t> </w:t>
            </w:r>
          </w:p>
        </w:tc>
        <w:tc>
          <w:tcPr>
            <w:tcW w:w="1930" w:type="dxa"/>
            <w:tcBorders>
              <w:top w:val="nil"/>
              <w:left w:val="nil"/>
              <w:bottom w:val="nil"/>
              <w:right w:val="nil"/>
            </w:tcBorders>
            <w:shd w:val="clear" w:color="auto" w:fill="auto"/>
            <w:noWrap/>
            <w:vAlign w:val="center"/>
            <w:hideMark/>
          </w:tcPr>
          <w:p w14:paraId="12B9C75E" w14:textId="77777777" w:rsidR="001A3CF3" w:rsidRPr="001A3CF3" w:rsidRDefault="001A3CF3" w:rsidP="001A3CF3">
            <w:pPr>
              <w:spacing w:after="0" w:line="240" w:lineRule="auto"/>
              <w:jc w:val="right"/>
              <w:rPr>
                <w:rFonts w:ascii="Verdana" w:eastAsia="Times New Roman" w:hAnsi="Verdana" w:cs="Calibri"/>
                <w:color w:val="000000"/>
                <w:sz w:val="18"/>
                <w:szCs w:val="18"/>
                <w:lang w:eastAsia="pt-BR"/>
              </w:rPr>
            </w:pPr>
            <w:r w:rsidRPr="001A3CF3">
              <w:rPr>
                <w:rFonts w:ascii="Verdana" w:eastAsia="Times New Roman" w:hAnsi="Verdana" w:cs="Calibri"/>
                <w:color w:val="000000"/>
                <w:sz w:val="18"/>
                <w:szCs w:val="18"/>
                <w:lang w:eastAsia="pt-BR"/>
              </w:rPr>
              <w:t xml:space="preserve">            602.928 </w:t>
            </w:r>
          </w:p>
        </w:tc>
      </w:tr>
      <w:tr w:rsidR="001A3CF3" w:rsidRPr="001A3CF3" w14:paraId="6DBD7DF8" w14:textId="77777777" w:rsidTr="00F7132F">
        <w:trPr>
          <w:trHeight w:val="23"/>
        </w:trPr>
        <w:tc>
          <w:tcPr>
            <w:tcW w:w="4976" w:type="dxa"/>
            <w:tcBorders>
              <w:top w:val="nil"/>
              <w:left w:val="nil"/>
              <w:bottom w:val="nil"/>
              <w:right w:val="nil"/>
            </w:tcBorders>
            <w:shd w:val="clear" w:color="auto" w:fill="auto"/>
            <w:noWrap/>
            <w:vAlign w:val="center"/>
            <w:hideMark/>
          </w:tcPr>
          <w:p w14:paraId="417B5B70" w14:textId="77777777" w:rsidR="001A3CF3" w:rsidRPr="001A3CF3" w:rsidRDefault="001A3CF3" w:rsidP="001A3CF3">
            <w:pPr>
              <w:spacing w:after="0" w:line="240" w:lineRule="auto"/>
              <w:rPr>
                <w:rFonts w:ascii="Verdana" w:eastAsia="Times New Roman" w:hAnsi="Verdana" w:cs="Calibri"/>
                <w:color w:val="000000"/>
                <w:sz w:val="18"/>
                <w:szCs w:val="18"/>
                <w:lang w:eastAsia="pt-BR"/>
              </w:rPr>
            </w:pPr>
            <w:r w:rsidRPr="001A3CF3">
              <w:rPr>
                <w:rFonts w:ascii="Verdana" w:eastAsia="Times New Roman" w:hAnsi="Verdana" w:cs="Calibri"/>
                <w:color w:val="000000"/>
                <w:sz w:val="18"/>
                <w:szCs w:val="18"/>
                <w:lang w:eastAsia="pt-BR"/>
              </w:rPr>
              <w:t>Caixa restrito</w:t>
            </w:r>
          </w:p>
        </w:tc>
        <w:tc>
          <w:tcPr>
            <w:tcW w:w="237" w:type="dxa"/>
            <w:tcBorders>
              <w:top w:val="nil"/>
              <w:left w:val="nil"/>
              <w:bottom w:val="nil"/>
              <w:right w:val="nil"/>
            </w:tcBorders>
            <w:shd w:val="clear" w:color="auto" w:fill="auto"/>
            <w:noWrap/>
            <w:vAlign w:val="center"/>
            <w:hideMark/>
          </w:tcPr>
          <w:p w14:paraId="346FA457" w14:textId="77777777" w:rsidR="001A3CF3" w:rsidRPr="001A3CF3" w:rsidRDefault="001A3CF3" w:rsidP="001A3CF3">
            <w:pPr>
              <w:spacing w:after="0" w:line="240" w:lineRule="auto"/>
              <w:rPr>
                <w:rFonts w:ascii="Verdana" w:eastAsia="Times New Roman" w:hAnsi="Verdana" w:cs="Calibri"/>
                <w:color w:val="000000"/>
                <w:sz w:val="18"/>
                <w:szCs w:val="18"/>
                <w:lang w:eastAsia="pt-BR"/>
              </w:rPr>
            </w:pPr>
          </w:p>
        </w:tc>
        <w:tc>
          <w:tcPr>
            <w:tcW w:w="1930" w:type="dxa"/>
            <w:tcBorders>
              <w:top w:val="nil"/>
              <w:left w:val="nil"/>
              <w:bottom w:val="nil"/>
              <w:right w:val="nil"/>
            </w:tcBorders>
            <w:shd w:val="clear" w:color="auto" w:fill="auto"/>
            <w:noWrap/>
            <w:vAlign w:val="center"/>
            <w:hideMark/>
          </w:tcPr>
          <w:p w14:paraId="3A00707A" w14:textId="77777777" w:rsidR="001A3CF3" w:rsidRPr="001A3CF3" w:rsidRDefault="001A3CF3" w:rsidP="001A3CF3">
            <w:pPr>
              <w:spacing w:after="0" w:line="240" w:lineRule="auto"/>
              <w:jc w:val="right"/>
              <w:rPr>
                <w:rFonts w:ascii="Verdana" w:eastAsia="Times New Roman" w:hAnsi="Verdana" w:cs="Calibri"/>
                <w:color w:val="000000"/>
                <w:sz w:val="18"/>
                <w:szCs w:val="18"/>
                <w:lang w:eastAsia="pt-BR"/>
              </w:rPr>
            </w:pPr>
            <w:r w:rsidRPr="001A3CF3">
              <w:rPr>
                <w:rFonts w:ascii="Verdana" w:eastAsia="Times New Roman" w:hAnsi="Verdana" w:cs="Calibri"/>
                <w:color w:val="000000"/>
                <w:sz w:val="18"/>
                <w:szCs w:val="18"/>
                <w:lang w:eastAsia="pt-BR"/>
              </w:rPr>
              <w:t xml:space="preserve">            949.389 </w:t>
            </w:r>
          </w:p>
        </w:tc>
        <w:tc>
          <w:tcPr>
            <w:tcW w:w="237" w:type="dxa"/>
            <w:tcBorders>
              <w:top w:val="nil"/>
              <w:left w:val="nil"/>
              <w:bottom w:val="nil"/>
              <w:right w:val="nil"/>
            </w:tcBorders>
            <w:shd w:val="clear" w:color="auto" w:fill="auto"/>
            <w:noWrap/>
            <w:vAlign w:val="center"/>
            <w:hideMark/>
          </w:tcPr>
          <w:p w14:paraId="3DE7CE1D" w14:textId="77777777" w:rsidR="001A3CF3" w:rsidRPr="001A3CF3" w:rsidRDefault="001A3CF3" w:rsidP="001A3CF3">
            <w:pPr>
              <w:spacing w:after="0" w:line="240" w:lineRule="auto"/>
              <w:jc w:val="right"/>
              <w:rPr>
                <w:rFonts w:ascii="Verdana" w:eastAsia="Times New Roman" w:hAnsi="Verdana" w:cs="Calibri"/>
                <w:color w:val="000000"/>
                <w:sz w:val="18"/>
                <w:szCs w:val="18"/>
                <w:lang w:eastAsia="pt-BR"/>
              </w:rPr>
            </w:pPr>
          </w:p>
        </w:tc>
        <w:tc>
          <w:tcPr>
            <w:tcW w:w="1930" w:type="dxa"/>
            <w:tcBorders>
              <w:top w:val="nil"/>
              <w:left w:val="nil"/>
              <w:bottom w:val="nil"/>
              <w:right w:val="nil"/>
            </w:tcBorders>
            <w:shd w:val="clear" w:color="auto" w:fill="auto"/>
            <w:noWrap/>
            <w:vAlign w:val="center"/>
            <w:hideMark/>
          </w:tcPr>
          <w:p w14:paraId="00DB078E" w14:textId="77777777" w:rsidR="001A3CF3" w:rsidRPr="001A3CF3" w:rsidRDefault="001A3CF3" w:rsidP="001A3CF3">
            <w:pPr>
              <w:spacing w:after="0" w:line="240" w:lineRule="auto"/>
              <w:jc w:val="right"/>
              <w:rPr>
                <w:rFonts w:ascii="Verdana" w:eastAsia="Times New Roman" w:hAnsi="Verdana" w:cs="Calibri"/>
                <w:color w:val="000000"/>
                <w:sz w:val="18"/>
                <w:szCs w:val="18"/>
                <w:lang w:eastAsia="pt-BR"/>
              </w:rPr>
            </w:pPr>
            <w:r w:rsidRPr="001A3CF3">
              <w:rPr>
                <w:rFonts w:ascii="Verdana" w:eastAsia="Times New Roman" w:hAnsi="Verdana" w:cs="Calibri"/>
                <w:color w:val="000000"/>
                <w:sz w:val="18"/>
                <w:szCs w:val="18"/>
                <w:lang w:eastAsia="pt-BR"/>
              </w:rPr>
              <w:t xml:space="preserve">            949.389 </w:t>
            </w:r>
          </w:p>
        </w:tc>
      </w:tr>
      <w:tr w:rsidR="001A3CF3" w:rsidRPr="001A3CF3" w14:paraId="56929DF3" w14:textId="77777777" w:rsidTr="00F7132F">
        <w:trPr>
          <w:trHeight w:val="23"/>
        </w:trPr>
        <w:tc>
          <w:tcPr>
            <w:tcW w:w="4976" w:type="dxa"/>
            <w:tcBorders>
              <w:top w:val="nil"/>
              <w:left w:val="nil"/>
              <w:bottom w:val="nil"/>
              <w:right w:val="nil"/>
            </w:tcBorders>
            <w:shd w:val="clear" w:color="auto" w:fill="auto"/>
            <w:noWrap/>
            <w:vAlign w:val="center"/>
            <w:hideMark/>
          </w:tcPr>
          <w:p w14:paraId="19967375" w14:textId="77777777" w:rsidR="001A3CF3" w:rsidRPr="001A3CF3" w:rsidRDefault="001A3CF3" w:rsidP="001A3CF3">
            <w:pPr>
              <w:spacing w:after="0" w:line="240" w:lineRule="auto"/>
              <w:rPr>
                <w:rFonts w:ascii="Verdana" w:eastAsia="Times New Roman" w:hAnsi="Verdana" w:cs="Calibri"/>
                <w:color w:val="000000"/>
                <w:sz w:val="18"/>
                <w:szCs w:val="18"/>
                <w:lang w:eastAsia="pt-BR"/>
              </w:rPr>
            </w:pPr>
            <w:r w:rsidRPr="001A3CF3">
              <w:rPr>
                <w:rFonts w:ascii="Verdana" w:eastAsia="Times New Roman" w:hAnsi="Verdana" w:cs="Calibri"/>
                <w:color w:val="000000"/>
                <w:sz w:val="18"/>
                <w:szCs w:val="18"/>
                <w:lang w:eastAsia="pt-BR"/>
              </w:rPr>
              <w:t>Clientes</w:t>
            </w:r>
          </w:p>
        </w:tc>
        <w:tc>
          <w:tcPr>
            <w:tcW w:w="237" w:type="dxa"/>
            <w:tcBorders>
              <w:top w:val="nil"/>
              <w:left w:val="nil"/>
              <w:bottom w:val="nil"/>
              <w:right w:val="nil"/>
            </w:tcBorders>
            <w:shd w:val="clear" w:color="auto" w:fill="auto"/>
            <w:noWrap/>
            <w:vAlign w:val="center"/>
            <w:hideMark/>
          </w:tcPr>
          <w:p w14:paraId="3BD7FEC9" w14:textId="77777777" w:rsidR="001A3CF3" w:rsidRPr="001A3CF3" w:rsidRDefault="001A3CF3" w:rsidP="001A3CF3">
            <w:pPr>
              <w:spacing w:after="0" w:line="240" w:lineRule="auto"/>
              <w:rPr>
                <w:rFonts w:ascii="Verdana" w:eastAsia="Times New Roman" w:hAnsi="Verdana" w:cs="Calibri"/>
                <w:color w:val="000000"/>
                <w:sz w:val="18"/>
                <w:szCs w:val="18"/>
                <w:lang w:eastAsia="pt-BR"/>
              </w:rPr>
            </w:pPr>
            <w:r w:rsidRPr="001A3CF3">
              <w:rPr>
                <w:rFonts w:ascii="Verdana" w:eastAsia="Times New Roman" w:hAnsi="Verdana" w:cs="Calibri"/>
                <w:color w:val="000000"/>
                <w:sz w:val="18"/>
                <w:szCs w:val="18"/>
                <w:lang w:eastAsia="pt-BR"/>
              </w:rPr>
              <w:t> </w:t>
            </w:r>
          </w:p>
        </w:tc>
        <w:tc>
          <w:tcPr>
            <w:tcW w:w="1930" w:type="dxa"/>
            <w:tcBorders>
              <w:top w:val="nil"/>
              <w:left w:val="nil"/>
              <w:bottom w:val="nil"/>
              <w:right w:val="nil"/>
            </w:tcBorders>
            <w:shd w:val="clear" w:color="auto" w:fill="auto"/>
            <w:noWrap/>
            <w:vAlign w:val="center"/>
            <w:hideMark/>
          </w:tcPr>
          <w:p w14:paraId="68563018" w14:textId="77777777" w:rsidR="001A3CF3" w:rsidRPr="001A3CF3" w:rsidRDefault="001A3CF3" w:rsidP="001A3CF3">
            <w:pPr>
              <w:spacing w:after="0" w:line="240" w:lineRule="auto"/>
              <w:jc w:val="right"/>
              <w:rPr>
                <w:rFonts w:ascii="Verdana" w:eastAsia="Times New Roman" w:hAnsi="Verdana" w:cs="Calibri"/>
                <w:color w:val="000000"/>
                <w:sz w:val="18"/>
                <w:szCs w:val="18"/>
                <w:lang w:eastAsia="pt-BR"/>
              </w:rPr>
            </w:pPr>
            <w:r w:rsidRPr="001A3CF3">
              <w:rPr>
                <w:rFonts w:ascii="Verdana" w:eastAsia="Times New Roman" w:hAnsi="Verdana" w:cs="Calibri"/>
                <w:color w:val="000000"/>
                <w:sz w:val="18"/>
                <w:szCs w:val="18"/>
                <w:lang w:eastAsia="pt-BR"/>
              </w:rPr>
              <w:t xml:space="preserve">         1.398.220 </w:t>
            </w:r>
          </w:p>
        </w:tc>
        <w:tc>
          <w:tcPr>
            <w:tcW w:w="237" w:type="dxa"/>
            <w:tcBorders>
              <w:top w:val="nil"/>
              <w:left w:val="nil"/>
              <w:bottom w:val="nil"/>
              <w:right w:val="nil"/>
            </w:tcBorders>
            <w:shd w:val="clear" w:color="auto" w:fill="auto"/>
            <w:noWrap/>
            <w:vAlign w:val="center"/>
            <w:hideMark/>
          </w:tcPr>
          <w:p w14:paraId="4D800912" w14:textId="77777777" w:rsidR="001A3CF3" w:rsidRPr="001A3CF3" w:rsidRDefault="001A3CF3" w:rsidP="001A3CF3">
            <w:pPr>
              <w:spacing w:after="0" w:line="240" w:lineRule="auto"/>
              <w:rPr>
                <w:rFonts w:ascii="Verdana" w:eastAsia="Times New Roman" w:hAnsi="Verdana" w:cs="Calibri"/>
                <w:color w:val="000000"/>
                <w:sz w:val="18"/>
                <w:szCs w:val="18"/>
                <w:lang w:eastAsia="pt-BR"/>
              </w:rPr>
            </w:pPr>
            <w:r w:rsidRPr="001A3CF3">
              <w:rPr>
                <w:rFonts w:ascii="Verdana" w:eastAsia="Times New Roman" w:hAnsi="Verdana" w:cs="Calibri"/>
                <w:color w:val="000000"/>
                <w:sz w:val="18"/>
                <w:szCs w:val="18"/>
                <w:lang w:eastAsia="pt-BR"/>
              </w:rPr>
              <w:t> </w:t>
            </w:r>
          </w:p>
        </w:tc>
        <w:tc>
          <w:tcPr>
            <w:tcW w:w="1930" w:type="dxa"/>
            <w:tcBorders>
              <w:top w:val="nil"/>
              <w:left w:val="nil"/>
              <w:bottom w:val="nil"/>
              <w:right w:val="nil"/>
            </w:tcBorders>
            <w:shd w:val="clear" w:color="auto" w:fill="auto"/>
            <w:noWrap/>
            <w:vAlign w:val="center"/>
            <w:hideMark/>
          </w:tcPr>
          <w:p w14:paraId="43E8D726" w14:textId="77777777" w:rsidR="001A3CF3" w:rsidRPr="001A3CF3" w:rsidRDefault="001A3CF3" w:rsidP="001A3CF3">
            <w:pPr>
              <w:spacing w:after="0" w:line="240" w:lineRule="auto"/>
              <w:jc w:val="right"/>
              <w:rPr>
                <w:rFonts w:ascii="Verdana" w:eastAsia="Times New Roman" w:hAnsi="Verdana" w:cs="Calibri"/>
                <w:color w:val="000000"/>
                <w:sz w:val="18"/>
                <w:szCs w:val="18"/>
                <w:lang w:eastAsia="pt-BR"/>
              </w:rPr>
            </w:pPr>
            <w:r w:rsidRPr="001A3CF3">
              <w:rPr>
                <w:rFonts w:ascii="Verdana" w:eastAsia="Times New Roman" w:hAnsi="Verdana" w:cs="Calibri"/>
                <w:color w:val="000000"/>
                <w:sz w:val="18"/>
                <w:szCs w:val="18"/>
                <w:lang w:eastAsia="pt-BR"/>
              </w:rPr>
              <w:t xml:space="preserve">         1.828.878 </w:t>
            </w:r>
          </w:p>
        </w:tc>
      </w:tr>
      <w:tr w:rsidR="001A3CF3" w:rsidRPr="001A3CF3" w14:paraId="11DD4C98" w14:textId="77777777" w:rsidTr="00F7132F">
        <w:trPr>
          <w:trHeight w:val="23"/>
        </w:trPr>
        <w:tc>
          <w:tcPr>
            <w:tcW w:w="4976" w:type="dxa"/>
            <w:tcBorders>
              <w:top w:val="nil"/>
              <w:left w:val="nil"/>
              <w:bottom w:val="nil"/>
              <w:right w:val="nil"/>
            </w:tcBorders>
            <w:shd w:val="clear" w:color="auto" w:fill="auto"/>
            <w:noWrap/>
            <w:vAlign w:val="center"/>
            <w:hideMark/>
          </w:tcPr>
          <w:p w14:paraId="51C2689D" w14:textId="77777777" w:rsidR="001A3CF3" w:rsidRPr="001A3CF3" w:rsidRDefault="001A3CF3" w:rsidP="001A3CF3">
            <w:pPr>
              <w:spacing w:after="0" w:line="240" w:lineRule="auto"/>
              <w:rPr>
                <w:rFonts w:ascii="Verdana" w:eastAsia="Times New Roman" w:hAnsi="Verdana" w:cs="Calibri"/>
                <w:color w:val="000000"/>
                <w:sz w:val="18"/>
                <w:szCs w:val="18"/>
                <w:lang w:eastAsia="pt-BR"/>
              </w:rPr>
            </w:pPr>
            <w:r w:rsidRPr="001A3CF3">
              <w:rPr>
                <w:rFonts w:ascii="Verdana" w:eastAsia="Times New Roman" w:hAnsi="Verdana" w:cs="Calibri"/>
                <w:color w:val="000000"/>
                <w:sz w:val="18"/>
                <w:szCs w:val="18"/>
                <w:lang w:eastAsia="pt-BR"/>
              </w:rPr>
              <w:t>Títulos e valores mobiliários</w:t>
            </w:r>
          </w:p>
        </w:tc>
        <w:tc>
          <w:tcPr>
            <w:tcW w:w="237" w:type="dxa"/>
            <w:tcBorders>
              <w:top w:val="nil"/>
              <w:left w:val="nil"/>
              <w:bottom w:val="nil"/>
              <w:right w:val="nil"/>
            </w:tcBorders>
            <w:shd w:val="clear" w:color="auto" w:fill="auto"/>
            <w:noWrap/>
            <w:vAlign w:val="center"/>
            <w:hideMark/>
          </w:tcPr>
          <w:p w14:paraId="2A343A1C" w14:textId="77777777" w:rsidR="001A3CF3" w:rsidRPr="001A3CF3" w:rsidRDefault="001A3CF3" w:rsidP="001A3CF3">
            <w:pPr>
              <w:spacing w:after="0" w:line="240" w:lineRule="auto"/>
              <w:rPr>
                <w:rFonts w:ascii="Verdana" w:eastAsia="Times New Roman" w:hAnsi="Verdana" w:cs="Calibri"/>
                <w:color w:val="000000"/>
                <w:sz w:val="18"/>
                <w:szCs w:val="18"/>
                <w:lang w:eastAsia="pt-BR"/>
              </w:rPr>
            </w:pPr>
          </w:p>
        </w:tc>
        <w:tc>
          <w:tcPr>
            <w:tcW w:w="1930" w:type="dxa"/>
            <w:tcBorders>
              <w:top w:val="nil"/>
              <w:left w:val="nil"/>
              <w:bottom w:val="nil"/>
              <w:right w:val="nil"/>
            </w:tcBorders>
            <w:shd w:val="clear" w:color="auto" w:fill="auto"/>
            <w:noWrap/>
            <w:vAlign w:val="center"/>
            <w:hideMark/>
          </w:tcPr>
          <w:p w14:paraId="30A60D4E" w14:textId="77777777" w:rsidR="001A3CF3" w:rsidRPr="001A3CF3" w:rsidRDefault="001A3CF3" w:rsidP="001A3CF3">
            <w:pPr>
              <w:spacing w:after="0" w:line="240" w:lineRule="auto"/>
              <w:jc w:val="right"/>
              <w:rPr>
                <w:rFonts w:ascii="Verdana" w:eastAsia="Times New Roman" w:hAnsi="Verdana" w:cs="Calibri"/>
                <w:color w:val="000000"/>
                <w:sz w:val="18"/>
                <w:szCs w:val="18"/>
                <w:lang w:eastAsia="pt-BR"/>
              </w:rPr>
            </w:pPr>
            <w:r w:rsidRPr="001A3CF3">
              <w:rPr>
                <w:rFonts w:ascii="Verdana" w:eastAsia="Times New Roman" w:hAnsi="Verdana" w:cs="Calibri"/>
                <w:color w:val="000000"/>
                <w:sz w:val="18"/>
                <w:szCs w:val="18"/>
                <w:lang w:eastAsia="pt-BR"/>
              </w:rPr>
              <w:t xml:space="preserve">                      -   </w:t>
            </w:r>
          </w:p>
        </w:tc>
        <w:tc>
          <w:tcPr>
            <w:tcW w:w="237" w:type="dxa"/>
            <w:tcBorders>
              <w:top w:val="nil"/>
              <w:left w:val="nil"/>
              <w:bottom w:val="nil"/>
              <w:right w:val="nil"/>
            </w:tcBorders>
            <w:shd w:val="clear" w:color="auto" w:fill="auto"/>
            <w:noWrap/>
            <w:vAlign w:val="center"/>
            <w:hideMark/>
          </w:tcPr>
          <w:p w14:paraId="6D592799" w14:textId="77777777" w:rsidR="001A3CF3" w:rsidRPr="001A3CF3" w:rsidRDefault="001A3CF3" w:rsidP="001A3CF3">
            <w:pPr>
              <w:spacing w:after="0" w:line="240" w:lineRule="auto"/>
              <w:jc w:val="right"/>
              <w:rPr>
                <w:rFonts w:ascii="Verdana" w:eastAsia="Times New Roman" w:hAnsi="Verdana" w:cs="Calibri"/>
                <w:color w:val="000000"/>
                <w:sz w:val="18"/>
                <w:szCs w:val="18"/>
                <w:lang w:eastAsia="pt-BR"/>
              </w:rPr>
            </w:pPr>
          </w:p>
        </w:tc>
        <w:tc>
          <w:tcPr>
            <w:tcW w:w="1930" w:type="dxa"/>
            <w:tcBorders>
              <w:top w:val="nil"/>
              <w:left w:val="nil"/>
              <w:bottom w:val="nil"/>
              <w:right w:val="nil"/>
            </w:tcBorders>
            <w:shd w:val="clear" w:color="auto" w:fill="auto"/>
            <w:noWrap/>
            <w:vAlign w:val="center"/>
            <w:hideMark/>
          </w:tcPr>
          <w:p w14:paraId="1051169D" w14:textId="77777777" w:rsidR="001A3CF3" w:rsidRPr="001A3CF3" w:rsidRDefault="001A3CF3" w:rsidP="001A3CF3">
            <w:pPr>
              <w:spacing w:after="0" w:line="240" w:lineRule="auto"/>
              <w:jc w:val="right"/>
              <w:rPr>
                <w:rFonts w:ascii="Verdana" w:eastAsia="Times New Roman" w:hAnsi="Verdana" w:cs="Calibri"/>
                <w:color w:val="000000"/>
                <w:sz w:val="18"/>
                <w:szCs w:val="18"/>
                <w:lang w:eastAsia="pt-BR"/>
              </w:rPr>
            </w:pPr>
            <w:r w:rsidRPr="001A3CF3">
              <w:rPr>
                <w:rFonts w:ascii="Verdana" w:eastAsia="Times New Roman" w:hAnsi="Verdana" w:cs="Calibri"/>
                <w:color w:val="000000"/>
                <w:sz w:val="18"/>
                <w:szCs w:val="18"/>
                <w:lang w:eastAsia="pt-BR"/>
              </w:rPr>
              <w:t xml:space="preserve">         5.805.390 </w:t>
            </w:r>
          </w:p>
        </w:tc>
      </w:tr>
    </w:tbl>
    <w:p w14:paraId="71D0289A" w14:textId="77777777" w:rsidR="00DB59B8" w:rsidRPr="004A1E74" w:rsidRDefault="00DB59B8" w:rsidP="004A1E74">
      <w:pPr>
        <w:rPr>
          <w:rFonts w:ascii="Verdana" w:hAnsi="Verdana" w:cstheme="minorHAnsi"/>
          <w:noProof/>
          <w:lang w:eastAsia="pt-BR"/>
        </w:rPr>
      </w:pPr>
    </w:p>
    <w:p w14:paraId="59B27D6D" w14:textId="77777777" w:rsidR="006009AC" w:rsidRPr="00F7132F" w:rsidRDefault="00AD7DA9" w:rsidP="005C2926">
      <w:pPr>
        <w:widowControl w:val="0"/>
        <w:autoSpaceDE w:val="0"/>
        <w:autoSpaceDN w:val="0"/>
        <w:jc w:val="both"/>
        <w:rPr>
          <w:rFonts w:ascii="Verdana" w:hAnsi="Verdana" w:cstheme="minorHAnsi"/>
          <w:b/>
          <w:bCs/>
        </w:rPr>
      </w:pPr>
      <w:r w:rsidRPr="00F7132F">
        <w:rPr>
          <w:rFonts w:ascii="Verdana" w:hAnsi="Verdana" w:cstheme="minorHAnsi"/>
          <w:b/>
          <w:bCs/>
        </w:rPr>
        <w:t>30</w:t>
      </w:r>
      <w:r w:rsidR="006009AC" w:rsidRPr="00F7132F">
        <w:rPr>
          <w:rFonts w:ascii="Verdana" w:hAnsi="Verdana" w:cstheme="minorHAnsi"/>
          <w:b/>
          <w:bCs/>
        </w:rPr>
        <w:t>.3.4 - Risco de liquidez</w:t>
      </w:r>
    </w:p>
    <w:p w14:paraId="2F82A494" w14:textId="77777777" w:rsidR="006009AC" w:rsidRPr="00C11BC9" w:rsidRDefault="006009AC" w:rsidP="005C2926">
      <w:pPr>
        <w:jc w:val="both"/>
        <w:rPr>
          <w:rFonts w:ascii="Verdana" w:hAnsi="Verdana" w:cstheme="minorHAnsi"/>
        </w:rPr>
      </w:pPr>
      <w:r w:rsidRPr="00C11BC9">
        <w:rPr>
          <w:rFonts w:ascii="Verdana" w:hAnsi="Verdana" w:cstheme="minorHAnsi"/>
        </w:rPr>
        <w:t xml:space="preserve">As necessidades de liquidez da Companhia são de responsabilidade das áreas financeira e de captação de recursos, que atuam alinhadas no monitoramento permanente dos fluxos de caixa de curto, médio e longo prazo, previstos e realizados, </w:t>
      </w:r>
      <w:r w:rsidRPr="00C11BC9">
        <w:rPr>
          <w:rFonts w:ascii="Verdana" w:hAnsi="Verdana" w:cstheme="minorHAnsi"/>
        </w:rPr>
        <w:lastRenderedPageBreak/>
        <w:t>buscando evitar possíveis descasamentos e consequentes perdas financeiras e garantir as exigências de liquidez para as necessidades operacionais.</w:t>
      </w:r>
    </w:p>
    <w:p w14:paraId="41F07D69" w14:textId="77777777" w:rsidR="006009AC" w:rsidRPr="00C11BC9" w:rsidRDefault="006009AC" w:rsidP="005C2926">
      <w:pPr>
        <w:tabs>
          <w:tab w:val="left" w:pos="180"/>
        </w:tabs>
        <w:jc w:val="both"/>
        <w:rPr>
          <w:rFonts w:ascii="Verdana" w:hAnsi="Verdana" w:cstheme="minorHAnsi"/>
        </w:rPr>
      </w:pPr>
      <w:r w:rsidRPr="00C11BC9">
        <w:rPr>
          <w:rFonts w:ascii="Verdana" w:hAnsi="Verdana" w:cstheme="minorHAnsi"/>
        </w:rPr>
        <w:t>Abaixo, apresentamos os principais indicadores de liquidez:</w:t>
      </w:r>
    </w:p>
    <w:p w14:paraId="4207EF19" w14:textId="77777777" w:rsidR="006009AC" w:rsidRPr="00C11BC9" w:rsidRDefault="00F63BD5" w:rsidP="005C2926">
      <w:pPr>
        <w:pStyle w:val="PargrafodaLista"/>
        <w:numPr>
          <w:ilvl w:val="0"/>
          <w:numId w:val="15"/>
        </w:numPr>
        <w:tabs>
          <w:tab w:val="left" w:pos="180"/>
        </w:tabs>
        <w:spacing w:after="160" w:line="264" w:lineRule="auto"/>
        <w:ind w:left="284"/>
        <w:contextualSpacing/>
        <w:rPr>
          <w:rFonts w:ascii="Verdana" w:hAnsi="Verdana" w:cstheme="minorHAnsi"/>
          <w:szCs w:val="22"/>
        </w:rPr>
      </w:pPr>
      <w:r w:rsidRPr="00C11BC9">
        <w:rPr>
          <w:rFonts w:ascii="Verdana" w:hAnsi="Verdana" w:cstheme="minorHAnsi"/>
          <w:szCs w:val="22"/>
        </w:rPr>
        <w:t>na</w:t>
      </w:r>
      <w:r w:rsidR="006009AC" w:rsidRPr="00C11BC9">
        <w:rPr>
          <w:rFonts w:ascii="Verdana" w:hAnsi="Verdana" w:cstheme="minorHAnsi"/>
          <w:szCs w:val="22"/>
        </w:rPr>
        <w:t xml:space="preserve"> comparação entre os direitos realizáveis e as exigibilidades, de curto prazo, aponta um índice de liquidez corrente de 3,13 em 30 de junho de 2022 (1,01 em 31 de dezembro de 2021) e;</w:t>
      </w:r>
    </w:p>
    <w:p w14:paraId="456C76A3" w14:textId="77777777" w:rsidR="006009AC" w:rsidRPr="00C11BC9" w:rsidRDefault="00F63BD5" w:rsidP="005C2926">
      <w:pPr>
        <w:pStyle w:val="PargrafodaLista"/>
        <w:numPr>
          <w:ilvl w:val="0"/>
          <w:numId w:val="15"/>
        </w:numPr>
        <w:tabs>
          <w:tab w:val="left" w:pos="180"/>
        </w:tabs>
        <w:spacing w:after="160" w:line="264" w:lineRule="auto"/>
        <w:ind w:left="284"/>
        <w:contextualSpacing/>
        <w:rPr>
          <w:rFonts w:ascii="Verdana" w:hAnsi="Verdana" w:cstheme="minorHAnsi"/>
          <w:szCs w:val="22"/>
        </w:rPr>
      </w:pPr>
      <w:r w:rsidRPr="00C11BC9">
        <w:rPr>
          <w:rFonts w:ascii="Verdana" w:hAnsi="Verdana" w:cstheme="minorHAnsi"/>
          <w:szCs w:val="22"/>
        </w:rPr>
        <w:t>na</w:t>
      </w:r>
      <w:r w:rsidR="006009AC" w:rsidRPr="00C11BC9">
        <w:rPr>
          <w:rFonts w:ascii="Verdana" w:hAnsi="Verdana" w:cstheme="minorHAnsi"/>
          <w:szCs w:val="22"/>
        </w:rPr>
        <w:t xml:space="preserve"> comparação entre os direitos realizáveis e as exigibilidades, de curto e de longo prazo, revela um índice de liquidez geral de 0,68 em 30 de junho de 2022 (0,33 em 31 de dezembro de 2021).</w:t>
      </w:r>
    </w:p>
    <w:p w14:paraId="6D101BE9" w14:textId="5C0DABB4" w:rsidR="006009AC" w:rsidRPr="00C11BC9" w:rsidRDefault="006009AC" w:rsidP="005C2926">
      <w:pPr>
        <w:jc w:val="both"/>
        <w:rPr>
          <w:rFonts w:ascii="Verdana" w:hAnsi="Verdana" w:cstheme="minorHAnsi"/>
        </w:rPr>
      </w:pPr>
      <w:r w:rsidRPr="00C11BC9">
        <w:rPr>
          <w:rFonts w:ascii="Verdana" w:hAnsi="Verdana" w:cstheme="minorHAnsi"/>
        </w:rPr>
        <w:t xml:space="preserve">A administração da </w:t>
      </w:r>
      <w:r w:rsidR="00C03689" w:rsidRPr="00C11BC9">
        <w:rPr>
          <w:rFonts w:ascii="Verdana" w:hAnsi="Verdana" w:cstheme="minorHAnsi"/>
        </w:rPr>
        <w:t>C</w:t>
      </w:r>
      <w:r w:rsidR="00C03689">
        <w:rPr>
          <w:rFonts w:ascii="Verdana" w:hAnsi="Verdana" w:cstheme="minorHAnsi"/>
        </w:rPr>
        <w:t>ontrolada</w:t>
      </w:r>
      <w:r w:rsidR="00C03689" w:rsidRPr="00C11BC9">
        <w:rPr>
          <w:rFonts w:ascii="Verdana" w:hAnsi="Verdana" w:cstheme="minorHAnsi"/>
        </w:rPr>
        <w:t xml:space="preserve"> </w:t>
      </w:r>
      <w:r w:rsidRPr="00C11BC9">
        <w:rPr>
          <w:rFonts w:ascii="Verdana" w:hAnsi="Verdana" w:cstheme="minorHAnsi"/>
        </w:rPr>
        <w:t xml:space="preserve">entende que os riscos de liquidez corrente estão administrados. O índice de liquidez geral está afetado pelos financiamentos das obras da Usina Angra 3, cuja entrada em operação, aprovada internamente, tem como cronograma o início de geração de receita a partir de fevereiro de </w:t>
      </w:r>
      <w:r w:rsidRPr="008361CF">
        <w:rPr>
          <w:rFonts w:ascii="Verdana" w:hAnsi="Verdana" w:cstheme="minorHAnsi"/>
        </w:rPr>
        <w:t>2028 (</w:t>
      </w:r>
      <w:r w:rsidRPr="004D3063">
        <w:rPr>
          <w:rFonts w:ascii="Verdana" w:hAnsi="Verdana" w:cstheme="minorHAnsi"/>
        </w:rPr>
        <w:t xml:space="preserve">nota </w:t>
      </w:r>
      <w:r w:rsidR="008361CF" w:rsidRPr="004D3063">
        <w:rPr>
          <w:rFonts w:ascii="Verdana" w:hAnsi="Verdana" w:cstheme="minorHAnsi"/>
        </w:rPr>
        <w:t>3</w:t>
      </w:r>
      <w:r w:rsidR="00A71D62">
        <w:rPr>
          <w:rFonts w:ascii="Verdana" w:hAnsi="Verdana" w:cstheme="minorHAnsi"/>
        </w:rPr>
        <w:t>0</w:t>
      </w:r>
      <w:r w:rsidRPr="004D3063">
        <w:rPr>
          <w:rFonts w:ascii="Verdana" w:hAnsi="Verdana" w:cstheme="minorHAnsi"/>
        </w:rPr>
        <w:t>.3.5</w:t>
      </w:r>
      <w:r w:rsidRPr="008361CF">
        <w:rPr>
          <w:rFonts w:ascii="Verdana" w:hAnsi="Verdana" w:cstheme="minorHAnsi"/>
        </w:rPr>
        <w:t xml:space="preserve"> a seguir).</w:t>
      </w:r>
    </w:p>
    <w:p w14:paraId="1E0BAB8A" w14:textId="67E0337C" w:rsidR="006009AC" w:rsidRPr="00C11BC9" w:rsidRDefault="006009AC" w:rsidP="005C2926">
      <w:pPr>
        <w:jc w:val="both"/>
        <w:rPr>
          <w:rFonts w:ascii="Verdana" w:hAnsi="Verdana" w:cstheme="minorHAnsi"/>
        </w:rPr>
      </w:pPr>
      <w:r w:rsidRPr="00C11BC9">
        <w:rPr>
          <w:rFonts w:ascii="Verdana" w:hAnsi="Verdana" w:cstheme="minorHAnsi"/>
        </w:rPr>
        <w:t xml:space="preserve">A tabela abaixo analisa os passivos financeiros da Companhia por faixas de vencimento, correspondentes ao período remanescente no balanço patrimonial até a data contratual do vencimento. O vencimento contratual baseia-se na data mais recente em que a Companhia deve quitar obrigações e inclui os respectivos juros contratuais relacionados, quando aplicável. </w:t>
      </w:r>
    </w:p>
    <w:p w14:paraId="40C08435" w14:textId="39C5D379" w:rsidR="006009AC" w:rsidRPr="00F7132F" w:rsidRDefault="006009AC" w:rsidP="005C2926">
      <w:pPr>
        <w:widowControl w:val="0"/>
        <w:autoSpaceDE w:val="0"/>
        <w:autoSpaceDN w:val="0"/>
        <w:jc w:val="both"/>
        <w:rPr>
          <w:rFonts w:ascii="Verdana" w:hAnsi="Verdana" w:cstheme="minorHAnsi"/>
          <w:b/>
          <w:bCs/>
        </w:rPr>
      </w:pPr>
      <w:r w:rsidRPr="00F7132F">
        <w:rPr>
          <w:rFonts w:ascii="Verdana" w:hAnsi="Verdana" w:cstheme="minorHAnsi"/>
          <w:b/>
          <w:bCs/>
        </w:rPr>
        <w:t>3</w:t>
      </w:r>
      <w:r w:rsidR="008B68DB">
        <w:rPr>
          <w:rFonts w:ascii="Verdana" w:hAnsi="Verdana" w:cstheme="minorHAnsi"/>
          <w:b/>
          <w:bCs/>
        </w:rPr>
        <w:t>0</w:t>
      </w:r>
      <w:r w:rsidRPr="00F7132F">
        <w:rPr>
          <w:rFonts w:ascii="Verdana" w:hAnsi="Verdana" w:cstheme="minorHAnsi"/>
          <w:b/>
          <w:bCs/>
        </w:rPr>
        <w:t>.3.5 – Risco Operacional</w:t>
      </w:r>
    </w:p>
    <w:p w14:paraId="349CAC23" w14:textId="77777777" w:rsidR="006009AC" w:rsidRPr="00C11BC9" w:rsidRDefault="006009AC" w:rsidP="005C2926">
      <w:pPr>
        <w:jc w:val="both"/>
        <w:rPr>
          <w:rFonts w:ascii="Verdana" w:hAnsi="Verdana" w:cstheme="minorHAnsi"/>
          <w:iCs/>
        </w:rPr>
      </w:pPr>
      <w:r w:rsidRPr="00C11BC9">
        <w:rPr>
          <w:rFonts w:ascii="Verdana" w:hAnsi="Verdana" w:cstheme="minorHAnsi"/>
          <w:iCs/>
        </w:rPr>
        <w:t xml:space="preserve">A </w:t>
      </w:r>
      <w:r w:rsidR="00397D36" w:rsidRPr="00C11BC9">
        <w:rPr>
          <w:rFonts w:ascii="Verdana" w:hAnsi="Verdana" w:cstheme="minorHAnsi"/>
          <w:iCs/>
        </w:rPr>
        <w:t>controlada Eletronuclear</w:t>
      </w:r>
      <w:r w:rsidRPr="00C11BC9">
        <w:rPr>
          <w:rFonts w:ascii="Verdana" w:hAnsi="Verdana" w:cstheme="minorHAnsi"/>
          <w:iCs/>
        </w:rPr>
        <w:t xml:space="preserve"> tem como atividade principal a operação das Usinas Angra 1 e 2.</w:t>
      </w:r>
    </w:p>
    <w:p w14:paraId="79848E1B" w14:textId="77777777" w:rsidR="006009AC" w:rsidRPr="00C11BC9" w:rsidRDefault="006009AC" w:rsidP="005C2926">
      <w:pPr>
        <w:jc w:val="both"/>
        <w:rPr>
          <w:rFonts w:ascii="Verdana" w:hAnsi="Verdana" w:cstheme="minorHAnsi"/>
          <w:iCs/>
        </w:rPr>
      </w:pPr>
      <w:r w:rsidRPr="00C11BC9">
        <w:rPr>
          <w:rFonts w:ascii="Verdana" w:hAnsi="Verdana" w:cstheme="minorHAnsi"/>
          <w:iCs/>
        </w:rPr>
        <w:t xml:space="preserve">Toda a energia produzida por essas usinas tem fornecimento contratual de longo prazo firmado com as distribuidoras de energia elétrica; contratos esses regidos pela Câmara de Comercialização de Energia Elétrica - CCEE. A </w:t>
      </w:r>
      <w:r w:rsidR="00397D36" w:rsidRPr="00C11BC9">
        <w:rPr>
          <w:rFonts w:ascii="Verdana" w:hAnsi="Verdana" w:cstheme="minorHAnsi"/>
          <w:iCs/>
        </w:rPr>
        <w:t>controlada Eletronuclear</w:t>
      </w:r>
      <w:r w:rsidRPr="00C11BC9">
        <w:rPr>
          <w:rFonts w:ascii="Verdana" w:hAnsi="Verdana" w:cstheme="minorHAnsi"/>
          <w:iCs/>
        </w:rPr>
        <w:t xml:space="preserve"> entende que o risco de inadimplência fica mitigado na quitação desse faturamento, face à atividade de administração financeira estar sob o controle da CCEE, que possui autonomia sobre os recursos reservados pelas distribuidoras para esse fim.</w:t>
      </w:r>
    </w:p>
    <w:p w14:paraId="6D4CA861" w14:textId="77777777" w:rsidR="006009AC" w:rsidRPr="00C11BC9" w:rsidRDefault="006009AC" w:rsidP="005C2926">
      <w:pPr>
        <w:jc w:val="both"/>
        <w:rPr>
          <w:rFonts w:ascii="Verdana" w:hAnsi="Verdana" w:cstheme="minorHAnsi"/>
          <w:iCs/>
        </w:rPr>
      </w:pPr>
      <w:r w:rsidRPr="00C11BC9">
        <w:rPr>
          <w:rFonts w:ascii="Verdana" w:hAnsi="Verdana" w:cstheme="minorHAnsi"/>
          <w:iCs/>
        </w:rPr>
        <w:t>A receita fixa das Usinas Angra 1 e 2 é regulada pela Agência Nacional de Energia Elétrica - Aneel, através do modelo do Procedimento de Regulação Tarifária - PRORET: Módulo 6, Submódulo 6.7, com reajustes anuais e revisões quinquenais. A receita fixa para o ano de 2022 foi definida pela Resolução Homologatória nº 3.002 de 14 de dezembro de 2021 - DOU 21 de dezembro de 2021, no montante de R$ 4.672.327.</w:t>
      </w:r>
    </w:p>
    <w:p w14:paraId="30E473C5" w14:textId="77777777" w:rsidR="006009AC" w:rsidRPr="00C11BC9" w:rsidRDefault="006009AC" w:rsidP="005C2926">
      <w:pPr>
        <w:jc w:val="both"/>
        <w:rPr>
          <w:rFonts w:ascii="Verdana" w:hAnsi="Verdana" w:cstheme="minorHAnsi"/>
          <w:iCs/>
        </w:rPr>
      </w:pPr>
      <w:r w:rsidRPr="00C11BC9">
        <w:rPr>
          <w:rFonts w:ascii="Verdana" w:hAnsi="Verdana" w:cstheme="minorHAnsi"/>
          <w:iCs/>
        </w:rPr>
        <w:t>Salienta-se que, conforme regras de comercialização das energias das Usinas Angra 1 e 2, os desvios eventuais (sobras ou faltas) são apurados em cada exercício e são faturados ou devolvidos em duodécimos no exercício seguinte.</w:t>
      </w:r>
    </w:p>
    <w:p w14:paraId="473A2103" w14:textId="77777777" w:rsidR="006009AC" w:rsidRPr="00C11BC9" w:rsidRDefault="006009AC" w:rsidP="005C2926">
      <w:pPr>
        <w:jc w:val="both"/>
        <w:rPr>
          <w:rFonts w:ascii="Verdana" w:hAnsi="Verdana" w:cstheme="minorHAnsi"/>
          <w:iCs/>
        </w:rPr>
      </w:pPr>
      <w:r w:rsidRPr="00C11BC9">
        <w:rPr>
          <w:rFonts w:ascii="Verdana" w:hAnsi="Verdana" w:cstheme="minorHAnsi"/>
          <w:iCs/>
        </w:rPr>
        <w:t xml:space="preserve">O principal insumo na geração de energia elétrica de fonte termonuclear é o combustível nuclear, insumo este fornecido no Brasil única e exclusivamente pelas Indústrias Nucleares do Brasil S.A. – INB, empresa estatal de economia mista </w:t>
      </w:r>
      <w:r w:rsidRPr="00C11BC9">
        <w:rPr>
          <w:rFonts w:ascii="Verdana" w:hAnsi="Verdana" w:cstheme="minorHAnsi"/>
          <w:iCs/>
        </w:rPr>
        <w:lastRenderedPageBreak/>
        <w:t>vinculada ao Ministério de Minas e Energia - MME, que, em nome da União, exerce no Brasil o monopólio da produção e comercialização de materiais nucleares, dentre eles, os elementos combustíveis utilizados nos reatores das Usinas Angra 1 e 2.</w:t>
      </w:r>
    </w:p>
    <w:p w14:paraId="1C113EC4" w14:textId="77777777" w:rsidR="006009AC" w:rsidRPr="00C11BC9" w:rsidRDefault="006009AC" w:rsidP="005C2926">
      <w:pPr>
        <w:jc w:val="both"/>
        <w:rPr>
          <w:rFonts w:ascii="Verdana" w:hAnsi="Verdana" w:cstheme="minorHAnsi"/>
        </w:rPr>
      </w:pPr>
      <w:r w:rsidRPr="00C11BC9">
        <w:rPr>
          <w:rFonts w:ascii="Verdana" w:hAnsi="Verdana" w:cstheme="minorHAnsi"/>
        </w:rPr>
        <w:t>Desde 2018, época em que ainda era subordinada ao Ministério de Ciência, Tecnologia, Inovações e Comunicações – MCTIC, a INB vem sofrendo expressivas reduções orçamentárias e severas limitações no Orçamento Fiscal da União, o que tem lhe causado fortes dificuldades para honrar seus compromissos, aí incluindo a aquisição de matéria-prima para a fabricação do combustível nuclear, seja urânio nacional ou importado.</w:t>
      </w:r>
    </w:p>
    <w:p w14:paraId="5CA1B467" w14:textId="3ADED3E3" w:rsidR="006009AC" w:rsidRPr="00C11BC9" w:rsidRDefault="006009AC" w:rsidP="005C2926">
      <w:pPr>
        <w:jc w:val="both"/>
        <w:rPr>
          <w:rFonts w:ascii="Verdana" w:hAnsi="Verdana" w:cstheme="minorHAnsi"/>
        </w:rPr>
      </w:pPr>
      <w:r w:rsidRPr="00C11BC9">
        <w:rPr>
          <w:rFonts w:ascii="Verdana" w:hAnsi="Verdana" w:cstheme="minorHAnsi"/>
        </w:rPr>
        <w:t xml:space="preserve">Considerando os riscos de descontinuidade de operação das Usinas Angra 1 e 2, e também do compromisso e da importância que o suprimento de energia elétrica da Central Nuclear Almirante Álvaro Alberto – CNAAA tem no âmbito do Sistema Interligado Nacional – SIN, a administração da </w:t>
      </w:r>
      <w:proofErr w:type="spellStart"/>
      <w:r w:rsidR="00C03689">
        <w:rPr>
          <w:rFonts w:ascii="Verdana" w:hAnsi="Verdana" w:cstheme="minorHAnsi"/>
        </w:rPr>
        <w:t>Controlada</w:t>
      </w:r>
      <w:r w:rsidRPr="00C11BC9">
        <w:rPr>
          <w:rFonts w:ascii="Verdana" w:hAnsi="Verdana" w:cstheme="minorHAnsi"/>
        </w:rPr>
        <w:t>tem</w:t>
      </w:r>
      <w:proofErr w:type="spellEnd"/>
      <w:r w:rsidRPr="00C11BC9">
        <w:rPr>
          <w:rFonts w:ascii="Verdana" w:hAnsi="Verdana" w:cstheme="minorHAnsi"/>
        </w:rPr>
        <w:t xml:space="preserve"> submetido esses riscos aos diversos órgãos a quem está subordinada, no intuito de serem superadas estas ameaças de desabastecimento.</w:t>
      </w:r>
    </w:p>
    <w:p w14:paraId="4292AD08" w14:textId="77777777" w:rsidR="006009AC" w:rsidRDefault="006009AC" w:rsidP="005C2926">
      <w:pPr>
        <w:jc w:val="both"/>
        <w:rPr>
          <w:rFonts w:ascii="Verdana" w:hAnsi="Verdana" w:cstheme="minorHAnsi"/>
        </w:rPr>
      </w:pPr>
      <w:r w:rsidRPr="00C11BC9">
        <w:rPr>
          <w:rFonts w:ascii="Verdana" w:hAnsi="Verdana" w:cstheme="minorHAnsi"/>
        </w:rPr>
        <w:t xml:space="preserve">Atualmente, as Indústrias Nucleares do Brasil – INB, por questões legais, é considerada uma estatal dependente para fins de elaboração do orçamento da União. Nesse sentido, a INB tem apontado que os valores aprovados em seu orçamento fiscal, ao qual tem sido submetida, têm implicado a mesma em riscos à manutenção de sua adimplência contratual para com a </w:t>
      </w:r>
      <w:r w:rsidR="00397D36" w:rsidRPr="00C11BC9">
        <w:rPr>
          <w:rFonts w:ascii="Verdana" w:hAnsi="Verdana" w:cstheme="minorHAnsi"/>
        </w:rPr>
        <w:t>controlada Eletronuclear</w:t>
      </w:r>
      <w:r w:rsidRPr="00C11BC9">
        <w:rPr>
          <w:rFonts w:ascii="Verdana" w:hAnsi="Verdana" w:cstheme="minorHAnsi"/>
        </w:rPr>
        <w:t xml:space="preserve">, o que implica em dizer, em última análise, e embora de probabilidade reduzida, numa eventual possibilidade de não fornecimento de nossos insumos ao processo de geração de energia elétrica, que seriam os elementos combustíveis por ela fabricados. </w:t>
      </w:r>
    </w:p>
    <w:p w14:paraId="1004EF0A" w14:textId="57ED2FAB" w:rsidR="00E12154" w:rsidRPr="006D0F39" w:rsidRDefault="00E12154" w:rsidP="006D0F39">
      <w:pPr>
        <w:jc w:val="both"/>
        <w:rPr>
          <w:rFonts w:ascii="Verdana" w:hAnsi="Verdana" w:cstheme="minorHAnsi"/>
        </w:rPr>
      </w:pPr>
      <w:r>
        <w:rPr>
          <w:rFonts w:ascii="Verdana" w:hAnsi="Verdana" w:cstheme="minorHAnsi"/>
        </w:rPr>
        <w:t>Em 12 de agosto de 2022, por força da MP 1133/2022</w:t>
      </w:r>
      <w:r w:rsidR="006D0F39">
        <w:rPr>
          <w:rFonts w:ascii="Verdana" w:hAnsi="Verdana" w:cstheme="minorHAnsi"/>
        </w:rPr>
        <w:t xml:space="preserve">, entre outras providências tratadas, fica </w:t>
      </w:r>
      <w:r w:rsidRPr="006D0F39">
        <w:rPr>
          <w:rFonts w:ascii="Verdana" w:hAnsi="Verdana" w:cstheme="minorHAnsi"/>
        </w:rPr>
        <w:t>autoriza</w:t>
      </w:r>
      <w:r w:rsidR="006D0F39">
        <w:rPr>
          <w:rFonts w:ascii="Verdana" w:hAnsi="Verdana" w:cstheme="minorHAnsi"/>
        </w:rPr>
        <w:t>da</w:t>
      </w:r>
      <w:r w:rsidRPr="006D0F39">
        <w:rPr>
          <w:rFonts w:ascii="Verdana" w:hAnsi="Verdana" w:cstheme="minorHAnsi"/>
        </w:rPr>
        <w:t xml:space="preserve"> a</w:t>
      </w:r>
      <w:r w:rsidR="006D0F39">
        <w:rPr>
          <w:rFonts w:ascii="Verdana" w:hAnsi="Verdana" w:cstheme="minorHAnsi"/>
        </w:rPr>
        <w:t xml:space="preserve"> </w:t>
      </w:r>
      <w:proofErr w:type="spellStart"/>
      <w:r w:rsidR="006D0F39">
        <w:rPr>
          <w:rFonts w:ascii="Verdana" w:hAnsi="Verdana" w:cstheme="minorHAnsi"/>
        </w:rPr>
        <w:t>ENBP</w:t>
      </w:r>
      <w:r w:rsidRPr="006D0F39">
        <w:rPr>
          <w:rFonts w:ascii="Verdana" w:hAnsi="Verdana" w:cstheme="minorHAnsi"/>
        </w:rPr>
        <w:t>ar</w:t>
      </w:r>
      <w:proofErr w:type="spellEnd"/>
      <w:r w:rsidRPr="006D0F39">
        <w:rPr>
          <w:rFonts w:ascii="Verdana" w:hAnsi="Verdana" w:cstheme="minorHAnsi"/>
        </w:rPr>
        <w:t xml:space="preserve"> a assumir o controle da INB</w:t>
      </w:r>
      <w:r w:rsidR="006D0F39">
        <w:rPr>
          <w:rFonts w:ascii="Verdana" w:hAnsi="Verdana" w:cstheme="minorHAnsi"/>
        </w:rPr>
        <w:t>, conforme descrito na Nota 3</w:t>
      </w:r>
      <w:r w:rsidR="00A71D62">
        <w:rPr>
          <w:rFonts w:ascii="Verdana" w:hAnsi="Verdana" w:cstheme="minorHAnsi"/>
        </w:rPr>
        <w:t>4</w:t>
      </w:r>
      <w:r w:rsidR="006D0F39">
        <w:rPr>
          <w:rFonts w:ascii="Verdana" w:hAnsi="Verdana" w:cstheme="minorHAnsi"/>
        </w:rPr>
        <w:t>.</w:t>
      </w:r>
    </w:p>
    <w:p w14:paraId="28531206" w14:textId="77777777" w:rsidR="006009AC" w:rsidRPr="00C11BC9" w:rsidRDefault="006009AC" w:rsidP="005C2926">
      <w:pPr>
        <w:pStyle w:val="Corpodetexto"/>
        <w:spacing w:after="160"/>
        <w:rPr>
          <w:rFonts w:ascii="Verdana" w:hAnsi="Verdana" w:cstheme="minorHAnsi"/>
          <w:sz w:val="22"/>
          <w:szCs w:val="22"/>
        </w:rPr>
      </w:pPr>
      <w:bookmarkStart w:id="7" w:name="_Hlk66659087"/>
      <w:r w:rsidRPr="00C11BC9">
        <w:rPr>
          <w:rFonts w:ascii="Verdana" w:hAnsi="Verdana" w:cstheme="minorHAnsi"/>
          <w:sz w:val="22"/>
          <w:szCs w:val="22"/>
        </w:rPr>
        <w:t xml:space="preserve">Assim considerando, exceto pelos fatos acima narrados, entende a administração da </w:t>
      </w:r>
      <w:r w:rsidR="006D0F39">
        <w:rPr>
          <w:rFonts w:ascii="Verdana" w:hAnsi="Verdana" w:cstheme="minorHAnsi"/>
          <w:sz w:val="22"/>
          <w:szCs w:val="22"/>
        </w:rPr>
        <w:t>Eletronuclear</w:t>
      </w:r>
      <w:r w:rsidRPr="00C11BC9">
        <w:rPr>
          <w:rFonts w:ascii="Verdana" w:hAnsi="Verdana" w:cstheme="minorHAnsi"/>
          <w:sz w:val="22"/>
          <w:szCs w:val="22"/>
        </w:rPr>
        <w:t>, não haver nenhuma outra expectativa econômica e financeira que possa indicar um risco de descontinuidade operacional das Usinas Angra 1 e 2.</w:t>
      </w:r>
    </w:p>
    <w:p w14:paraId="15E73D49" w14:textId="77777777" w:rsidR="006009AC" w:rsidRPr="00C11BC9" w:rsidRDefault="006009AC" w:rsidP="005C2926">
      <w:pPr>
        <w:jc w:val="both"/>
        <w:rPr>
          <w:rFonts w:ascii="Verdana" w:hAnsi="Verdana" w:cstheme="minorHAnsi"/>
        </w:rPr>
      </w:pPr>
      <w:r w:rsidRPr="00C11BC9">
        <w:rPr>
          <w:rFonts w:ascii="Verdana" w:hAnsi="Verdana" w:cstheme="minorHAnsi"/>
        </w:rPr>
        <w:t xml:space="preserve">Com o objetivo de caracterizar a situação atual de Angra 3 e as implicações da sua paralisação para a </w:t>
      </w:r>
      <w:r w:rsidR="00397D36" w:rsidRPr="00C11BC9">
        <w:rPr>
          <w:rFonts w:ascii="Verdana" w:hAnsi="Verdana" w:cstheme="minorHAnsi"/>
        </w:rPr>
        <w:t>controlada Eletronuclear</w:t>
      </w:r>
      <w:r w:rsidRPr="00C11BC9">
        <w:rPr>
          <w:rFonts w:ascii="Verdana" w:hAnsi="Verdana" w:cstheme="minorHAnsi"/>
        </w:rPr>
        <w:t xml:space="preserve"> e para o Sistema Eletrobras, a administração da </w:t>
      </w:r>
      <w:r w:rsidR="006D0F39">
        <w:rPr>
          <w:rFonts w:ascii="Verdana" w:hAnsi="Verdana" w:cstheme="minorHAnsi"/>
        </w:rPr>
        <w:t>Eletronuclear</w:t>
      </w:r>
      <w:r w:rsidRPr="00C11BC9">
        <w:rPr>
          <w:rFonts w:ascii="Verdana" w:hAnsi="Verdana" w:cstheme="minorHAnsi"/>
        </w:rPr>
        <w:t xml:space="preserve"> vem conduzindo iniciativas para a implantação de um Plano de Ações visando o equacionamento das condições necessárias à plena retomada e conclusão do empreendimento.</w:t>
      </w:r>
    </w:p>
    <w:p w14:paraId="6326C979" w14:textId="77777777" w:rsidR="006009AC" w:rsidRPr="00C11BC9" w:rsidRDefault="006D0F39" w:rsidP="005C2926">
      <w:pPr>
        <w:jc w:val="both"/>
        <w:rPr>
          <w:rFonts w:ascii="Verdana" w:hAnsi="Verdana" w:cstheme="minorHAnsi"/>
          <w:color w:val="000000"/>
        </w:rPr>
      </w:pPr>
      <w:r>
        <w:rPr>
          <w:rFonts w:ascii="Verdana" w:hAnsi="Verdana" w:cstheme="minorHAnsi"/>
          <w:iCs/>
          <w:color w:val="000000"/>
        </w:rPr>
        <w:t>Desde 2016, essa</w:t>
      </w:r>
      <w:r w:rsidR="006009AC" w:rsidRPr="00C11BC9">
        <w:rPr>
          <w:rFonts w:ascii="Verdana" w:hAnsi="Verdana" w:cstheme="minorHAnsi"/>
          <w:iCs/>
          <w:color w:val="000000"/>
        </w:rPr>
        <w:t xml:space="preserve"> </w:t>
      </w:r>
      <w:r w:rsidR="00397D36" w:rsidRPr="00C11BC9">
        <w:rPr>
          <w:rFonts w:ascii="Verdana" w:hAnsi="Verdana" w:cstheme="minorHAnsi"/>
          <w:iCs/>
          <w:color w:val="000000"/>
        </w:rPr>
        <w:t xml:space="preserve">controlada </w:t>
      </w:r>
      <w:r w:rsidR="006009AC" w:rsidRPr="00C11BC9">
        <w:rPr>
          <w:rFonts w:ascii="Verdana" w:hAnsi="Verdana" w:cstheme="minorHAnsi"/>
          <w:iCs/>
          <w:color w:val="000000"/>
        </w:rPr>
        <w:t>vem buscando assessoria de consultorias especializadas visando à conclusão de Angra 3. Foram elas:</w:t>
      </w:r>
    </w:p>
    <w:p w14:paraId="620C0A63" w14:textId="77777777" w:rsidR="006009AC" w:rsidRPr="00C11BC9" w:rsidRDefault="006009AC" w:rsidP="005C2926">
      <w:pPr>
        <w:spacing w:line="264" w:lineRule="atLeast"/>
        <w:jc w:val="both"/>
        <w:rPr>
          <w:rFonts w:ascii="Verdana" w:hAnsi="Verdana" w:cstheme="minorHAnsi"/>
          <w:color w:val="000000"/>
        </w:rPr>
      </w:pPr>
      <w:r w:rsidRPr="00C11BC9">
        <w:rPr>
          <w:rFonts w:ascii="Verdana" w:hAnsi="Verdana" w:cstheme="minorHAnsi"/>
          <w:b/>
          <w:iCs/>
          <w:color w:val="000000"/>
        </w:rPr>
        <w:t>(i)</w:t>
      </w:r>
      <w:r w:rsidRPr="00C11BC9">
        <w:rPr>
          <w:rFonts w:ascii="Verdana" w:hAnsi="Verdana" w:cstheme="minorHAnsi"/>
          <w:iCs/>
          <w:color w:val="000000"/>
        </w:rPr>
        <w:t xml:space="preserve">    Deloitte Consultores - Para auditar o status das obras civis e verificar irregularidades apresentadas pelo Tribunal de Contas da União - TCU por meio de Relatório de Fiscalização (TC n. 002.651/2015-7), bem como efetuar uma análise da estimativa dos custos relacionados ao cancelamento das obras de implantação da usina, bem como da estimativa de custos para sua conclusão - </w:t>
      </w:r>
      <w:proofErr w:type="spellStart"/>
      <w:r w:rsidRPr="00C11BC9">
        <w:rPr>
          <w:rFonts w:ascii="Verdana" w:hAnsi="Verdana" w:cstheme="minorHAnsi"/>
          <w:i/>
          <w:iCs/>
          <w:color w:val="000000"/>
        </w:rPr>
        <w:t>Cost</w:t>
      </w:r>
      <w:proofErr w:type="spellEnd"/>
      <w:r w:rsidRPr="00C11BC9">
        <w:rPr>
          <w:rFonts w:ascii="Verdana" w:hAnsi="Verdana" w:cstheme="minorHAnsi"/>
          <w:i/>
          <w:iCs/>
          <w:color w:val="000000"/>
        </w:rPr>
        <w:t xml:space="preserve"> </w:t>
      </w:r>
      <w:proofErr w:type="spellStart"/>
      <w:r w:rsidRPr="00C11BC9">
        <w:rPr>
          <w:rFonts w:ascii="Verdana" w:hAnsi="Verdana" w:cstheme="minorHAnsi"/>
          <w:i/>
          <w:iCs/>
          <w:color w:val="000000"/>
        </w:rPr>
        <w:t>to</w:t>
      </w:r>
      <w:proofErr w:type="spellEnd"/>
      <w:r w:rsidRPr="00C11BC9">
        <w:rPr>
          <w:rFonts w:ascii="Verdana" w:hAnsi="Verdana" w:cstheme="minorHAnsi"/>
          <w:i/>
          <w:iCs/>
          <w:color w:val="000000"/>
        </w:rPr>
        <w:t xml:space="preserve"> Complete</w:t>
      </w:r>
      <w:r w:rsidRPr="00C11BC9">
        <w:rPr>
          <w:rFonts w:ascii="Verdana" w:hAnsi="Verdana" w:cstheme="minorHAnsi"/>
          <w:iCs/>
          <w:color w:val="000000"/>
        </w:rPr>
        <w:t xml:space="preserve">, foi contratada a Deloitte Consultores. Foi analisada a procedência das constatações do </w:t>
      </w:r>
      <w:r w:rsidRPr="00C11BC9">
        <w:rPr>
          <w:rFonts w:ascii="Verdana" w:hAnsi="Verdana" w:cstheme="minorHAnsi"/>
          <w:iCs/>
          <w:color w:val="000000"/>
        </w:rPr>
        <w:lastRenderedPageBreak/>
        <w:t>TCU, bem como estudos de mecanismos de ajuizamentos de ações em ressarcimentos a eventuais prejuízos identificados. Já a orçamentação de Angra 3 foi estruturada em rubricas de diversas disciplinas e áreas envolvidas na construção da obra. Foi desenvolvido um modelo econômico-financeiro para o cancelamento do projeto, contemplando as projeções financeiras na data base de 30 de junho de 2016. O custo total estimado de cancelamento da Usina Termonuclear -UTN Angra 3 considerou o custo de desmobilização das obras já existentes, a multa rescisória do contrato de comercialização e o custo financeiro de liquidação dos empréstimos vigentes;</w:t>
      </w:r>
    </w:p>
    <w:p w14:paraId="02F7533B" w14:textId="77777777" w:rsidR="006009AC" w:rsidRPr="00C11BC9" w:rsidRDefault="006009AC" w:rsidP="005C2926">
      <w:pPr>
        <w:spacing w:line="264" w:lineRule="atLeast"/>
        <w:jc w:val="both"/>
        <w:rPr>
          <w:rFonts w:ascii="Verdana" w:hAnsi="Verdana" w:cstheme="minorHAnsi"/>
          <w:color w:val="000000"/>
        </w:rPr>
      </w:pPr>
      <w:r w:rsidRPr="00C11BC9">
        <w:rPr>
          <w:rFonts w:ascii="Verdana" w:hAnsi="Verdana" w:cstheme="minorHAnsi"/>
          <w:b/>
          <w:iCs/>
          <w:color w:val="000000"/>
        </w:rPr>
        <w:t>(</w:t>
      </w:r>
      <w:proofErr w:type="spellStart"/>
      <w:r w:rsidRPr="00C11BC9">
        <w:rPr>
          <w:rFonts w:ascii="Verdana" w:hAnsi="Verdana" w:cstheme="minorHAnsi"/>
          <w:b/>
          <w:iCs/>
          <w:color w:val="000000"/>
        </w:rPr>
        <w:t>ii</w:t>
      </w:r>
      <w:proofErr w:type="spellEnd"/>
      <w:r w:rsidRPr="00C11BC9">
        <w:rPr>
          <w:rFonts w:ascii="Verdana" w:hAnsi="Verdana" w:cstheme="minorHAnsi"/>
          <w:b/>
          <w:iCs/>
          <w:color w:val="000000"/>
        </w:rPr>
        <w:t>)</w:t>
      </w:r>
      <w:r w:rsidRPr="00C11BC9">
        <w:rPr>
          <w:rFonts w:ascii="Verdana" w:hAnsi="Verdana" w:cstheme="minorHAnsi"/>
          <w:iCs/>
          <w:color w:val="000000"/>
        </w:rPr>
        <w:t>     Alvarez &amp; Marsal - Tomando como  base  os  relatórios  da  Deloitte,  foi contratada uma consultoria especializada na estruturação de empresas, com conhecimento na avaliação da construção e operação de usinas nucleares, a Alvarez &amp; Marsal, para realizar os estudos econômico-financeiros necessários para viabilizar uma parceria que atenda questões operacionais e financeiras de acordo com a visão societária definida pela Companhia e assessorá-la no processo de retomada do empreendimento, incluindo assessoria no pleito de revisão tarifária de Angra 3 e a estruturação financeira e operacional com um parceiro, provavelmente internacional. Foram avaliados diversos cenários e modelos de negócio.</w:t>
      </w:r>
    </w:p>
    <w:p w14:paraId="6540BB0C" w14:textId="77777777" w:rsidR="006009AC" w:rsidRPr="00C11BC9" w:rsidRDefault="006009AC" w:rsidP="005C2926">
      <w:pPr>
        <w:spacing w:line="264" w:lineRule="atLeast"/>
        <w:jc w:val="both"/>
        <w:rPr>
          <w:rFonts w:ascii="Verdana" w:hAnsi="Verdana" w:cstheme="minorHAnsi"/>
          <w:color w:val="000000"/>
        </w:rPr>
      </w:pPr>
      <w:r w:rsidRPr="00C11BC9">
        <w:rPr>
          <w:rFonts w:ascii="Verdana" w:hAnsi="Verdana" w:cstheme="minorHAnsi"/>
          <w:b/>
          <w:iCs/>
          <w:color w:val="000000"/>
        </w:rPr>
        <w:t>(</w:t>
      </w:r>
      <w:proofErr w:type="spellStart"/>
      <w:r w:rsidRPr="00C11BC9">
        <w:rPr>
          <w:rFonts w:ascii="Verdana" w:hAnsi="Verdana" w:cstheme="minorHAnsi"/>
          <w:b/>
          <w:iCs/>
          <w:color w:val="000000"/>
        </w:rPr>
        <w:t>iii</w:t>
      </w:r>
      <w:proofErr w:type="spellEnd"/>
      <w:r w:rsidRPr="00C11BC9">
        <w:rPr>
          <w:rFonts w:ascii="Verdana" w:hAnsi="Verdana" w:cstheme="minorHAnsi"/>
          <w:b/>
          <w:iCs/>
          <w:color w:val="000000"/>
        </w:rPr>
        <w:t>)</w:t>
      </w:r>
      <w:r w:rsidRPr="00C11BC9">
        <w:rPr>
          <w:rFonts w:ascii="Verdana" w:hAnsi="Verdana" w:cstheme="minorHAnsi"/>
          <w:iCs/>
          <w:color w:val="000000"/>
        </w:rPr>
        <w:t>    </w:t>
      </w:r>
      <w:proofErr w:type="spellStart"/>
      <w:r w:rsidRPr="00C11BC9">
        <w:rPr>
          <w:rFonts w:ascii="Verdana" w:hAnsi="Verdana" w:cstheme="minorHAnsi"/>
          <w:iCs/>
          <w:color w:val="000000"/>
        </w:rPr>
        <w:t>Veirano</w:t>
      </w:r>
      <w:proofErr w:type="spellEnd"/>
      <w:r w:rsidRPr="00C11BC9">
        <w:rPr>
          <w:rFonts w:ascii="Verdana" w:hAnsi="Verdana" w:cstheme="minorHAnsi"/>
          <w:iCs/>
          <w:color w:val="000000"/>
        </w:rPr>
        <w:t xml:space="preserve"> Advogados – Para analisar a legalidade da possível estrutura societária do negócio e do ambiente regulatório dos cenários estudados pela Alvarez &amp; Marsal, bem como do modelo de efetivação da parceria em avaliação, foi contratado a </w:t>
      </w:r>
      <w:proofErr w:type="spellStart"/>
      <w:r w:rsidRPr="00C11BC9">
        <w:rPr>
          <w:rFonts w:ascii="Verdana" w:hAnsi="Verdana" w:cstheme="minorHAnsi"/>
          <w:iCs/>
          <w:color w:val="000000"/>
        </w:rPr>
        <w:t>Veirano</w:t>
      </w:r>
      <w:proofErr w:type="spellEnd"/>
      <w:r w:rsidRPr="00C11BC9">
        <w:rPr>
          <w:rFonts w:ascii="Verdana" w:hAnsi="Verdana" w:cstheme="minorHAnsi"/>
          <w:iCs/>
          <w:color w:val="000000"/>
        </w:rPr>
        <w:t xml:space="preserve"> Advogados, uma consultoria jurídica especializada em direito societário, com vasta experiência no setor elétrico.</w:t>
      </w:r>
    </w:p>
    <w:p w14:paraId="7F54B98A" w14:textId="77777777" w:rsidR="006009AC" w:rsidRPr="00C11BC9" w:rsidRDefault="006009AC" w:rsidP="00F63BD5">
      <w:pPr>
        <w:spacing w:line="264" w:lineRule="atLeast"/>
        <w:jc w:val="both"/>
        <w:rPr>
          <w:rFonts w:ascii="Verdana" w:hAnsi="Verdana" w:cstheme="minorHAnsi"/>
        </w:rPr>
      </w:pPr>
      <w:r w:rsidRPr="00C11BC9">
        <w:rPr>
          <w:rFonts w:ascii="Verdana" w:hAnsi="Verdana" w:cstheme="minorHAnsi"/>
          <w:iCs/>
        </w:rPr>
        <w:t>A conclusão das obras da Usina de Angra 3 em condições sustentáveis depende de uma nova estruturação financeira, dado o montante de investimentos (custos diretos) ainda a realizar, da ordem de R$ 21,0 bilhões (</w:t>
      </w:r>
      <w:r w:rsidR="006D0F39">
        <w:rPr>
          <w:rFonts w:ascii="Verdana" w:hAnsi="Verdana" w:cstheme="minorHAnsi"/>
          <w:iCs/>
        </w:rPr>
        <w:t>informação não auditada</w:t>
      </w:r>
      <w:r w:rsidRPr="00C11BC9">
        <w:rPr>
          <w:rFonts w:ascii="Verdana" w:hAnsi="Verdana" w:cstheme="minorHAnsi"/>
          <w:iCs/>
        </w:rPr>
        <w:t>).</w:t>
      </w:r>
    </w:p>
    <w:p w14:paraId="705ECF7A" w14:textId="77777777" w:rsidR="006009AC" w:rsidRPr="00C11BC9" w:rsidRDefault="006009AC" w:rsidP="005C2926">
      <w:pPr>
        <w:jc w:val="both"/>
        <w:rPr>
          <w:rFonts w:ascii="Verdana" w:hAnsi="Verdana" w:cstheme="minorHAnsi"/>
          <w:iCs/>
        </w:rPr>
      </w:pPr>
      <w:r w:rsidRPr="00C11BC9">
        <w:rPr>
          <w:rFonts w:ascii="Verdana" w:hAnsi="Verdana" w:cstheme="minorHAnsi"/>
          <w:iCs/>
        </w:rPr>
        <w:t xml:space="preserve">Atualmente, a </w:t>
      </w:r>
      <w:r w:rsidR="00397D36" w:rsidRPr="00C11BC9">
        <w:rPr>
          <w:rFonts w:ascii="Verdana" w:hAnsi="Verdana" w:cstheme="minorHAnsi"/>
          <w:iCs/>
        </w:rPr>
        <w:t>Eletronuclear</w:t>
      </w:r>
      <w:r w:rsidRPr="00C11BC9">
        <w:rPr>
          <w:rFonts w:ascii="Verdana" w:hAnsi="Verdana" w:cstheme="minorHAnsi"/>
          <w:iCs/>
        </w:rPr>
        <w:t xml:space="preserve"> não possui garantias disponíveis para conseguir um novo empréstimo, visto que todos os seus ativos já estão comprometidos nos créditos existentes. Além disso, em outubro de 2017, expirou o </w:t>
      </w:r>
      <w:proofErr w:type="spellStart"/>
      <w:r w:rsidRPr="00C11BC9">
        <w:rPr>
          <w:rFonts w:ascii="Verdana" w:hAnsi="Verdana" w:cstheme="minorHAnsi"/>
          <w:i/>
          <w:iCs/>
        </w:rPr>
        <w:t>waiver</w:t>
      </w:r>
      <w:proofErr w:type="spellEnd"/>
      <w:r w:rsidRPr="00C11BC9">
        <w:rPr>
          <w:rFonts w:ascii="Verdana" w:hAnsi="Verdana" w:cstheme="minorHAnsi"/>
          <w:iCs/>
        </w:rPr>
        <w:t xml:space="preserve"> contratual do BNDES e em julho de 2018 terminou também o período de carência da CEF, passando a</w:t>
      </w:r>
      <w:r w:rsidR="006D0F39">
        <w:rPr>
          <w:rFonts w:ascii="Verdana" w:hAnsi="Verdana" w:cstheme="minorHAnsi"/>
          <w:iCs/>
        </w:rPr>
        <w:t>quela</w:t>
      </w:r>
      <w:r w:rsidRPr="00C11BC9">
        <w:rPr>
          <w:rFonts w:ascii="Verdana" w:hAnsi="Verdana" w:cstheme="minorHAnsi"/>
          <w:iCs/>
        </w:rPr>
        <w:t xml:space="preserve"> Companhia a ser obrigada a pagar também a parte relativa ao principal da dívida, além dos juros, comprometendo, fortemente, o seu caixa. </w:t>
      </w:r>
      <w:r w:rsidRPr="00C11BC9">
        <w:rPr>
          <w:rFonts w:ascii="Verdana" w:hAnsi="Verdana" w:cstheme="minorHAnsi"/>
        </w:rPr>
        <w:t xml:space="preserve"> </w:t>
      </w:r>
      <w:r w:rsidRPr="00C11BC9">
        <w:rPr>
          <w:rFonts w:ascii="Verdana" w:hAnsi="Verdana" w:cstheme="minorHAnsi"/>
          <w:iCs/>
        </w:rPr>
        <w:t>Os pagamentos do serviço da dívida relativos ao contrato de financiamento com o BNDES foram</w:t>
      </w:r>
      <w:r w:rsidRPr="00C11BC9">
        <w:rPr>
          <w:rFonts w:ascii="Verdana" w:hAnsi="Verdana" w:cstheme="minorHAnsi"/>
        </w:rPr>
        <w:t xml:space="preserve"> suspensos </w:t>
      </w:r>
      <w:r w:rsidRPr="00C11BC9">
        <w:rPr>
          <w:rFonts w:ascii="Verdana" w:hAnsi="Verdana" w:cstheme="minorHAnsi"/>
          <w:iCs/>
        </w:rPr>
        <w:t xml:space="preserve">durante o período de maio de 2020 a outubro de 2020, em função das medidas para mitigar os efeitos da pandemia da COVID-19, com a retomada dos pagamentos das obrigações no mês de novembro de 2020. </w:t>
      </w:r>
    </w:p>
    <w:p w14:paraId="004A6E57" w14:textId="77777777" w:rsidR="006009AC" w:rsidRPr="00C11BC9" w:rsidRDefault="006009AC" w:rsidP="005C2926">
      <w:pPr>
        <w:jc w:val="both"/>
        <w:rPr>
          <w:rFonts w:ascii="Verdana" w:hAnsi="Verdana" w:cstheme="minorHAnsi"/>
        </w:rPr>
      </w:pPr>
      <w:r w:rsidRPr="00C11BC9">
        <w:rPr>
          <w:rFonts w:ascii="Verdana" w:hAnsi="Verdana" w:cstheme="minorHAnsi"/>
          <w:iCs/>
        </w:rPr>
        <w:t>Uma das grandes questões que precisava ser sanada para que fosse possível prosseguir rumo à conclusão do empreendimento de Angra 3 era a revisão do valor, originalmente definido para a tarifa de Angra 3, de R$ 237/MWh (vigente entre novembro de 2016 e outubro de 2017). Esse valor apresentava grande defasagem em relação ao necessário para tornar a operação da usina sustentável, bem como inviabilizava a renegociação com credores.</w:t>
      </w:r>
    </w:p>
    <w:p w14:paraId="4277AC30" w14:textId="77777777" w:rsidR="006009AC" w:rsidRPr="00C11BC9" w:rsidRDefault="006009AC" w:rsidP="005C2926">
      <w:pPr>
        <w:jc w:val="both"/>
        <w:rPr>
          <w:rFonts w:ascii="Verdana" w:hAnsi="Verdana" w:cstheme="minorHAnsi"/>
        </w:rPr>
      </w:pPr>
      <w:r w:rsidRPr="00C11BC9">
        <w:rPr>
          <w:rFonts w:ascii="Verdana" w:hAnsi="Verdana" w:cstheme="minorHAnsi"/>
          <w:iCs/>
        </w:rPr>
        <w:t xml:space="preserve">Para tentar solucionar essa questão, em 05 de junho de 2018, aconteceu a 3ª Reunião Extraordinária do Conselho Nacional de Política Energética  - CNPE, na qual </w:t>
      </w:r>
      <w:r w:rsidRPr="00C11BC9">
        <w:rPr>
          <w:rFonts w:ascii="Verdana" w:hAnsi="Verdana" w:cstheme="minorHAnsi"/>
          <w:iCs/>
        </w:rPr>
        <w:lastRenderedPageBreak/>
        <w:t xml:space="preserve">foi determinada a formação de um Grupo de Trabalho -GT liderado pelo MME, com a participação dos Ministérios do Planejamento e da Fazenda, da Empresa de Pesquisa Energética - EPE, da Eletrobras, da </w:t>
      </w:r>
      <w:r w:rsidR="00397D36" w:rsidRPr="00C11BC9">
        <w:rPr>
          <w:rFonts w:ascii="Verdana" w:hAnsi="Verdana" w:cstheme="minorHAnsi"/>
          <w:iCs/>
        </w:rPr>
        <w:t>controlada Eletronuclear</w:t>
      </w:r>
      <w:r w:rsidRPr="00C11BC9">
        <w:rPr>
          <w:rFonts w:ascii="Verdana" w:hAnsi="Verdana" w:cstheme="minorHAnsi"/>
          <w:iCs/>
        </w:rPr>
        <w:t xml:space="preserve"> e do Gabinete de Segurança Institucional - GSI, visando elaborar, em 60 dias, um documento propondo e justificando a revisão da tarifa de Angra 3 e as medidas necessárias para conclusão do projeto. A versão final do documento foi concluída em setembro de 2018.</w:t>
      </w:r>
    </w:p>
    <w:p w14:paraId="04158A34" w14:textId="77777777" w:rsidR="006009AC" w:rsidRPr="00C11BC9" w:rsidRDefault="006009AC" w:rsidP="005C2926">
      <w:pPr>
        <w:jc w:val="both"/>
        <w:rPr>
          <w:rFonts w:ascii="Verdana" w:hAnsi="Verdana" w:cstheme="minorHAnsi"/>
        </w:rPr>
      </w:pPr>
      <w:r w:rsidRPr="00C11BC9">
        <w:rPr>
          <w:rFonts w:ascii="Verdana" w:hAnsi="Verdana" w:cstheme="minorHAnsi"/>
          <w:iCs/>
        </w:rPr>
        <w:t>Em 23 de outubro de 2018, foi publicada no DOU a Resolução nº 14 do CNPE, que estabelece condições iniciais para a viabilização de Angra 3, confirmando as decisões da 4ª Reunião Extraordinária do CNPE, ocorrida no dia 09 de outubro de 2018, que apreciou as considerações do referido Grupo de Trabalho. Tal resolução determinou a aprovação do valor de referência para o preço de energia de Angra 3, de R$ 480,00/MWh (base julho de 2018), conforme calculado pela Empresa de pesquisa Energética - EPE, bem como remeter ao Conselho do Programa de Parceria de Investimento a avaliação dos três modelos propostos pelo Grupo de Trabalho para a viabilização de Angra 3 por meio de participação de investidor privado (societária, não societária e sociedade de propósito específico - SPE) e definição do modelo de negócio e processo competitivo mais adequados.</w:t>
      </w:r>
    </w:p>
    <w:p w14:paraId="4963A9CF" w14:textId="77777777" w:rsidR="006009AC" w:rsidRPr="00C11BC9" w:rsidRDefault="006009AC" w:rsidP="005C2926">
      <w:pPr>
        <w:jc w:val="both"/>
        <w:rPr>
          <w:rFonts w:ascii="Verdana" w:hAnsi="Verdana" w:cstheme="minorHAnsi"/>
        </w:rPr>
      </w:pPr>
      <w:r w:rsidRPr="00C11BC9">
        <w:rPr>
          <w:rFonts w:ascii="Verdana" w:hAnsi="Verdana" w:cstheme="minorHAnsi"/>
          <w:iCs/>
        </w:rPr>
        <w:t>Essa revisão tarifária foi fundamental, pois, além de dar condições para a renegociação da dívida, restabeleceu a atratividade do projeto, fortalecendo o interesse dos eventuais parceiros.</w:t>
      </w:r>
    </w:p>
    <w:p w14:paraId="0F763787" w14:textId="77777777" w:rsidR="006009AC" w:rsidRPr="00C11BC9" w:rsidRDefault="006009AC" w:rsidP="005C2926">
      <w:pPr>
        <w:jc w:val="both"/>
        <w:rPr>
          <w:rFonts w:ascii="Verdana" w:hAnsi="Verdana" w:cstheme="minorHAnsi"/>
        </w:rPr>
      </w:pPr>
      <w:r w:rsidRPr="00C11BC9">
        <w:rPr>
          <w:rFonts w:ascii="Verdana" w:hAnsi="Verdana" w:cstheme="minorHAnsi"/>
          <w:iCs/>
        </w:rPr>
        <w:t xml:space="preserve">Conforme orientação do Conselho de Programa de Parcerias de Investimentos - CPPI, a </w:t>
      </w:r>
      <w:r w:rsidR="00397D36" w:rsidRPr="00C11BC9">
        <w:rPr>
          <w:rFonts w:ascii="Verdana" w:hAnsi="Verdana" w:cstheme="minorHAnsi"/>
          <w:iCs/>
        </w:rPr>
        <w:t>controlada Eletronuclear</w:t>
      </w:r>
      <w:r w:rsidRPr="00C11BC9">
        <w:rPr>
          <w:rFonts w:ascii="Verdana" w:hAnsi="Verdana" w:cstheme="minorHAnsi"/>
          <w:iCs/>
        </w:rPr>
        <w:t xml:space="preserve"> realizou, em maio e junho de 2019, o processo de </w:t>
      </w:r>
      <w:r w:rsidRPr="00C11BC9">
        <w:rPr>
          <w:rFonts w:ascii="Verdana" w:hAnsi="Verdana" w:cstheme="minorHAnsi"/>
          <w:i/>
          <w:iCs/>
        </w:rPr>
        <w:t xml:space="preserve">Market </w:t>
      </w:r>
      <w:proofErr w:type="spellStart"/>
      <w:r w:rsidRPr="00C11BC9">
        <w:rPr>
          <w:rFonts w:ascii="Verdana" w:hAnsi="Verdana" w:cstheme="minorHAnsi"/>
          <w:i/>
          <w:iCs/>
        </w:rPr>
        <w:t>Sounding</w:t>
      </w:r>
      <w:proofErr w:type="spellEnd"/>
      <w:r w:rsidRPr="00C11BC9">
        <w:rPr>
          <w:rFonts w:ascii="Verdana" w:hAnsi="Verdana" w:cstheme="minorHAnsi"/>
          <w:iCs/>
        </w:rPr>
        <w:t xml:space="preserve"> junto aos potenciais parceiros, detentores e proprietários de tecnologia de usinas nucleares à água pressurizada (PWR), com experiência em construção e comissionamento de usinas nucleares e atuação internacional no setor nuclear. Após convites e confirmações de interesse em participar desta etapa, as empresas que participaram deste processo foram: </w:t>
      </w:r>
      <w:proofErr w:type="spellStart"/>
      <w:r w:rsidRPr="00C11BC9">
        <w:rPr>
          <w:rFonts w:ascii="Verdana" w:hAnsi="Verdana" w:cstheme="minorHAnsi"/>
          <w:i/>
          <w:iCs/>
        </w:rPr>
        <w:t>Électricité</w:t>
      </w:r>
      <w:proofErr w:type="spellEnd"/>
      <w:r w:rsidRPr="00C11BC9">
        <w:rPr>
          <w:rFonts w:ascii="Verdana" w:hAnsi="Verdana" w:cstheme="minorHAnsi"/>
          <w:i/>
          <w:iCs/>
        </w:rPr>
        <w:t xml:space="preserve"> de France</w:t>
      </w:r>
      <w:r w:rsidRPr="00C11BC9">
        <w:rPr>
          <w:rFonts w:ascii="Verdana" w:hAnsi="Verdana" w:cstheme="minorHAnsi"/>
          <w:iCs/>
        </w:rPr>
        <w:t xml:space="preserve"> - EDF e </w:t>
      </w:r>
      <w:proofErr w:type="spellStart"/>
      <w:r w:rsidRPr="00C11BC9">
        <w:rPr>
          <w:rFonts w:ascii="Verdana" w:hAnsi="Verdana" w:cstheme="minorHAnsi"/>
          <w:iCs/>
        </w:rPr>
        <w:t>Framatome</w:t>
      </w:r>
      <w:proofErr w:type="spellEnd"/>
      <w:r w:rsidRPr="00C11BC9">
        <w:rPr>
          <w:rFonts w:ascii="Verdana" w:hAnsi="Verdana" w:cstheme="minorHAnsi"/>
          <w:iCs/>
        </w:rPr>
        <w:t xml:space="preserve"> (ambas da França), </w:t>
      </w:r>
      <w:proofErr w:type="spellStart"/>
      <w:r w:rsidRPr="00C11BC9">
        <w:rPr>
          <w:rFonts w:ascii="Verdana" w:hAnsi="Verdana" w:cstheme="minorHAnsi"/>
          <w:i/>
          <w:iCs/>
        </w:rPr>
        <w:t>Rosatom</w:t>
      </w:r>
      <w:proofErr w:type="spellEnd"/>
      <w:r w:rsidRPr="00C11BC9">
        <w:rPr>
          <w:rFonts w:ascii="Verdana" w:hAnsi="Verdana" w:cstheme="minorHAnsi"/>
          <w:i/>
          <w:iCs/>
        </w:rPr>
        <w:t xml:space="preserve"> </w:t>
      </w:r>
      <w:proofErr w:type="spellStart"/>
      <w:r w:rsidRPr="00C11BC9">
        <w:rPr>
          <w:rFonts w:ascii="Verdana" w:hAnsi="Verdana" w:cstheme="minorHAnsi"/>
          <w:i/>
          <w:iCs/>
        </w:rPr>
        <w:t>State</w:t>
      </w:r>
      <w:proofErr w:type="spellEnd"/>
      <w:r w:rsidRPr="00C11BC9">
        <w:rPr>
          <w:rFonts w:ascii="Verdana" w:hAnsi="Verdana" w:cstheme="minorHAnsi"/>
          <w:i/>
          <w:iCs/>
        </w:rPr>
        <w:t xml:space="preserve"> Atomic Energy Corporation </w:t>
      </w:r>
      <w:r w:rsidRPr="00C11BC9">
        <w:rPr>
          <w:rFonts w:ascii="Verdana" w:hAnsi="Verdana" w:cstheme="minorHAnsi"/>
          <w:iCs/>
        </w:rPr>
        <w:t xml:space="preserve">(Rússia), </w:t>
      </w:r>
      <w:r w:rsidRPr="00C11BC9">
        <w:rPr>
          <w:rFonts w:ascii="Verdana" w:hAnsi="Verdana" w:cstheme="minorHAnsi"/>
          <w:i/>
          <w:iCs/>
        </w:rPr>
        <w:t>China Nacional Nuclear Corporation</w:t>
      </w:r>
      <w:r w:rsidRPr="00C11BC9">
        <w:rPr>
          <w:rFonts w:ascii="Verdana" w:hAnsi="Verdana" w:cstheme="minorHAnsi"/>
          <w:iCs/>
        </w:rPr>
        <w:t xml:space="preserve"> - CNNC e </w:t>
      </w:r>
      <w:proofErr w:type="spellStart"/>
      <w:r w:rsidRPr="00C11BC9">
        <w:rPr>
          <w:rFonts w:ascii="Verdana" w:hAnsi="Verdana" w:cstheme="minorHAnsi"/>
          <w:i/>
          <w:iCs/>
        </w:rPr>
        <w:t>State</w:t>
      </w:r>
      <w:proofErr w:type="spellEnd"/>
      <w:r w:rsidRPr="00C11BC9">
        <w:rPr>
          <w:rFonts w:ascii="Verdana" w:hAnsi="Verdana" w:cstheme="minorHAnsi"/>
          <w:i/>
          <w:iCs/>
        </w:rPr>
        <w:t xml:space="preserve"> Nuclear Power Technology </w:t>
      </w:r>
      <w:r w:rsidRPr="00C11BC9">
        <w:rPr>
          <w:rFonts w:ascii="Verdana" w:hAnsi="Verdana" w:cstheme="minorHAnsi"/>
          <w:iCs/>
        </w:rPr>
        <w:t>-</w:t>
      </w:r>
      <w:r w:rsidRPr="00C11BC9">
        <w:rPr>
          <w:rFonts w:ascii="Verdana" w:hAnsi="Verdana" w:cstheme="minorHAnsi"/>
          <w:i/>
          <w:iCs/>
        </w:rPr>
        <w:t xml:space="preserve"> SNPTC</w:t>
      </w:r>
      <w:r w:rsidRPr="00C11BC9">
        <w:rPr>
          <w:rFonts w:ascii="Verdana" w:hAnsi="Verdana" w:cstheme="minorHAnsi"/>
          <w:iCs/>
        </w:rPr>
        <w:t xml:space="preserve"> (ambas chinesas), </w:t>
      </w:r>
      <w:r w:rsidRPr="00C11BC9">
        <w:rPr>
          <w:rFonts w:ascii="Verdana" w:hAnsi="Verdana" w:cstheme="minorHAnsi"/>
          <w:i/>
          <w:iCs/>
        </w:rPr>
        <w:t>Korea Electric Power Corporation</w:t>
      </w:r>
      <w:r w:rsidRPr="00C11BC9">
        <w:rPr>
          <w:rFonts w:ascii="Verdana" w:hAnsi="Verdana" w:cstheme="minorHAnsi"/>
          <w:iCs/>
        </w:rPr>
        <w:t xml:space="preserve"> - KEPCO (Coreia) e </w:t>
      </w:r>
      <w:r w:rsidRPr="00C11BC9">
        <w:rPr>
          <w:rFonts w:ascii="Verdana" w:hAnsi="Verdana" w:cstheme="minorHAnsi"/>
          <w:i/>
          <w:iCs/>
        </w:rPr>
        <w:t>Westinghouse</w:t>
      </w:r>
      <w:r w:rsidRPr="00C11BC9">
        <w:rPr>
          <w:rFonts w:ascii="Verdana" w:hAnsi="Verdana" w:cstheme="minorHAnsi"/>
          <w:iCs/>
        </w:rPr>
        <w:t xml:space="preserve"> (EUA). Os potenciais parceiros enviaram seus questionamentos sobre o documento recebido e suas considerações sobre os modelos propostos, que foram apresentadas durante reuniões individuais com cada potencial parceiro interessado na viabilização de Angra 3. O relatório com os resultados do processo foi encaminhado à Eletrobras, MME e CPPI em julho de 2019. É importante ressaltar que grande parte dessas empresas já visitaram o sítio e estabeleceram Memorandos de Entendimento com a </w:t>
      </w:r>
      <w:r w:rsidR="00397D36" w:rsidRPr="00C11BC9">
        <w:rPr>
          <w:rFonts w:ascii="Verdana" w:hAnsi="Verdana" w:cstheme="minorHAnsi"/>
          <w:iCs/>
        </w:rPr>
        <w:t>controlada Eletronuclear</w:t>
      </w:r>
      <w:r w:rsidRPr="00C11BC9">
        <w:rPr>
          <w:rFonts w:ascii="Verdana" w:hAnsi="Verdana" w:cstheme="minorHAnsi"/>
          <w:iCs/>
        </w:rPr>
        <w:t xml:space="preserve"> para troca de informações sobre o Projeto.</w:t>
      </w:r>
    </w:p>
    <w:p w14:paraId="453CFAE7" w14:textId="77777777" w:rsidR="006009AC" w:rsidRPr="00C11BC9" w:rsidRDefault="006009AC" w:rsidP="005C2926">
      <w:pPr>
        <w:jc w:val="both"/>
        <w:rPr>
          <w:rFonts w:ascii="Verdana" w:hAnsi="Verdana" w:cstheme="minorHAnsi"/>
        </w:rPr>
      </w:pPr>
      <w:r w:rsidRPr="00C11BC9">
        <w:rPr>
          <w:rFonts w:ascii="Verdana" w:hAnsi="Verdana" w:cstheme="minorHAnsi"/>
          <w:iCs/>
        </w:rPr>
        <w:t xml:space="preserve">Em 16 de julho de 2019, foi publicado o Decreto Presidencial nº 9915/2019 que qualificou Angra 3 no Programa de Parceria de Investimentos - PPI. O mesmo decreto criou um Comitê Interministerial para conduzir o processo de definição do modelo de negócio a ser efetivamente adotado. O Comitê é formado por representantes do Ministério de Minas e Energia, Ministério da Economia, do PPI e do Gabinete de </w:t>
      </w:r>
      <w:r w:rsidRPr="00C11BC9">
        <w:rPr>
          <w:rFonts w:ascii="Verdana" w:hAnsi="Verdana" w:cstheme="minorHAnsi"/>
          <w:iCs/>
        </w:rPr>
        <w:lastRenderedPageBreak/>
        <w:t xml:space="preserve">Segurança Institucional da Presidência da República. O parágrafo único do artigo 2º do aludido decreto presidencial prevê que a </w:t>
      </w:r>
      <w:r w:rsidR="00397D36" w:rsidRPr="00C11BC9">
        <w:rPr>
          <w:rFonts w:ascii="Verdana" w:hAnsi="Verdana" w:cstheme="minorHAnsi"/>
          <w:iCs/>
        </w:rPr>
        <w:t>controlada Eletronuclear</w:t>
      </w:r>
      <w:r w:rsidRPr="00C11BC9">
        <w:rPr>
          <w:rFonts w:ascii="Verdana" w:hAnsi="Verdana" w:cstheme="minorHAnsi"/>
          <w:iCs/>
        </w:rPr>
        <w:t xml:space="preserve"> contrate estudos independentes para suportar a decisão final do CPPI, na seleção do modelo.</w:t>
      </w:r>
    </w:p>
    <w:p w14:paraId="4F7246FC" w14:textId="77777777" w:rsidR="006009AC" w:rsidRPr="00C11BC9" w:rsidRDefault="006009AC" w:rsidP="005C2926">
      <w:pPr>
        <w:jc w:val="both"/>
        <w:rPr>
          <w:rFonts w:ascii="Verdana" w:hAnsi="Verdana" w:cstheme="minorHAnsi"/>
        </w:rPr>
      </w:pPr>
      <w:r w:rsidRPr="00C11BC9">
        <w:rPr>
          <w:rFonts w:ascii="Verdana" w:hAnsi="Verdana" w:cstheme="minorHAnsi"/>
          <w:iCs/>
        </w:rPr>
        <w:t xml:space="preserve">Em 25 de outubro de 2019, foi assinado o contrato com o BNDES para a estruturação do modelo jurídico, econômico e operacional junto à iniciativa privada para a construção, manutenção e exploração de Angra 3. O escopo do trabalho inclui a avaliação independente do trabalho de modelagem realizado pela </w:t>
      </w:r>
      <w:r w:rsidR="00397D36" w:rsidRPr="00C11BC9">
        <w:rPr>
          <w:rFonts w:ascii="Verdana" w:hAnsi="Verdana" w:cstheme="minorHAnsi"/>
          <w:iCs/>
        </w:rPr>
        <w:t>controlada Eletronuclear</w:t>
      </w:r>
      <w:r w:rsidRPr="00C11BC9">
        <w:rPr>
          <w:rFonts w:ascii="Verdana" w:hAnsi="Verdana" w:cstheme="minorHAnsi"/>
          <w:iCs/>
        </w:rPr>
        <w:t xml:space="preserve"> anteriormente, conjuntamente com a Alvarez &amp; Marsal, e recomendação sobre modelo de negócios mais adequado a ser adotado para a conclusão de Angra 3, bem como estruturação, condução e conclusão do processo de seleção de um parceiro e dos atos contratuais decorrentes.</w:t>
      </w:r>
    </w:p>
    <w:p w14:paraId="6E1A0DEE" w14:textId="77777777" w:rsidR="006009AC" w:rsidRPr="00C11BC9" w:rsidRDefault="006009AC" w:rsidP="005C2926">
      <w:pPr>
        <w:jc w:val="both"/>
        <w:rPr>
          <w:rFonts w:ascii="Verdana" w:hAnsi="Verdana" w:cstheme="minorHAnsi"/>
          <w:iCs/>
        </w:rPr>
      </w:pPr>
      <w:r w:rsidRPr="00C11BC9">
        <w:rPr>
          <w:rFonts w:ascii="Verdana" w:hAnsi="Verdana" w:cstheme="minorHAnsi"/>
          <w:iCs/>
        </w:rPr>
        <w:t xml:space="preserve">A minuta do relatório com os resultados da fase 1, com a indicação do modelo, foi entregue em janeiro de 2020. </w:t>
      </w:r>
    </w:p>
    <w:p w14:paraId="7895623D" w14:textId="77777777" w:rsidR="006009AC" w:rsidRPr="00C11BC9" w:rsidRDefault="006009AC" w:rsidP="005C2926">
      <w:pPr>
        <w:jc w:val="both"/>
        <w:rPr>
          <w:rFonts w:ascii="Verdana" w:hAnsi="Verdana" w:cstheme="minorHAnsi"/>
          <w:iCs/>
        </w:rPr>
      </w:pPr>
      <w:r w:rsidRPr="00C11BC9">
        <w:rPr>
          <w:rFonts w:ascii="Verdana" w:hAnsi="Verdana" w:cstheme="minorHAnsi"/>
          <w:iCs/>
        </w:rPr>
        <w:t>Em 10 de junho de 2020, após validação do Comitê Interministerial, o modelo alternativo proposto no relatório final da primeira fase do trabalho realizado pelo BNDES, para a viabilização da retomada do empreendimento de Angra 3, foi aprovado em reunião do Conselho do Programa de Parcerias de Investimentos - CPPI, dando início à segunda fase do contrato no qual está prevista a estruturação do modelo proposto. O documento recomenda a contratação de uma empresa especializada por contrato de EPC - o que significa engenharia, gestão de compras e construção, na tradução do inglês - para terminar a obra, com base em avaliação independente feita pelo BNDES. Após a entrega do modelo proposto de retomada, o banco iniciou a fase seguinte, com o detalhamento do modelo selecionado. Nessa reunião, o CPPI também decidiu que, uma vez que a equalização do empreendimento não carece necessariamente de uma parceria nos moldes do programa do PPI, o projeto seja encaminhado ao Conselho Nacional de Política Energética - CNPE que fará o acompanhamento do trabalho elaborado pelo BNDES.</w:t>
      </w:r>
      <w:bookmarkEnd w:id="7"/>
    </w:p>
    <w:p w14:paraId="15E6A4E4" w14:textId="77777777" w:rsidR="006009AC" w:rsidRPr="00C11BC9" w:rsidRDefault="006009AC" w:rsidP="005C2926">
      <w:pPr>
        <w:jc w:val="both"/>
        <w:rPr>
          <w:rFonts w:ascii="Verdana" w:hAnsi="Verdana" w:cstheme="minorHAnsi"/>
          <w:iCs/>
        </w:rPr>
      </w:pPr>
      <w:bookmarkStart w:id="8" w:name="_Hlk66659174"/>
      <w:r w:rsidRPr="00C11BC9">
        <w:rPr>
          <w:rFonts w:ascii="Verdana" w:hAnsi="Verdana" w:cstheme="minorHAnsi"/>
          <w:iCs/>
        </w:rPr>
        <w:t xml:space="preserve">Apesar da decisão final pela contratação de uma empresa especialista para conclusão de Angra 3, o CPPI abriu espaço para a entrada de um sócio no empreendimento, afirmando que essa seria uma escolha estratégica da </w:t>
      </w:r>
      <w:r w:rsidR="00397D36" w:rsidRPr="00C11BC9">
        <w:rPr>
          <w:rFonts w:ascii="Verdana" w:hAnsi="Verdana" w:cstheme="minorHAnsi"/>
          <w:iCs/>
        </w:rPr>
        <w:t>controlada Eletronuclear</w:t>
      </w:r>
      <w:r w:rsidRPr="00C11BC9">
        <w:rPr>
          <w:rFonts w:ascii="Verdana" w:hAnsi="Verdana" w:cstheme="minorHAnsi"/>
          <w:iCs/>
        </w:rPr>
        <w:t>. Caso a Companhia resolva efetivamente selecionar um parceiro, este teria participação minoritária pois a exploração da energia nuclear no Brasil é monopólio da União, segundo a Constituição. Grandes empresas da área nuclear já demonstraram interesse na conclusão de Angra 3.</w:t>
      </w:r>
    </w:p>
    <w:p w14:paraId="4C507381" w14:textId="77777777" w:rsidR="006009AC" w:rsidRPr="00C11BC9" w:rsidRDefault="006009AC" w:rsidP="005C2926">
      <w:pPr>
        <w:pStyle w:val="xmsonormal"/>
        <w:shd w:val="clear" w:color="auto" w:fill="FFFFFF"/>
        <w:spacing w:before="0" w:beforeAutospacing="0" w:after="160" w:afterAutospacing="0"/>
        <w:rPr>
          <w:rFonts w:ascii="Verdana" w:hAnsi="Verdana" w:cstheme="minorHAnsi"/>
          <w:iCs/>
          <w:szCs w:val="22"/>
        </w:rPr>
      </w:pPr>
      <w:r w:rsidRPr="00C11BC9">
        <w:rPr>
          <w:rFonts w:ascii="Verdana" w:hAnsi="Verdana" w:cstheme="minorHAnsi"/>
          <w:iCs/>
          <w:szCs w:val="22"/>
        </w:rPr>
        <w:t xml:space="preserve">Os trabalhos conduzidos pelo BNDES, atualmente em sua fase 2, concentram-se atualmente na realização da </w:t>
      </w:r>
      <w:proofErr w:type="spellStart"/>
      <w:r w:rsidRPr="00C11BC9">
        <w:rPr>
          <w:rFonts w:ascii="Verdana" w:hAnsi="Verdana" w:cstheme="minorHAnsi"/>
          <w:i/>
          <w:iCs/>
          <w:szCs w:val="22"/>
        </w:rPr>
        <w:t>Due</w:t>
      </w:r>
      <w:proofErr w:type="spellEnd"/>
      <w:r w:rsidRPr="00C11BC9">
        <w:rPr>
          <w:rFonts w:ascii="Verdana" w:hAnsi="Verdana" w:cstheme="minorHAnsi"/>
          <w:i/>
          <w:iCs/>
          <w:szCs w:val="22"/>
        </w:rPr>
        <w:t xml:space="preserve"> </w:t>
      </w:r>
      <w:proofErr w:type="spellStart"/>
      <w:r w:rsidRPr="00C11BC9">
        <w:rPr>
          <w:rFonts w:ascii="Verdana" w:hAnsi="Verdana" w:cstheme="minorHAnsi"/>
          <w:i/>
          <w:iCs/>
          <w:szCs w:val="22"/>
        </w:rPr>
        <w:t>Diligence</w:t>
      </w:r>
      <w:proofErr w:type="spellEnd"/>
      <w:r w:rsidRPr="00C11BC9">
        <w:rPr>
          <w:rFonts w:ascii="Verdana" w:hAnsi="Verdana" w:cstheme="minorHAnsi"/>
          <w:iCs/>
          <w:szCs w:val="22"/>
        </w:rPr>
        <w:t xml:space="preserve"> Técnico-Operacional pelo consórcio formado pelas empresas Tractebel Brasil, Tractebel Bélgica e Empresários Agrupados (Espanha), contratadas pelo BNDES. Os trabalhos tiveram início em julho de 2021 e a segunda revisão da versão final do relatório da fase 2 foi entregue. Também estão em curso a </w:t>
      </w:r>
      <w:proofErr w:type="spellStart"/>
      <w:r w:rsidRPr="00C11BC9">
        <w:rPr>
          <w:rFonts w:ascii="Verdana" w:hAnsi="Verdana" w:cstheme="minorHAnsi"/>
          <w:i/>
          <w:iCs/>
          <w:szCs w:val="22"/>
        </w:rPr>
        <w:t>Due</w:t>
      </w:r>
      <w:proofErr w:type="spellEnd"/>
      <w:r w:rsidRPr="00C11BC9">
        <w:rPr>
          <w:rFonts w:ascii="Verdana" w:hAnsi="Verdana" w:cstheme="minorHAnsi"/>
          <w:i/>
          <w:iCs/>
          <w:szCs w:val="22"/>
        </w:rPr>
        <w:t xml:space="preserve"> </w:t>
      </w:r>
      <w:proofErr w:type="spellStart"/>
      <w:r w:rsidRPr="00C11BC9">
        <w:rPr>
          <w:rFonts w:ascii="Verdana" w:hAnsi="Verdana" w:cstheme="minorHAnsi"/>
          <w:i/>
          <w:iCs/>
          <w:szCs w:val="22"/>
        </w:rPr>
        <w:t>Diligence</w:t>
      </w:r>
      <w:proofErr w:type="spellEnd"/>
      <w:r w:rsidRPr="00C11BC9">
        <w:rPr>
          <w:rFonts w:ascii="Verdana" w:hAnsi="Verdana" w:cstheme="minorHAnsi"/>
          <w:iCs/>
          <w:szCs w:val="22"/>
        </w:rPr>
        <w:t xml:space="preserve"> Jurídica, a </w:t>
      </w:r>
      <w:proofErr w:type="spellStart"/>
      <w:r w:rsidRPr="00C11BC9">
        <w:rPr>
          <w:rFonts w:ascii="Verdana" w:hAnsi="Verdana" w:cstheme="minorHAnsi"/>
          <w:i/>
          <w:iCs/>
          <w:szCs w:val="22"/>
        </w:rPr>
        <w:t>Due</w:t>
      </w:r>
      <w:proofErr w:type="spellEnd"/>
      <w:r w:rsidRPr="00C11BC9">
        <w:rPr>
          <w:rFonts w:ascii="Verdana" w:hAnsi="Verdana" w:cstheme="minorHAnsi"/>
          <w:i/>
          <w:iCs/>
          <w:szCs w:val="22"/>
        </w:rPr>
        <w:t xml:space="preserve"> </w:t>
      </w:r>
      <w:proofErr w:type="spellStart"/>
      <w:r w:rsidRPr="00C11BC9">
        <w:rPr>
          <w:rFonts w:ascii="Verdana" w:hAnsi="Verdana" w:cstheme="minorHAnsi"/>
          <w:i/>
          <w:iCs/>
          <w:szCs w:val="22"/>
        </w:rPr>
        <w:t>Diligence</w:t>
      </w:r>
      <w:proofErr w:type="spellEnd"/>
      <w:r w:rsidRPr="00C11BC9">
        <w:rPr>
          <w:rFonts w:ascii="Verdana" w:hAnsi="Verdana" w:cstheme="minorHAnsi"/>
          <w:iCs/>
          <w:szCs w:val="22"/>
        </w:rPr>
        <w:t xml:space="preserve"> Contábil-Patrimonial, a Avaliação Ambiental e do licenciamento nuclear e a Avaliação de Recursos Humanos e previdenciária. Além disso tiveram início os trabalhos da Assessoria Financeira. Adicionalmente, os seguintes serviços técnicos especializados necessários à </w:t>
      </w:r>
      <w:r w:rsidRPr="00C11BC9">
        <w:rPr>
          <w:rFonts w:ascii="Verdana" w:hAnsi="Verdana" w:cstheme="minorHAnsi"/>
          <w:iCs/>
          <w:szCs w:val="22"/>
        </w:rPr>
        <w:lastRenderedPageBreak/>
        <w:t>estruturação do modelo estão em fase de contratação pelo BNDES: Modelagem da reestruturação; Assessoria Jurídica; Assessoria de Comunicação; Outros Serviços Especializados.</w:t>
      </w:r>
    </w:p>
    <w:p w14:paraId="456BE9F0" w14:textId="77777777" w:rsidR="006009AC" w:rsidRPr="00C11BC9" w:rsidRDefault="006009AC" w:rsidP="005C2926">
      <w:pPr>
        <w:jc w:val="both"/>
        <w:rPr>
          <w:rFonts w:ascii="Verdana" w:hAnsi="Verdana" w:cstheme="minorHAnsi"/>
          <w:lang w:eastAsia="en-GB"/>
        </w:rPr>
      </w:pPr>
      <w:bookmarkStart w:id="9" w:name="_Hlk66659182"/>
      <w:bookmarkEnd w:id="8"/>
      <w:r w:rsidRPr="00C11BC9">
        <w:rPr>
          <w:rFonts w:ascii="Verdana" w:hAnsi="Verdana" w:cstheme="minorHAnsi"/>
          <w:lang w:eastAsia="en-GB"/>
        </w:rPr>
        <w:t xml:space="preserve">Em paralelo ao trabalho desenvolvido pelo BNDES, após as respectivas apresentações do relatório para o Conselho da Eletrobras e da </w:t>
      </w:r>
      <w:r w:rsidR="00397D36" w:rsidRPr="00C11BC9">
        <w:rPr>
          <w:rFonts w:ascii="Verdana" w:hAnsi="Verdana" w:cstheme="minorHAnsi"/>
          <w:lang w:eastAsia="en-GB"/>
        </w:rPr>
        <w:t>controlada Eletronuclear</w:t>
      </w:r>
      <w:r w:rsidRPr="00C11BC9">
        <w:rPr>
          <w:rFonts w:ascii="Verdana" w:hAnsi="Verdana" w:cstheme="minorHAnsi"/>
          <w:lang w:eastAsia="en-GB"/>
        </w:rPr>
        <w:t>, foi solicitado um estudo adicional sobre riscos e alternativas caso a implementação do modelo proposto sofra atrasos em função de fatos não gerenciáveis pela empresa. </w:t>
      </w:r>
    </w:p>
    <w:p w14:paraId="57FA805E" w14:textId="77777777" w:rsidR="006009AC" w:rsidRPr="00C11BC9" w:rsidRDefault="006009AC" w:rsidP="005C2926">
      <w:pPr>
        <w:jc w:val="both"/>
        <w:rPr>
          <w:rFonts w:ascii="Verdana" w:hAnsi="Verdana" w:cstheme="minorHAnsi"/>
          <w:lang w:eastAsia="en-GB"/>
        </w:rPr>
      </w:pPr>
      <w:r w:rsidRPr="00C11BC9">
        <w:rPr>
          <w:rFonts w:ascii="Verdana" w:hAnsi="Verdana" w:cstheme="minorHAnsi"/>
          <w:lang w:eastAsia="en-GB"/>
        </w:rPr>
        <w:t xml:space="preserve">Em 17 de agosto de 2020, na esteira da aprovação pelo CPPI, em junho de 2020, do relatório do comitê interministerial sobre o modelo de negócios para concluir Angra 3, a Eletrobras aprovou o Plano de Aceleração da Linha Crítica do empreendimento, com a previsão de aporte na </w:t>
      </w:r>
      <w:r w:rsidR="00397D36" w:rsidRPr="00C11BC9">
        <w:rPr>
          <w:rFonts w:ascii="Verdana" w:hAnsi="Verdana" w:cstheme="minorHAnsi"/>
          <w:lang w:eastAsia="en-GB"/>
        </w:rPr>
        <w:t>controlada Eletronuclear</w:t>
      </w:r>
      <w:r w:rsidRPr="00C11BC9">
        <w:rPr>
          <w:rFonts w:ascii="Verdana" w:hAnsi="Verdana" w:cstheme="minorHAnsi"/>
          <w:lang w:eastAsia="en-GB"/>
        </w:rPr>
        <w:t>, por meio de Adiantamentos para Futuro Aumento de Capital – AFAC, de cerca de R$ 1.052.181 no ano de 2020 e de aproximadamente R$ 2.447.464 em 2021, para viabilizar a retomada das obras de construção de Angra 3. O montante total do AFAC consta no Plano Diretor de Negócios e Gestão – PDNG (2020-2024) da Eletrobras.</w:t>
      </w:r>
    </w:p>
    <w:p w14:paraId="401B6A5E" w14:textId="77777777" w:rsidR="006009AC" w:rsidRPr="00C11BC9" w:rsidRDefault="006009AC" w:rsidP="005C2926">
      <w:pPr>
        <w:jc w:val="both"/>
        <w:rPr>
          <w:rFonts w:ascii="Verdana" w:hAnsi="Verdana" w:cstheme="minorHAnsi"/>
          <w:lang w:eastAsia="en-GB"/>
        </w:rPr>
      </w:pPr>
      <w:r w:rsidRPr="00C11BC9">
        <w:rPr>
          <w:rFonts w:ascii="Verdana" w:hAnsi="Verdana" w:cstheme="minorHAnsi"/>
          <w:lang w:eastAsia="en-GB"/>
        </w:rPr>
        <w:t xml:space="preserve">Os aportes iniciais aprovados no âmbito do Programa de Aceleração da Linha Crítica serão realizados pela Eletrobras na </w:t>
      </w:r>
      <w:r w:rsidR="00397D36" w:rsidRPr="00C11BC9">
        <w:rPr>
          <w:rFonts w:ascii="Verdana" w:hAnsi="Verdana" w:cstheme="minorHAnsi"/>
          <w:lang w:eastAsia="en-GB"/>
        </w:rPr>
        <w:t>controlada Eletronuclear</w:t>
      </w:r>
      <w:r w:rsidRPr="00C11BC9">
        <w:rPr>
          <w:rFonts w:ascii="Verdana" w:hAnsi="Verdana" w:cstheme="minorHAnsi"/>
          <w:lang w:eastAsia="en-GB"/>
        </w:rPr>
        <w:t xml:space="preserve"> por meio de Adiantamento para Futuro Aumento de Capital conforme o contrato ECF-3387, formalizado entre as partes em 05 de agosto de 2020. </w:t>
      </w:r>
    </w:p>
    <w:p w14:paraId="76CC7847" w14:textId="77777777" w:rsidR="006009AC" w:rsidRPr="00C11BC9" w:rsidRDefault="006009AC" w:rsidP="005C2926">
      <w:pPr>
        <w:jc w:val="both"/>
        <w:rPr>
          <w:rFonts w:ascii="Verdana" w:hAnsi="Verdana" w:cstheme="minorHAnsi"/>
          <w:lang w:eastAsia="en-GB"/>
        </w:rPr>
      </w:pPr>
      <w:r w:rsidRPr="00C11BC9">
        <w:rPr>
          <w:rFonts w:ascii="Verdana" w:hAnsi="Verdana" w:cstheme="minorHAnsi"/>
          <w:lang w:eastAsia="en-GB"/>
        </w:rPr>
        <w:t>O principal objetivo do plano de aceleração é preservar a data de entrada em operação da usina, prevista para fevereiro de 2028. O Plano de Aceleração ocorrerá paralelamente à execução da fase 2 do detalhamento do modelo selecionado pelo CPPI para conclusão de Angra 3 e não concorre com a solução para o projeto completo que vem sendo trabalhada pelo BNDES. Trata-se de uma ação corporativa com vistas a preservar o valor do empreendimento, sendo, portanto, complementar àquela.</w:t>
      </w:r>
    </w:p>
    <w:p w14:paraId="1D2F3DB9" w14:textId="77777777" w:rsidR="006009AC" w:rsidRPr="00C11BC9" w:rsidRDefault="006009AC" w:rsidP="005C2926">
      <w:pPr>
        <w:jc w:val="both"/>
        <w:rPr>
          <w:rFonts w:ascii="Verdana" w:hAnsi="Verdana" w:cstheme="minorHAnsi"/>
          <w:lang w:eastAsia="en-GB"/>
        </w:rPr>
      </w:pPr>
      <w:r w:rsidRPr="00C11BC9">
        <w:rPr>
          <w:rFonts w:ascii="Verdana" w:hAnsi="Verdana" w:cstheme="minorHAnsi"/>
          <w:lang w:eastAsia="en-GB"/>
        </w:rPr>
        <w:t>Essa decisão foi suportada por diversos estudos, dentre os quais destacamos uma análise que demonstrou que esses investimentos não trazem quaisquer empecilhos ao eventual processo de capitalização da Eletrobras.</w:t>
      </w:r>
    </w:p>
    <w:p w14:paraId="385F947C" w14:textId="77777777" w:rsidR="006009AC" w:rsidRPr="00C11BC9" w:rsidRDefault="006009AC" w:rsidP="005C2926">
      <w:pPr>
        <w:jc w:val="both"/>
        <w:rPr>
          <w:rFonts w:ascii="Verdana" w:hAnsi="Verdana" w:cstheme="minorHAnsi"/>
          <w:lang w:eastAsia="en-GB"/>
        </w:rPr>
      </w:pPr>
      <w:r w:rsidRPr="00C11BC9">
        <w:rPr>
          <w:rFonts w:ascii="Verdana" w:hAnsi="Verdana" w:cstheme="minorHAnsi"/>
          <w:lang w:eastAsia="en-GB"/>
        </w:rPr>
        <w:t>Entre as principais medidas que constam no Plano de Aceleração da Linha Crítica está a conclusão da superestrutura de concreto do edifício do reator de Angra 3 e o avanço de parte importante da montagem eletromecânica. Para viabilizar esse plano é necessária a contratação de uma empresa que será responsável por finalizar os projetos de engenharia e uma empreiteira para realizar as obras civis e a montagem eletromecânica.</w:t>
      </w:r>
    </w:p>
    <w:p w14:paraId="45D02E51" w14:textId="77777777" w:rsidR="006009AC" w:rsidRPr="00C11BC9" w:rsidRDefault="006009AC" w:rsidP="005C2926">
      <w:pPr>
        <w:jc w:val="both"/>
        <w:rPr>
          <w:rFonts w:ascii="Verdana" w:hAnsi="Verdana" w:cstheme="minorHAnsi"/>
          <w:lang w:eastAsia="en-GB"/>
        </w:rPr>
      </w:pPr>
      <w:r w:rsidRPr="00C11BC9">
        <w:rPr>
          <w:rFonts w:ascii="Verdana" w:hAnsi="Verdana" w:cstheme="minorHAnsi"/>
          <w:lang w:eastAsia="en-GB"/>
        </w:rPr>
        <w:t xml:space="preserve">Somam-se à lista de atividades para o retorno efetivo do projeto de Angra 3 a retomada de alguns contratos de fornecimento para o empreendimento que estavam suspensos ou paralisados, além do início do processo de licitação para contratação de novos fornecedores para atendimento das necessidades do empreendimento. Para tal foi firmado contrato com o escritório </w:t>
      </w:r>
      <w:proofErr w:type="spellStart"/>
      <w:r w:rsidRPr="00C11BC9">
        <w:rPr>
          <w:rFonts w:ascii="Verdana" w:hAnsi="Verdana" w:cstheme="minorHAnsi"/>
          <w:lang w:eastAsia="en-GB"/>
        </w:rPr>
        <w:t>Veirano</w:t>
      </w:r>
      <w:proofErr w:type="spellEnd"/>
      <w:r w:rsidRPr="00C11BC9">
        <w:rPr>
          <w:rFonts w:ascii="Verdana" w:hAnsi="Verdana" w:cstheme="minorHAnsi"/>
          <w:lang w:eastAsia="en-GB"/>
        </w:rPr>
        <w:t xml:space="preserve"> Advogados, que está auxiliando a Companhia no processo de retomada dos contratos de fornecimento de Angra 3. </w:t>
      </w:r>
      <w:r w:rsidRPr="00C11BC9">
        <w:rPr>
          <w:rFonts w:ascii="Verdana" w:hAnsi="Verdana" w:cstheme="minorHAnsi"/>
          <w:lang w:eastAsia="en-GB"/>
        </w:rPr>
        <w:lastRenderedPageBreak/>
        <w:t>Como consequência disso, contatos foram feitos com os fornecedores desses contratos, tendo-se iniciado o processo de renegociação caso a caso.</w:t>
      </w:r>
    </w:p>
    <w:p w14:paraId="5E8DA806" w14:textId="77777777" w:rsidR="006009AC" w:rsidRPr="00C11BC9" w:rsidRDefault="006009AC" w:rsidP="005C2926">
      <w:pPr>
        <w:jc w:val="both"/>
        <w:rPr>
          <w:rFonts w:ascii="Verdana" w:hAnsi="Verdana" w:cstheme="minorHAnsi"/>
          <w:lang w:eastAsia="en-GB"/>
        </w:rPr>
      </w:pPr>
      <w:r w:rsidRPr="00C11BC9">
        <w:rPr>
          <w:rFonts w:ascii="Verdana" w:hAnsi="Verdana" w:cstheme="minorHAnsi"/>
          <w:lang w:eastAsia="en-GB"/>
        </w:rPr>
        <w:t xml:space="preserve">Em janeiro de 2021, houve aprovação do descontingenciamento dos recursos necessários para a </w:t>
      </w:r>
      <w:r w:rsidR="00397D36" w:rsidRPr="00C11BC9">
        <w:rPr>
          <w:rFonts w:ascii="Verdana" w:hAnsi="Verdana" w:cstheme="minorHAnsi"/>
          <w:lang w:eastAsia="en-GB"/>
        </w:rPr>
        <w:t>controlada Eletronuclear</w:t>
      </w:r>
      <w:r w:rsidRPr="00C11BC9">
        <w:rPr>
          <w:rFonts w:ascii="Verdana" w:hAnsi="Verdana" w:cstheme="minorHAnsi"/>
          <w:lang w:eastAsia="en-GB"/>
        </w:rPr>
        <w:t xml:space="preserve"> publicar o edital de contratação da obra civil de Angra 3. Em 25 de fevereiro de 2021, a </w:t>
      </w:r>
      <w:r w:rsidR="00397D36" w:rsidRPr="00C11BC9">
        <w:rPr>
          <w:rFonts w:ascii="Verdana" w:hAnsi="Verdana" w:cstheme="minorHAnsi"/>
          <w:lang w:eastAsia="en-GB"/>
        </w:rPr>
        <w:t>controlada Eletronuclear</w:t>
      </w:r>
      <w:r w:rsidRPr="00C11BC9">
        <w:rPr>
          <w:rFonts w:ascii="Verdana" w:hAnsi="Verdana" w:cstheme="minorHAnsi"/>
          <w:lang w:eastAsia="en-GB"/>
        </w:rPr>
        <w:t xml:space="preserve"> publicou, no DOU, o edital para contratação da empresa que retomará a obra civil de Angra 3 e realizará parte da montagem eletromecânica.  </w:t>
      </w:r>
    </w:p>
    <w:p w14:paraId="7B73DCC5" w14:textId="77777777" w:rsidR="006009AC" w:rsidRPr="00C11BC9" w:rsidRDefault="006009AC" w:rsidP="005C2926">
      <w:pPr>
        <w:jc w:val="both"/>
        <w:rPr>
          <w:rFonts w:ascii="Verdana" w:hAnsi="Verdana" w:cstheme="minorHAnsi"/>
          <w:lang w:eastAsia="en-GB"/>
        </w:rPr>
      </w:pPr>
      <w:r w:rsidRPr="00C11BC9">
        <w:rPr>
          <w:rFonts w:ascii="Verdana" w:hAnsi="Verdana" w:cstheme="minorHAnsi"/>
          <w:lang w:eastAsia="en-GB"/>
        </w:rPr>
        <w:t>Em 29 de junho de 2021, foi realizada sessão pública para abertura das propostas da licitação para contratação da empresa responsável pela execução dos serviços de obras civis, no âmbito do Plano de Aceleração do Caminho Crítico. O licitante melhor classificado apresentou os documentos de habilitação para serem analisados. </w:t>
      </w:r>
    </w:p>
    <w:p w14:paraId="26E975AB" w14:textId="77777777" w:rsidR="006009AC" w:rsidRPr="00C11BC9" w:rsidRDefault="006009AC" w:rsidP="005C2926">
      <w:pPr>
        <w:jc w:val="both"/>
        <w:rPr>
          <w:rFonts w:ascii="Verdana" w:hAnsi="Verdana" w:cstheme="minorHAnsi"/>
          <w:color w:val="000000"/>
          <w:bdr w:val="none" w:sz="0" w:space="0" w:color="auto" w:frame="1"/>
        </w:rPr>
      </w:pPr>
      <w:r w:rsidRPr="00C11BC9">
        <w:rPr>
          <w:rFonts w:ascii="Verdana" w:hAnsi="Verdana" w:cstheme="minorHAnsi"/>
          <w:lang w:eastAsia="en-GB"/>
        </w:rPr>
        <w:t xml:space="preserve">Após análise e aprovação da documentação do licitante, o resultado foi divulgado em sessão pública realizada em 23 de julho de 2021, quando a </w:t>
      </w:r>
      <w:r w:rsidR="00397D36" w:rsidRPr="00C11BC9">
        <w:rPr>
          <w:rFonts w:ascii="Verdana" w:hAnsi="Verdana" w:cstheme="minorHAnsi"/>
          <w:lang w:eastAsia="en-GB"/>
        </w:rPr>
        <w:t>controlada Eletronuclear</w:t>
      </w:r>
      <w:r w:rsidRPr="00C11BC9">
        <w:rPr>
          <w:rFonts w:ascii="Verdana" w:hAnsi="Verdana" w:cstheme="minorHAnsi"/>
          <w:lang w:eastAsia="en-GB"/>
        </w:rPr>
        <w:t xml:space="preserve"> declarou o consórcio composto por Ferreira Guedes, Matricial e </w:t>
      </w:r>
      <w:proofErr w:type="spellStart"/>
      <w:r w:rsidRPr="00C11BC9">
        <w:rPr>
          <w:rFonts w:ascii="Verdana" w:hAnsi="Verdana" w:cstheme="minorHAnsi"/>
          <w:lang w:eastAsia="en-GB"/>
        </w:rPr>
        <w:t>ADtranz</w:t>
      </w:r>
      <w:proofErr w:type="spellEnd"/>
      <w:r w:rsidRPr="00C11BC9">
        <w:rPr>
          <w:rFonts w:ascii="Verdana" w:hAnsi="Verdana" w:cstheme="minorHAnsi"/>
          <w:lang w:eastAsia="en-GB"/>
        </w:rPr>
        <w:t xml:space="preserve"> vencedor da licitação.</w:t>
      </w:r>
      <w:r w:rsidRPr="00C11BC9">
        <w:rPr>
          <w:rFonts w:ascii="Verdana" w:hAnsi="Verdana" w:cstheme="minorHAnsi"/>
          <w:color w:val="000000"/>
        </w:rPr>
        <w:t xml:space="preserve"> O lance vencedor significou deságio de aproximadamente 16% em relação ao valor de referência. Após o fim da fase recursal da licitação, as empresas vencedoras</w:t>
      </w:r>
      <w:r w:rsidRPr="00C11BC9">
        <w:rPr>
          <w:rFonts w:ascii="Verdana" w:hAnsi="Verdana" w:cstheme="minorHAnsi"/>
          <w:lang w:eastAsia="en-GB"/>
        </w:rPr>
        <w:t> foram</w:t>
      </w:r>
      <w:r w:rsidRPr="00C11BC9">
        <w:rPr>
          <w:rFonts w:ascii="Verdana" w:hAnsi="Verdana" w:cstheme="minorHAnsi"/>
          <w:color w:val="0070C0"/>
          <w:bdr w:val="none" w:sz="0" w:space="0" w:color="auto" w:frame="1"/>
        </w:rPr>
        <w:t> </w:t>
      </w:r>
      <w:r w:rsidRPr="00C11BC9">
        <w:rPr>
          <w:rFonts w:ascii="Verdana" w:hAnsi="Verdana" w:cstheme="minorHAnsi"/>
          <w:color w:val="000000"/>
          <w:bdr w:val="none" w:sz="0" w:space="0" w:color="auto" w:frame="1"/>
        </w:rPr>
        <w:t>submetidas a uma avaliação de </w:t>
      </w:r>
      <w:proofErr w:type="spellStart"/>
      <w:r w:rsidRPr="00C11BC9">
        <w:rPr>
          <w:rFonts w:ascii="Verdana" w:hAnsi="Verdana" w:cstheme="minorHAnsi"/>
          <w:i/>
          <w:iCs/>
          <w:color w:val="000000"/>
          <w:bdr w:val="none" w:sz="0" w:space="0" w:color="auto" w:frame="1"/>
        </w:rPr>
        <w:t>compliance</w:t>
      </w:r>
      <w:proofErr w:type="spellEnd"/>
      <w:r w:rsidRPr="00C11BC9">
        <w:rPr>
          <w:rFonts w:ascii="Verdana" w:hAnsi="Verdana" w:cstheme="minorHAnsi"/>
          <w:color w:val="000000"/>
          <w:bdr w:val="none" w:sz="0" w:space="0" w:color="auto" w:frame="1"/>
        </w:rPr>
        <w:t>, antes de o processo ser encaminhado para homologação</w:t>
      </w:r>
    </w:p>
    <w:p w14:paraId="6553DD96" w14:textId="77777777" w:rsidR="006009AC" w:rsidRPr="00C11BC9" w:rsidRDefault="006009AC" w:rsidP="005C2926">
      <w:pPr>
        <w:pStyle w:val="xmsonormal"/>
        <w:shd w:val="clear" w:color="auto" w:fill="FFFFFF"/>
        <w:spacing w:before="0" w:beforeAutospacing="0" w:after="160" w:afterAutospacing="0"/>
        <w:rPr>
          <w:rFonts w:ascii="Verdana" w:hAnsi="Verdana" w:cstheme="minorHAnsi"/>
          <w:szCs w:val="22"/>
          <w:lang w:eastAsia="en-GB"/>
        </w:rPr>
      </w:pPr>
      <w:r w:rsidRPr="00C11BC9">
        <w:rPr>
          <w:rFonts w:ascii="Verdana" w:hAnsi="Verdana" w:cstheme="minorHAnsi"/>
          <w:szCs w:val="22"/>
          <w:lang w:eastAsia="en-GB"/>
        </w:rPr>
        <w:t xml:space="preserve">A assinatura do contrato ficou pendente da aprovação do Conselho de Administração da Eletrobras. Para dar suporte à decisão, a </w:t>
      </w:r>
      <w:r w:rsidR="00397D36" w:rsidRPr="00C11BC9">
        <w:rPr>
          <w:rFonts w:ascii="Verdana" w:hAnsi="Verdana" w:cstheme="minorHAnsi"/>
          <w:szCs w:val="22"/>
          <w:lang w:eastAsia="en-GB"/>
        </w:rPr>
        <w:t>controlada Eletronuclear</w:t>
      </w:r>
      <w:r w:rsidRPr="00C11BC9">
        <w:rPr>
          <w:rFonts w:ascii="Verdana" w:hAnsi="Verdana" w:cstheme="minorHAnsi"/>
          <w:szCs w:val="22"/>
          <w:lang w:eastAsia="en-GB"/>
        </w:rPr>
        <w:t xml:space="preserve"> realizou um estudo atualizado da tarifa de equilíbrio de Angra 3, incluindo cenários e análise de sensibilidade. Para realização do estudo mencionado, foi firmado em setembro de 2021 um aditamento contratual específico com a consultora Alvarez &amp; Marsal que apresentou os resultados para a </w:t>
      </w:r>
      <w:r w:rsidR="00397D36" w:rsidRPr="00C11BC9">
        <w:rPr>
          <w:rFonts w:ascii="Verdana" w:hAnsi="Verdana" w:cstheme="minorHAnsi"/>
          <w:szCs w:val="22"/>
          <w:lang w:eastAsia="en-GB"/>
        </w:rPr>
        <w:t>controlada Eletronuclear</w:t>
      </w:r>
      <w:r w:rsidRPr="00C11BC9">
        <w:rPr>
          <w:rFonts w:ascii="Verdana" w:hAnsi="Verdana" w:cstheme="minorHAnsi"/>
          <w:szCs w:val="22"/>
          <w:lang w:eastAsia="en-GB"/>
        </w:rPr>
        <w:t xml:space="preserve"> e para Eletrobras. </w:t>
      </w:r>
    </w:p>
    <w:p w14:paraId="5D68B3BC" w14:textId="77777777" w:rsidR="006009AC" w:rsidRPr="00C11BC9" w:rsidRDefault="006009AC" w:rsidP="005C2926">
      <w:pPr>
        <w:pStyle w:val="xmsonormal"/>
        <w:shd w:val="clear" w:color="auto" w:fill="FFFFFF"/>
        <w:spacing w:before="0" w:beforeAutospacing="0" w:after="160" w:afterAutospacing="0"/>
        <w:rPr>
          <w:rFonts w:ascii="Verdana" w:hAnsi="Verdana" w:cstheme="minorHAnsi"/>
          <w:szCs w:val="22"/>
          <w:lang w:eastAsia="en-GB"/>
        </w:rPr>
      </w:pPr>
      <w:r w:rsidRPr="00C11BC9">
        <w:rPr>
          <w:rFonts w:ascii="Verdana" w:hAnsi="Verdana" w:cstheme="minorHAnsi"/>
          <w:szCs w:val="22"/>
          <w:lang w:eastAsia="en-GB"/>
        </w:rPr>
        <w:t xml:space="preserve">Em 28 de janeiro de 2022, o Conselho de Administração da Eletrobras autorizou a assinatura do contrato com o consórcio composto por Ferreira Guedes, Matricial e </w:t>
      </w:r>
      <w:proofErr w:type="spellStart"/>
      <w:r w:rsidRPr="00C11BC9">
        <w:rPr>
          <w:rFonts w:ascii="Verdana" w:hAnsi="Verdana" w:cstheme="minorHAnsi"/>
          <w:szCs w:val="22"/>
          <w:lang w:eastAsia="en-GB"/>
        </w:rPr>
        <w:t>ADtranz</w:t>
      </w:r>
      <w:proofErr w:type="spellEnd"/>
      <w:r w:rsidRPr="00C11BC9">
        <w:rPr>
          <w:rFonts w:ascii="Verdana" w:hAnsi="Verdana" w:cstheme="minorHAnsi"/>
          <w:szCs w:val="22"/>
          <w:lang w:eastAsia="en-GB"/>
        </w:rPr>
        <w:t xml:space="preserve"> para realização das obras civis. Em ato contínuo, o contrato foi assinado em 9 de fevereiro de 2022. Será realizada outra licitação para contratar a empresa ou o consórcio que vai finalizar as obras civis e a montagem eletromecânica da usina. </w:t>
      </w:r>
    </w:p>
    <w:p w14:paraId="14C410E3" w14:textId="77777777" w:rsidR="006009AC" w:rsidRPr="00C11BC9" w:rsidRDefault="006009AC" w:rsidP="005C2926">
      <w:pPr>
        <w:jc w:val="both"/>
        <w:rPr>
          <w:rFonts w:ascii="Verdana" w:hAnsi="Verdana" w:cstheme="minorHAnsi"/>
          <w:iCs/>
        </w:rPr>
      </w:pPr>
      <w:bookmarkStart w:id="10" w:name="_Hlk66659268"/>
      <w:bookmarkEnd w:id="9"/>
      <w:r w:rsidRPr="00C11BC9">
        <w:rPr>
          <w:rFonts w:ascii="Verdana" w:hAnsi="Verdana" w:cstheme="minorHAnsi"/>
          <w:iCs/>
        </w:rPr>
        <w:t xml:space="preserve">Em que pesem as necessidades para a viabilidade de conclusão do empreendimento “Angra 3” estejam endereçadas no mais alto nível da administração governamental, por meio de esforços conjuntos do poder executivo e coordenados pelo Ministério de Minas e Energia - MME, a Companhia tem, juntamente com a Eletrobras, buscado alternativas para mitigar os riscos de liquidez de curto prazo, sendo estas alternativas alcançadas por meio de alívios no seu fluxo de caixa, </w:t>
      </w:r>
      <w:r w:rsidRPr="00DD4AF6">
        <w:rPr>
          <w:rFonts w:ascii="Verdana" w:hAnsi="Verdana" w:cstheme="minorHAnsi"/>
          <w:iCs/>
        </w:rPr>
        <w:t xml:space="preserve">sob a forma de manutenção de suspensões de pagamentos de amortizações em contratos de financiamentos junto à </w:t>
      </w:r>
      <w:r w:rsidR="00DD4AF6" w:rsidRPr="00DD4AF6">
        <w:rPr>
          <w:rFonts w:ascii="Verdana" w:hAnsi="Verdana" w:cstheme="minorHAnsi"/>
          <w:iCs/>
        </w:rPr>
        <w:t>Eletrobras.</w:t>
      </w:r>
    </w:p>
    <w:p w14:paraId="40C882EC" w14:textId="77777777" w:rsidR="006009AC" w:rsidRPr="00C11BC9" w:rsidRDefault="006009AC" w:rsidP="005C2926">
      <w:pPr>
        <w:jc w:val="both"/>
        <w:rPr>
          <w:rFonts w:ascii="Verdana" w:hAnsi="Verdana" w:cstheme="minorHAnsi"/>
          <w:iCs/>
        </w:rPr>
      </w:pPr>
      <w:bookmarkStart w:id="11" w:name="_Hlk66659279"/>
      <w:bookmarkEnd w:id="10"/>
      <w:r w:rsidRPr="00C11BC9">
        <w:rPr>
          <w:rFonts w:ascii="Verdana" w:hAnsi="Verdana" w:cstheme="minorHAnsi"/>
          <w:iCs/>
        </w:rPr>
        <w:t xml:space="preserve">Do ponto de vista legal e jurídico, em 01 de setembro de 2020, foi editada a Medida Provisória nº 998 de 2020 (DOU de  02 de setembro de 2020), que trazia diversos aspectos relevantes do Setor Elétrico Brasileiro e um artigo dedicado especificamente ao projeto de Angra 3, estabelecendo novos parâmetros para outorga da usina, além da autorização para celebração de um novo Contrato de Energia de Reserva - CER e, </w:t>
      </w:r>
      <w:r w:rsidRPr="00C11BC9">
        <w:rPr>
          <w:rFonts w:ascii="Verdana" w:hAnsi="Verdana" w:cstheme="minorHAnsi"/>
          <w:iCs/>
        </w:rPr>
        <w:lastRenderedPageBreak/>
        <w:t xml:space="preserve">principalmente, definindo que o preço de venda da energia deverá garantir a viabilidade econômico-financeira do projeto. A referida MP foi aprovada na Câmara dos Deputados em 17 de dezembro de 2020 na forma de Projeto de Conversão de Lei – PLC nº 42/2020 e depois pelo Senado Federal em 04 de fevereiro de 2021. </w:t>
      </w:r>
    </w:p>
    <w:p w14:paraId="675362E3" w14:textId="77777777" w:rsidR="006009AC" w:rsidRPr="00C11BC9" w:rsidRDefault="006009AC" w:rsidP="005C2926">
      <w:pPr>
        <w:jc w:val="both"/>
        <w:rPr>
          <w:rFonts w:ascii="Verdana" w:hAnsi="Verdana" w:cstheme="minorHAnsi"/>
          <w:iCs/>
        </w:rPr>
      </w:pPr>
      <w:r w:rsidRPr="00C11BC9">
        <w:rPr>
          <w:rFonts w:ascii="Verdana" w:hAnsi="Verdana" w:cstheme="minorHAnsi"/>
          <w:iCs/>
        </w:rPr>
        <w:t xml:space="preserve">Em 01 de março de 2021, o texto da MP 998/20 foi sancionado pelo Sr. Presidente da República e convertida na Lei 14.120/2021. A Lei estabelece um marco legal para diversas questões relacionadas ao empreendimento, dando segurança jurídica para que a </w:t>
      </w:r>
      <w:r w:rsidR="00397D36" w:rsidRPr="00C11BC9">
        <w:rPr>
          <w:rFonts w:ascii="Verdana" w:hAnsi="Verdana" w:cstheme="minorHAnsi"/>
          <w:iCs/>
        </w:rPr>
        <w:t>controlada Eletronuclear</w:t>
      </w:r>
      <w:r w:rsidRPr="00C11BC9">
        <w:rPr>
          <w:rFonts w:ascii="Verdana" w:hAnsi="Verdana" w:cstheme="minorHAnsi"/>
          <w:iCs/>
        </w:rPr>
        <w:t xml:space="preserve"> possa investir na retomada da usina.</w:t>
      </w:r>
    </w:p>
    <w:p w14:paraId="05057F6D" w14:textId="77777777" w:rsidR="006009AC" w:rsidRPr="00C11BC9" w:rsidRDefault="006009AC" w:rsidP="005C2926">
      <w:pPr>
        <w:pStyle w:val="xmsonormal"/>
        <w:shd w:val="clear" w:color="auto" w:fill="FFFFFF"/>
        <w:spacing w:before="0" w:beforeAutospacing="0" w:after="160" w:afterAutospacing="0"/>
        <w:rPr>
          <w:rFonts w:ascii="Verdana" w:hAnsi="Verdana" w:cstheme="minorHAnsi"/>
          <w:iCs/>
          <w:szCs w:val="22"/>
        </w:rPr>
      </w:pPr>
      <w:r w:rsidRPr="00C11BC9">
        <w:rPr>
          <w:rFonts w:ascii="Verdana" w:hAnsi="Verdana" w:cstheme="minorHAnsi"/>
          <w:iCs/>
          <w:szCs w:val="22"/>
        </w:rPr>
        <w:t>Uma das mais importantes é a rescisão do contrato de energia de reserva existente, sem prejuízo às partes envolvidas, além da pactuação de um novo contrato, com preço da energia que atenda à rentabilidade do empreendimento e à modicidade tarifária. Neste sentido, salienta-se que a Resolução 14, de 9 de outubro de 2018, que define o preço de </w:t>
      </w:r>
      <w:bookmarkStart w:id="12" w:name="x__Hlk66659288"/>
      <w:bookmarkEnd w:id="12"/>
      <w:r w:rsidRPr="00C11BC9">
        <w:rPr>
          <w:rFonts w:ascii="Verdana" w:hAnsi="Verdana" w:cstheme="minorHAnsi"/>
          <w:iCs/>
          <w:szCs w:val="22"/>
        </w:rPr>
        <w:t xml:space="preserve">referência para Angra 3, continua vigente e que os estudos em andamento do BNDES, que conta com uma </w:t>
      </w:r>
      <w:proofErr w:type="spellStart"/>
      <w:r w:rsidRPr="00C11BC9">
        <w:rPr>
          <w:rFonts w:ascii="Verdana" w:hAnsi="Verdana" w:cstheme="minorHAnsi"/>
          <w:i/>
          <w:iCs/>
          <w:szCs w:val="22"/>
        </w:rPr>
        <w:t>due</w:t>
      </w:r>
      <w:proofErr w:type="spellEnd"/>
      <w:r w:rsidRPr="00C11BC9">
        <w:rPr>
          <w:rFonts w:ascii="Verdana" w:hAnsi="Verdana" w:cstheme="minorHAnsi"/>
          <w:i/>
          <w:iCs/>
          <w:szCs w:val="22"/>
        </w:rPr>
        <w:t xml:space="preserve"> </w:t>
      </w:r>
      <w:proofErr w:type="spellStart"/>
      <w:r w:rsidRPr="00C11BC9">
        <w:rPr>
          <w:rFonts w:ascii="Verdana" w:hAnsi="Verdana" w:cstheme="minorHAnsi"/>
          <w:i/>
          <w:iCs/>
          <w:szCs w:val="22"/>
        </w:rPr>
        <w:t>diligence</w:t>
      </w:r>
      <w:proofErr w:type="spellEnd"/>
      <w:r w:rsidRPr="00C11BC9">
        <w:rPr>
          <w:rFonts w:ascii="Verdana" w:hAnsi="Verdana" w:cstheme="minorHAnsi"/>
          <w:iCs/>
          <w:szCs w:val="22"/>
        </w:rPr>
        <w:t xml:space="preserve"> técnico-operacional realizada pelo consórcio composto pelas empresas Tractebel Brasil, Tractebel Bélgica e Empresários Agrupados (Espanha), contratados pelo banco de fomento, conterão informações mais atualizadas com a realidade da usina. Haverá, ainda, conforme previsto no texto sancionado, a apropriação para o preço de energia dos possíveis ganhos que venham a ocorrer durante o processo competitivo de contratações de fornecedores para a conclusão do empreendimento.</w:t>
      </w:r>
    </w:p>
    <w:bookmarkEnd w:id="11"/>
    <w:p w14:paraId="3EF62DB9" w14:textId="77777777" w:rsidR="006009AC" w:rsidRPr="00C11BC9" w:rsidRDefault="006009AC" w:rsidP="005C2926">
      <w:pPr>
        <w:jc w:val="both"/>
        <w:rPr>
          <w:rFonts w:ascii="Verdana" w:hAnsi="Verdana" w:cstheme="minorHAnsi"/>
          <w:iCs/>
        </w:rPr>
      </w:pPr>
      <w:r w:rsidRPr="00C11BC9">
        <w:rPr>
          <w:rFonts w:ascii="Verdana" w:hAnsi="Verdana" w:cstheme="minorHAnsi"/>
          <w:iCs/>
        </w:rPr>
        <w:t xml:space="preserve">Ainda conforme a lei sancionada, o prazo de suprimento do novo contrato de energia de reserva será de 40 anos, a partir do início da operação comercial e caberá ao CNPE autorizar a celebração desse novo instrumento contratual e dar outorga – ou seja, a permissão de operação da usina, que terá um prazo de 50 anos, prorrogáveis por mais 20 anos. </w:t>
      </w:r>
    </w:p>
    <w:p w14:paraId="0544E3BC" w14:textId="77777777" w:rsidR="006009AC" w:rsidRPr="00C11BC9" w:rsidRDefault="006009AC" w:rsidP="005C2926">
      <w:pPr>
        <w:pStyle w:val="xmsonormal"/>
        <w:shd w:val="clear" w:color="auto" w:fill="FFFFFF"/>
        <w:spacing w:before="0" w:beforeAutospacing="0" w:after="160" w:afterAutospacing="0"/>
        <w:rPr>
          <w:rFonts w:ascii="Verdana" w:hAnsi="Verdana" w:cstheme="minorHAnsi"/>
          <w:color w:val="000000"/>
          <w:szCs w:val="22"/>
        </w:rPr>
      </w:pPr>
      <w:r w:rsidRPr="00C11BC9">
        <w:rPr>
          <w:rFonts w:ascii="Verdana" w:hAnsi="Verdana" w:cstheme="minorHAnsi"/>
          <w:color w:val="000000"/>
          <w:szCs w:val="22"/>
        </w:rPr>
        <w:t xml:space="preserve">Em 20 de outubro de 2021, foi publicado no Diário Oficial da União - DOU a Resolução CPPI nº 203, de 19 de outubro de 2021, que aprovou as condições para o processo de desestatização da Eletrobras e que em seu item XII do artigo 11º  define que a Eletrobras e a </w:t>
      </w:r>
      <w:proofErr w:type="spellStart"/>
      <w:r w:rsidRPr="00C11BC9">
        <w:rPr>
          <w:rFonts w:ascii="Verdana" w:hAnsi="Verdana" w:cstheme="minorHAnsi"/>
          <w:color w:val="000000"/>
          <w:szCs w:val="22"/>
        </w:rPr>
        <w:t>ENBPar</w:t>
      </w:r>
      <w:proofErr w:type="spellEnd"/>
      <w:r w:rsidRPr="00C11BC9">
        <w:rPr>
          <w:rFonts w:ascii="Verdana" w:hAnsi="Verdana" w:cstheme="minorHAnsi"/>
          <w:color w:val="000000"/>
          <w:szCs w:val="22"/>
        </w:rPr>
        <w:t xml:space="preserve">, que será a nova </w:t>
      </w:r>
      <w:r w:rsidRPr="00C11BC9">
        <w:rPr>
          <w:rFonts w:ascii="Verdana" w:hAnsi="Verdana" w:cstheme="minorHAnsi"/>
          <w:i/>
          <w:iCs/>
          <w:color w:val="000000"/>
          <w:szCs w:val="22"/>
        </w:rPr>
        <w:t>holding</w:t>
      </w:r>
      <w:r w:rsidRPr="00C11BC9">
        <w:rPr>
          <w:rFonts w:ascii="Verdana" w:hAnsi="Verdana" w:cstheme="minorHAnsi"/>
          <w:color w:val="000000"/>
          <w:szCs w:val="22"/>
        </w:rPr>
        <w:t xml:space="preserve"> da </w:t>
      </w:r>
      <w:r w:rsidR="00397D36" w:rsidRPr="00C11BC9">
        <w:rPr>
          <w:rFonts w:ascii="Verdana" w:hAnsi="Verdana" w:cstheme="minorHAnsi"/>
          <w:color w:val="000000"/>
          <w:szCs w:val="22"/>
        </w:rPr>
        <w:t>controlada Eletronuclear</w:t>
      </w:r>
      <w:r w:rsidRPr="00C11BC9">
        <w:rPr>
          <w:rFonts w:ascii="Verdana" w:hAnsi="Verdana" w:cstheme="minorHAnsi"/>
          <w:color w:val="000000"/>
          <w:szCs w:val="22"/>
        </w:rPr>
        <w:t xml:space="preserve">, devem celebrar acordo de investimento prevendo a participação das partes na obtenção de novas captações de financiamento para o projeto de Angra 3, seja como repassadoras de mútuo ou como garantidoras na proporção de suas participações acionárias na </w:t>
      </w:r>
      <w:r w:rsidR="00397D36" w:rsidRPr="00C11BC9">
        <w:rPr>
          <w:rFonts w:ascii="Verdana" w:hAnsi="Verdana" w:cstheme="minorHAnsi"/>
          <w:color w:val="000000"/>
          <w:szCs w:val="22"/>
        </w:rPr>
        <w:t xml:space="preserve">controlada </w:t>
      </w:r>
      <w:r w:rsidR="00397D36" w:rsidRPr="008361CF">
        <w:rPr>
          <w:rFonts w:ascii="Verdana" w:hAnsi="Verdana" w:cstheme="minorHAnsi"/>
          <w:color w:val="000000"/>
          <w:szCs w:val="22"/>
        </w:rPr>
        <w:t>Eletronuclear</w:t>
      </w:r>
      <w:r w:rsidRPr="008361CF">
        <w:rPr>
          <w:rFonts w:ascii="Verdana" w:hAnsi="Verdana" w:cstheme="minorHAnsi"/>
          <w:color w:val="000000"/>
          <w:szCs w:val="22"/>
        </w:rPr>
        <w:t xml:space="preserve"> (</w:t>
      </w:r>
      <w:r w:rsidRPr="004D3063">
        <w:rPr>
          <w:rFonts w:ascii="Verdana" w:hAnsi="Verdana" w:cstheme="minorHAnsi"/>
          <w:color w:val="000000"/>
          <w:szCs w:val="22"/>
        </w:rPr>
        <w:t>nota 1</w:t>
      </w:r>
      <w:r w:rsidRPr="008361CF">
        <w:rPr>
          <w:rFonts w:ascii="Verdana" w:hAnsi="Verdana" w:cstheme="minorHAnsi"/>
          <w:color w:val="000000"/>
          <w:szCs w:val="22"/>
        </w:rPr>
        <w:t>).</w:t>
      </w:r>
      <w:r w:rsidRPr="00C11BC9">
        <w:rPr>
          <w:rFonts w:ascii="Verdana" w:hAnsi="Verdana" w:cstheme="minorHAnsi"/>
          <w:color w:val="000000"/>
          <w:szCs w:val="22"/>
        </w:rPr>
        <w:t xml:space="preserve"> </w:t>
      </w:r>
    </w:p>
    <w:p w14:paraId="3EE14863" w14:textId="77777777" w:rsidR="006009AC" w:rsidRPr="00C11BC9" w:rsidRDefault="006009AC" w:rsidP="005C2926">
      <w:pPr>
        <w:pStyle w:val="xmsonormal"/>
        <w:shd w:val="clear" w:color="auto" w:fill="FFFFFF"/>
        <w:spacing w:before="0" w:beforeAutospacing="0" w:after="160" w:afterAutospacing="0"/>
        <w:rPr>
          <w:rFonts w:ascii="Verdana" w:hAnsi="Verdana" w:cstheme="minorHAnsi"/>
          <w:color w:val="000000"/>
          <w:szCs w:val="22"/>
        </w:rPr>
      </w:pPr>
      <w:r w:rsidRPr="00C11BC9">
        <w:rPr>
          <w:rFonts w:ascii="Verdana" w:hAnsi="Verdana" w:cstheme="minorHAnsi"/>
          <w:color w:val="000000"/>
          <w:szCs w:val="22"/>
        </w:rPr>
        <w:t xml:space="preserve">Em 22 de outubro de 2021, foi publicado no DOU a Resolução CNPE nº 23, de 20 de outubro de 2021, que estabeleceu as diretrizes gerais para a definição do preço de energia da Usinas de Angra 3, a ser calculada pelo BNDES, considerando a viabilidade econômico-financeira do projeto no prazo do Contrato de Comercialização de Energia da planta assim como sua </w:t>
      </w:r>
      <w:proofErr w:type="spellStart"/>
      <w:r w:rsidRPr="00C11BC9">
        <w:rPr>
          <w:rFonts w:ascii="Verdana" w:hAnsi="Verdana" w:cstheme="minorHAnsi"/>
          <w:color w:val="000000"/>
          <w:szCs w:val="22"/>
        </w:rPr>
        <w:t>financiabilidade</w:t>
      </w:r>
      <w:proofErr w:type="spellEnd"/>
      <w:r w:rsidRPr="00C11BC9">
        <w:rPr>
          <w:rFonts w:ascii="Verdana" w:hAnsi="Verdana" w:cstheme="minorHAnsi"/>
          <w:color w:val="000000"/>
          <w:szCs w:val="22"/>
        </w:rPr>
        <w:t xml:space="preserve"> em condições de mercado. A Resolução ratifica que o preço da energia elétrica produzida por Angra 3 será o resultante dos estudos do BNDES, e considerará a viabilidade econômico-financeira do empreendimento tendo em vista o custo de capital próprio de 8,88% ao ano, em termos reais, os investimentos necessários para conclusão do empreendimento e o pagamento das dívidas novas e pré-existentes. Além disso, a resolução confirma que as reduções de custos decorrentes da existência de competição em contratações de fornecedores para conclusão do empreendimento deverão ser incorporadas de forma </w:t>
      </w:r>
      <w:r w:rsidRPr="00C11BC9">
        <w:rPr>
          <w:rFonts w:ascii="Verdana" w:hAnsi="Verdana" w:cstheme="minorHAnsi"/>
          <w:color w:val="000000"/>
          <w:szCs w:val="22"/>
        </w:rPr>
        <w:lastRenderedPageBreak/>
        <w:t>a reduzir o preço da energia elétrica de Angra 3. Também foi estabelecido que a Empresa de Pesquisa Energética - EPE será ouvida em relação ao impacto ao consumidor previamente à aprovação do preço.</w:t>
      </w:r>
    </w:p>
    <w:p w14:paraId="63A2D46E" w14:textId="77777777" w:rsidR="006009AC" w:rsidRPr="00C11BC9" w:rsidRDefault="006009AC" w:rsidP="005C2926">
      <w:pPr>
        <w:pStyle w:val="xmsonormal"/>
        <w:shd w:val="clear" w:color="auto" w:fill="FFFFFF"/>
        <w:spacing w:before="0" w:beforeAutospacing="0" w:after="160" w:afterAutospacing="0"/>
        <w:rPr>
          <w:rFonts w:ascii="Verdana" w:hAnsi="Verdana" w:cstheme="minorHAnsi"/>
          <w:color w:val="000000"/>
          <w:szCs w:val="22"/>
        </w:rPr>
      </w:pPr>
      <w:r w:rsidRPr="00C11BC9">
        <w:rPr>
          <w:rFonts w:ascii="Verdana" w:hAnsi="Verdana" w:cstheme="minorHAnsi"/>
          <w:color w:val="000000"/>
          <w:szCs w:val="22"/>
        </w:rPr>
        <w:t xml:space="preserve">Em 30 de dezembro de 2021 foi encaminhado pelo Consórcio Angra </w:t>
      </w:r>
      <w:proofErr w:type="spellStart"/>
      <w:r w:rsidRPr="00C11BC9">
        <w:rPr>
          <w:rFonts w:ascii="Verdana" w:hAnsi="Verdana" w:cstheme="minorHAnsi"/>
          <w:color w:val="000000"/>
          <w:szCs w:val="22"/>
        </w:rPr>
        <w:t>Eurobras</w:t>
      </w:r>
      <w:proofErr w:type="spellEnd"/>
      <w:r w:rsidRPr="00C11BC9">
        <w:rPr>
          <w:rFonts w:ascii="Verdana" w:hAnsi="Verdana" w:cstheme="minorHAnsi"/>
          <w:color w:val="000000"/>
          <w:szCs w:val="22"/>
        </w:rPr>
        <w:t xml:space="preserve"> NES, contratado pelo BNDES para os serviços de </w:t>
      </w:r>
      <w:proofErr w:type="spellStart"/>
      <w:r w:rsidRPr="00C11BC9">
        <w:rPr>
          <w:rFonts w:ascii="Verdana" w:hAnsi="Verdana" w:cstheme="minorHAnsi"/>
          <w:i/>
          <w:color w:val="000000"/>
          <w:szCs w:val="22"/>
        </w:rPr>
        <w:t>Due</w:t>
      </w:r>
      <w:proofErr w:type="spellEnd"/>
      <w:r w:rsidRPr="00C11BC9">
        <w:rPr>
          <w:rFonts w:ascii="Verdana" w:hAnsi="Verdana" w:cstheme="minorHAnsi"/>
          <w:i/>
          <w:color w:val="000000"/>
          <w:szCs w:val="22"/>
        </w:rPr>
        <w:t xml:space="preserve"> </w:t>
      </w:r>
      <w:proofErr w:type="spellStart"/>
      <w:r w:rsidRPr="00C11BC9">
        <w:rPr>
          <w:rFonts w:ascii="Verdana" w:hAnsi="Verdana" w:cstheme="minorHAnsi"/>
          <w:i/>
          <w:color w:val="000000"/>
          <w:szCs w:val="22"/>
        </w:rPr>
        <w:t>Diligence</w:t>
      </w:r>
      <w:proofErr w:type="spellEnd"/>
      <w:r w:rsidRPr="00C11BC9">
        <w:rPr>
          <w:rFonts w:ascii="Verdana" w:hAnsi="Verdana" w:cstheme="minorHAnsi"/>
          <w:color w:val="000000"/>
          <w:szCs w:val="22"/>
        </w:rPr>
        <w:t xml:space="preserve"> e Assessoria Técnica na revisão do </w:t>
      </w:r>
      <w:proofErr w:type="spellStart"/>
      <w:r w:rsidRPr="00C11BC9">
        <w:rPr>
          <w:rFonts w:ascii="Verdana" w:hAnsi="Verdana" w:cstheme="minorHAnsi"/>
          <w:i/>
          <w:color w:val="000000"/>
          <w:szCs w:val="22"/>
        </w:rPr>
        <w:t>Capex</w:t>
      </w:r>
      <w:proofErr w:type="spellEnd"/>
      <w:r w:rsidRPr="00C11BC9">
        <w:rPr>
          <w:rFonts w:ascii="Verdana" w:hAnsi="Verdana" w:cstheme="minorHAnsi"/>
          <w:color w:val="000000"/>
          <w:szCs w:val="22"/>
        </w:rPr>
        <w:t xml:space="preserve"> e Cronograma do empreendimento de Angra 3, a versão preliminar do Relatório Final. Esse relatório está atualmente em fase de avaliação e comentários. O trabalho aponta um custo de conclusão de R$ 21,042 bilhões e a data de entrada em operação como sendo fevereiro de 2028.</w:t>
      </w:r>
    </w:p>
    <w:p w14:paraId="78BC7153" w14:textId="77777777" w:rsidR="006009AC" w:rsidRPr="00C11BC9" w:rsidRDefault="006009AC" w:rsidP="005C2926">
      <w:pPr>
        <w:pStyle w:val="xmsonormal"/>
        <w:shd w:val="clear" w:color="auto" w:fill="FFFFFF"/>
        <w:spacing w:before="0" w:beforeAutospacing="0" w:after="160" w:afterAutospacing="0"/>
        <w:rPr>
          <w:rFonts w:ascii="Verdana" w:hAnsi="Verdana" w:cstheme="minorHAnsi"/>
          <w:color w:val="000000"/>
          <w:szCs w:val="22"/>
        </w:rPr>
      </w:pPr>
      <w:bookmarkStart w:id="13" w:name="_Hlk98406522"/>
      <w:r w:rsidRPr="00C11BC9">
        <w:rPr>
          <w:rFonts w:ascii="Verdana" w:hAnsi="Verdana" w:cstheme="minorHAnsi"/>
          <w:color w:val="000000"/>
          <w:szCs w:val="22"/>
        </w:rPr>
        <w:t xml:space="preserve">Em 2021, a </w:t>
      </w:r>
      <w:r w:rsidR="00397D36" w:rsidRPr="00C11BC9">
        <w:rPr>
          <w:rFonts w:ascii="Verdana" w:hAnsi="Verdana" w:cstheme="minorHAnsi"/>
          <w:color w:val="000000"/>
          <w:szCs w:val="22"/>
        </w:rPr>
        <w:t>controlada Eletronuclear</w:t>
      </w:r>
      <w:r w:rsidRPr="00C11BC9">
        <w:rPr>
          <w:rFonts w:ascii="Verdana" w:hAnsi="Verdana" w:cstheme="minorHAnsi"/>
          <w:color w:val="000000"/>
          <w:szCs w:val="22"/>
        </w:rPr>
        <w:t xml:space="preserve"> encomendou à A&amp;M uma atualização do estudo da tarifa de equilíbrio que foi entregue no </w:t>
      </w:r>
      <w:r w:rsidR="004F352C" w:rsidRPr="00C11BC9">
        <w:rPr>
          <w:rFonts w:ascii="Verdana" w:hAnsi="Verdana" w:cstheme="minorHAnsi"/>
          <w:color w:val="000000"/>
          <w:szCs w:val="22"/>
        </w:rPr>
        <w:t>início</w:t>
      </w:r>
      <w:r w:rsidRPr="00C11BC9">
        <w:rPr>
          <w:rFonts w:ascii="Verdana" w:hAnsi="Verdana" w:cstheme="minorHAnsi"/>
          <w:color w:val="000000"/>
          <w:szCs w:val="22"/>
        </w:rPr>
        <w:t xml:space="preserve"> de janeiro </w:t>
      </w:r>
      <w:r w:rsidR="004F352C" w:rsidRPr="00C11BC9">
        <w:rPr>
          <w:rFonts w:ascii="Verdana" w:hAnsi="Verdana" w:cstheme="minorHAnsi"/>
          <w:color w:val="000000"/>
          <w:szCs w:val="22"/>
        </w:rPr>
        <w:t>2022,</w:t>
      </w:r>
      <w:r w:rsidRPr="00C11BC9">
        <w:rPr>
          <w:rFonts w:ascii="Verdana" w:hAnsi="Verdana" w:cstheme="minorHAnsi"/>
          <w:color w:val="000000"/>
          <w:szCs w:val="22"/>
        </w:rPr>
        <w:t xml:space="preserve"> considerando as novas estimativas de valores de </w:t>
      </w:r>
      <w:proofErr w:type="spellStart"/>
      <w:r w:rsidRPr="00C11BC9">
        <w:rPr>
          <w:rFonts w:ascii="Verdana" w:hAnsi="Verdana" w:cstheme="minorHAnsi"/>
          <w:i/>
          <w:color w:val="000000"/>
          <w:szCs w:val="22"/>
        </w:rPr>
        <w:t>Capex</w:t>
      </w:r>
      <w:proofErr w:type="spellEnd"/>
      <w:r w:rsidRPr="00C11BC9">
        <w:rPr>
          <w:rFonts w:ascii="Verdana" w:hAnsi="Verdana" w:cstheme="minorHAnsi"/>
          <w:color w:val="000000"/>
          <w:szCs w:val="22"/>
        </w:rPr>
        <w:t xml:space="preserve">, avaliados de forma independente e indicados no estudo do Consórcio Angra </w:t>
      </w:r>
      <w:proofErr w:type="spellStart"/>
      <w:r w:rsidRPr="00C11BC9">
        <w:rPr>
          <w:rFonts w:ascii="Verdana" w:hAnsi="Verdana" w:cstheme="minorHAnsi"/>
          <w:color w:val="000000"/>
          <w:szCs w:val="22"/>
        </w:rPr>
        <w:t>Eurobras</w:t>
      </w:r>
      <w:proofErr w:type="spellEnd"/>
      <w:r w:rsidRPr="00C11BC9">
        <w:rPr>
          <w:rFonts w:ascii="Verdana" w:hAnsi="Verdana" w:cstheme="minorHAnsi"/>
          <w:color w:val="000000"/>
          <w:szCs w:val="22"/>
        </w:rPr>
        <w:t xml:space="preserve"> NES, mantendo a data estimada de entrada em operação comercial como sendo 29 de novembro de 2027, bem como todos os parâmetros aplicados ao Projeto e garantidos por meio da Resolução CNPE nº 23/2021.</w:t>
      </w:r>
      <w:bookmarkEnd w:id="13"/>
    </w:p>
    <w:p w14:paraId="70547689" w14:textId="77777777" w:rsidR="006009AC" w:rsidRDefault="006009AC" w:rsidP="005C2926">
      <w:pPr>
        <w:pStyle w:val="xmsonormal"/>
        <w:shd w:val="clear" w:color="auto" w:fill="FFFFFF"/>
        <w:spacing w:before="0" w:beforeAutospacing="0" w:after="160" w:afterAutospacing="0"/>
        <w:rPr>
          <w:rFonts w:ascii="Verdana" w:hAnsi="Verdana" w:cstheme="minorHAnsi"/>
          <w:szCs w:val="22"/>
        </w:rPr>
      </w:pPr>
      <w:r w:rsidRPr="00F7132F">
        <w:rPr>
          <w:rFonts w:ascii="Verdana" w:hAnsi="Verdana" w:cstheme="minorHAnsi"/>
          <w:szCs w:val="22"/>
        </w:rPr>
        <w:t xml:space="preserve">Em 10 de maio de 2022, a Diretoria Executiva da </w:t>
      </w:r>
      <w:r w:rsidR="00397D36" w:rsidRPr="00F7132F">
        <w:rPr>
          <w:rFonts w:ascii="Verdana" w:hAnsi="Verdana" w:cstheme="minorHAnsi"/>
          <w:szCs w:val="22"/>
        </w:rPr>
        <w:t>controlada Eletronuclear</w:t>
      </w:r>
      <w:r w:rsidRPr="00F7132F">
        <w:rPr>
          <w:rFonts w:ascii="Verdana" w:hAnsi="Verdana" w:cstheme="minorHAnsi"/>
          <w:szCs w:val="22"/>
        </w:rPr>
        <w:t xml:space="preserve"> aprovou a nova data de Início de Operação de Usina de Angra 3 como sendo fevereiro de 2028, conforme Relatório Final preparado pelo Consórcio liderado pela Tractebel, contratado pelo BNDES para a </w:t>
      </w:r>
      <w:proofErr w:type="spellStart"/>
      <w:r w:rsidRPr="00F7132F">
        <w:rPr>
          <w:rFonts w:ascii="Verdana" w:hAnsi="Verdana" w:cstheme="minorHAnsi"/>
          <w:i/>
          <w:iCs/>
          <w:szCs w:val="22"/>
        </w:rPr>
        <w:t>Due</w:t>
      </w:r>
      <w:proofErr w:type="spellEnd"/>
      <w:r w:rsidRPr="00F7132F">
        <w:rPr>
          <w:rFonts w:ascii="Verdana" w:hAnsi="Verdana" w:cstheme="minorHAnsi"/>
          <w:i/>
          <w:iCs/>
          <w:szCs w:val="22"/>
        </w:rPr>
        <w:t xml:space="preserve"> </w:t>
      </w:r>
      <w:proofErr w:type="spellStart"/>
      <w:r w:rsidRPr="00F7132F">
        <w:rPr>
          <w:rFonts w:ascii="Verdana" w:hAnsi="Verdana" w:cstheme="minorHAnsi"/>
          <w:i/>
          <w:iCs/>
          <w:szCs w:val="22"/>
        </w:rPr>
        <w:t>Diligence</w:t>
      </w:r>
      <w:proofErr w:type="spellEnd"/>
      <w:r w:rsidRPr="00F7132F">
        <w:rPr>
          <w:rFonts w:ascii="Verdana" w:hAnsi="Verdana" w:cstheme="minorHAnsi"/>
          <w:szCs w:val="22"/>
        </w:rPr>
        <w:t xml:space="preserve"> Técnica de Angra 3, no âmbito dos estudos que estão sendo realizados para viabilizar o empreendimento</w:t>
      </w:r>
      <w:r w:rsidR="001B5F0E" w:rsidRPr="00F7132F">
        <w:rPr>
          <w:rFonts w:ascii="Verdana" w:hAnsi="Verdana" w:cstheme="minorHAnsi"/>
          <w:szCs w:val="22"/>
        </w:rPr>
        <w:t>.</w:t>
      </w:r>
    </w:p>
    <w:p w14:paraId="7354497F" w14:textId="77777777" w:rsidR="002B1787" w:rsidRPr="00F7132F" w:rsidRDefault="00AD7DA9" w:rsidP="00CF5F07">
      <w:pPr>
        <w:tabs>
          <w:tab w:val="left" w:pos="567"/>
          <w:tab w:val="left" w:pos="1134"/>
          <w:tab w:val="left" w:pos="1701"/>
          <w:tab w:val="left" w:pos="2268"/>
          <w:tab w:val="left" w:pos="2835"/>
        </w:tabs>
        <w:jc w:val="both"/>
        <w:outlineLvl w:val="0"/>
        <w:rPr>
          <w:rFonts w:ascii="Verdana" w:hAnsi="Verdana" w:cstheme="minorHAnsi"/>
          <w:b/>
        </w:rPr>
      </w:pPr>
      <w:r w:rsidRPr="00F7132F">
        <w:rPr>
          <w:rFonts w:ascii="Verdana" w:hAnsi="Verdana" w:cstheme="minorHAnsi"/>
          <w:b/>
        </w:rPr>
        <w:t xml:space="preserve">31 </w:t>
      </w:r>
      <w:r w:rsidR="002B1787" w:rsidRPr="00F7132F">
        <w:rPr>
          <w:rFonts w:ascii="Verdana" w:hAnsi="Verdana" w:cstheme="minorHAnsi"/>
          <w:b/>
        </w:rPr>
        <w:t xml:space="preserve">– TRANSAÇÕES COM PARTES RELACIONADAS </w:t>
      </w:r>
    </w:p>
    <w:p w14:paraId="0394845A" w14:textId="77777777" w:rsidR="00B53E3D" w:rsidRPr="00F7132F" w:rsidRDefault="00AD7DA9" w:rsidP="00FE3E72">
      <w:pPr>
        <w:widowControl w:val="0"/>
        <w:autoSpaceDE w:val="0"/>
        <w:autoSpaceDN w:val="0"/>
        <w:jc w:val="both"/>
        <w:rPr>
          <w:rFonts w:ascii="Verdana" w:hAnsi="Verdana" w:cstheme="minorHAnsi"/>
          <w:b/>
          <w:bCs/>
        </w:rPr>
      </w:pPr>
      <w:r w:rsidRPr="00F7132F">
        <w:rPr>
          <w:rFonts w:ascii="Verdana" w:hAnsi="Verdana" w:cstheme="minorHAnsi"/>
          <w:b/>
          <w:bCs/>
        </w:rPr>
        <w:t>31</w:t>
      </w:r>
      <w:r w:rsidR="00B53E3D" w:rsidRPr="00F7132F">
        <w:rPr>
          <w:rFonts w:ascii="Verdana" w:hAnsi="Verdana" w:cstheme="minorHAnsi"/>
          <w:b/>
          <w:bCs/>
        </w:rPr>
        <w:t xml:space="preserve">.1 - Transações com Entidades Governamentais </w:t>
      </w:r>
    </w:p>
    <w:p w14:paraId="73A623DE" w14:textId="7B4469BA" w:rsidR="00B53E3D" w:rsidRDefault="00B53E3D" w:rsidP="00FE3E72">
      <w:pPr>
        <w:jc w:val="both"/>
        <w:rPr>
          <w:rFonts w:ascii="Verdana" w:hAnsi="Verdana" w:cstheme="minorHAnsi"/>
          <w:spacing w:val="-4"/>
        </w:rPr>
      </w:pPr>
      <w:r w:rsidRPr="00F7132F">
        <w:rPr>
          <w:rFonts w:ascii="Verdana" w:hAnsi="Verdana" w:cstheme="minorHAnsi"/>
          <w:spacing w:val="-4"/>
        </w:rPr>
        <w:t xml:space="preserve">A </w:t>
      </w:r>
      <w:r w:rsidR="004F2441" w:rsidRPr="00F7132F">
        <w:rPr>
          <w:rFonts w:ascii="Verdana" w:hAnsi="Verdana" w:cstheme="minorHAnsi"/>
          <w:spacing w:val="-4"/>
        </w:rPr>
        <w:t>Companhia e sua contro</w:t>
      </w:r>
      <w:r w:rsidR="00BC3060" w:rsidRPr="00F7132F">
        <w:rPr>
          <w:rFonts w:ascii="Verdana" w:hAnsi="Verdana" w:cstheme="minorHAnsi"/>
          <w:spacing w:val="-4"/>
        </w:rPr>
        <w:t xml:space="preserve">lada </w:t>
      </w:r>
      <w:r w:rsidRPr="00F7132F">
        <w:rPr>
          <w:rFonts w:ascii="Verdana" w:hAnsi="Verdana" w:cstheme="minorHAnsi"/>
          <w:spacing w:val="-4"/>
        </w:rPr>
        <w:t>E</w:t>
      </w:r>
      <w:r w:rsidR="00FE3E72" w:rsidRPr="00F7132F">
        <w:rPr>
          <w:rFonts w:ascii="Verdana" w:hAnsi="Verdana" w:cstheme="minorHAnsi"/>
          <w:spacing w:val="-4"/>
        </w:rPr>
        <w:t>letronuclear</w:t>
      </w:r>
      <w:r w:rsidRPr="00F7132F">
        <w:rPr>
          <w:rFonts w:ascii="Verdana" w:hAnsi="Verdana" w:cstheme="minorHAnsi"/>
          <w:spacing w:val="-4"/>
        </w:rPr>
        <w:t xml:space="preserve"> mantém transações com entidades governamentais, sob controle comum, no curso de suas operações. Os saldos das principais transações com estas entidades estão resumidos a seguir:</w:t>
      </w:r>
    </w:p>
    <w:p w14:paraId="0A990FDE" w14:textId="77777777" w:rsidR="007622F9" w:rsidRDefault="007622F9" w:rsidP="00FE3E72">
      <w:pPr>
        <w:jc w:val="both"/>
        <w:rPr>
          <w:rFonts w:ascii="Verdana" w:hAnsi="Verdana" w:cstheme="minorHAnsi"/>
          <w:spacing w:val="-4"/>
        </w:rPr>
      </w:pPr>
    </w:p>
    <w:tbl>
      <w:tblPr>
        <w:tblW w:w="5079" w:type="pct"/>
        <w:tblInd w:w="-2" w:type="dxa"/>
        <w:tblLayout w:type="fixed"/>
        <w:tblCellMar>
          <w:left w:w="70" w:type="dxa"/>
          <w:right w:w="70" w:type="dxa"/>
        </w:tblCellMar>
        <w:tblLook w:val="04A0" w:firstRow="1" w:lastRow="0" w:firstColumn="1" w:lastColumn="0" w:noHBand="0" w:noVBand="1"/>
      </w:tblPr>
      <w:tblGrid>
        <w:gridCol w:w="4907"/>
        <w:gridCol w:w="194"/>
        <w:gridCol w:w="1401"/>
        <w:gridCol w:w="160"/>
        <w:gridCol w:w="1408"/>
        <w:gridCol w:w="167"/>
        <w:gridCol w:w="1266"/>
      </w:tblGrid>
      <w:tr w:rsidR="003C63A3" w:rsidRPr="00116729" w14:paraId="17A91643" w14:textId="77777777" w:rsidTr="007622F9">
        <w:trPr>
          <w:trHeight w:val="20"/>
        </w:trPr>
        <w:tc>
          <w:tcPr>
            <w:tcW w:w="2582" w:type="pct"/>
            <w:tcBorders>
              <w:top w:val="nil"/>
              <w:left w:val="nil"/>
              <w:bottom w:val="nil"/>
              <w:right w:val="nil"/>
            </w:tcBorders>
            <w:shd w:val="clear" w:color="auto" w:fill="auto"/>
            <w:noWrap/>
            <w:vAlign w:val="bottom"/>
            <w:hideMark/>
          </w:tcPr>
          <w:p w14:paraId="6BB5C801" w14:textId="77777777" w:rsidR="003C63A3" w:rsidRPr="00F7132F" w:rsidRDefault="003C63A3" w:rsidP="003C63A3">
            <w:pPr>
              <w:spacing w:after="0" w:line="240" w:lineRule="auto"/>
              <w:rPr>
                <w:rFonts w:ascii="Times New Roman" w:eastAsia="Times New Roman" w:hAnsi="Times New Roman" w:cs="Times New Roman"/>
                <w:sz w:val="18"/>
                <w:szCs w:val="18"/>
                <w:lang w:eastAsia="pt-BR"/>
              </w:rPr>
            </w:pPr>
          </w:p>
        </w:tc>
        <w:tc>
          <w:tcPr>
            <w:tcW w:w="102" w:type="pct"/>
            <w:tcBorders>
              <w:top w:val="nil"/>
              <w:left w:val="nil"/>
              <w:bottom w:val="nil"/>
              <w:right w:val="nil"/>
            </w:tcBorders>
            <w:shd w:val="clear" w:color="auto" w:fill="auto"/>
            <w:noWrap/>
            <w:vAlign w:val="bottom"/>
            <w:hideMark/>
          </w:tcPr>
          <w:p w14:paraId="37C6CF64" w14:textId="77777777" w:rsidR="003C63A3" w:rsidRPr="00F7132F" w:rsidRDefault="003C63A3" w:rsidP="003C63A3">
            <w:pPr>
              <w:spacing w:after="0" w:line="240" w:lineRule="auto"/>
              <w:rPr>
                <w:rFonts w:ascii="Times New Roman" w:eastAsia="Times New Roman" w:hAnsi="Times New Roman" w:cs="Times New Roman"/>
                <w:sz w:val="18"/>
                <w:szCs w:val="18"/>
                <w:lang w:eastAsia="pt-BR"/>
              </w:rPr>
            </w:pPr>
          </w:p>
        </w:tc>
        <w:tc>
          <w:tcPr>
            <w:tcW w:w="2316" w:type="pct"/>
            <w:gridSpan w:val="5"/>
            <w:tcBorders>
              <w:top w:val="nil"/>
              <w:left w:val="nil"/>
              <w:bottom w:val="single" w:sz="4" w:space="0" w:color="auto"/>
              <w:right w:val="nil"/>
            </w:tcBorders>
            <w:shd w:val="clear" w:color="auto" w:fill="auto"/>
            <w:noWrap/>
            <w:vAlign w:val="bottom"/>
            <w:hideMark/>
          </w:tcPr>
          <w:p w14:paraId="610F0113" w14:textId="77777777" w:rsidR="003C63A3" w:rsidRPr="00F7132F" w:rsidRDefault="003C63A3" w:rsidP="003C63A3">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Controladora</w:t>
            </w:r>
          </w:p>
        </w:tc>
      </w:tr>
      <w:tr w:rsidR="003C63A3" w:rsidRPr="00116729" w14:paraId="37461354" w14:textId="77777777" w:rsidTr="007622F9">
        <w:trPr>
          <w:trHeight w:val="20"/>
        </w:trPr>
        <w:tc>
          <w:tcPr>
            <w:tcW w:w="2582" w:type="pct"/>
            <w:tcBorders>
              <w:top w:val="nil"/>
              <w:left w:val="nil"/>
              <w:bottom w:val="nil"/>
              <w:right w:val="nil"/>
            </w:tcBorders>
            <w:shd w:val="clear" w:color="auto" w:fill="auto"/>
            <w:noWrap/>
            <w:vAlign w:val="center"/>
            <w:hideMark/>
          </w:tcPr>
          <w:p w14:paraId="4CC7D272" w14:textId="77777777" w:rsidR="003C63A3" w:rsidRPr="00F7132F" w:rsidRDefault="003C63A3" w:rsidP="003C63A3">
            <w:pPr>
              <w:spacing w:after="0" w:line="240" w:lineRule="auto"/>
              <w:jc w:val="center"/>
              <w:rPr>
                <w:rFonts w:ascii="Verdana" w:eastAsia="Times New Roman" w:hAnsi="Verdana" w:cs="Calibri"/>
                <w:b/>
                <w:bCs/>
                <w:sz w:val="18"/>
                <w:szCs w:val="18"/>
                <w:lang w:eastAsia="pt-BR"/>
              </w:rPr>
            </w:pPr>
          </w:p>
        </w:tc>
        <w:tc>
          <w:tcPr>
            <w:tcW w:w="102" w:type="pct"/>
            <w:tcBorders>
              <w:top w:val="nil"/>
              <w:left w:val="nil"/>
              <w:bottom w:val="nil"/>
              <w:right w:val="nil"/>
            </w:tcBorders>
            <w:shd w:val="clear" w:color="auto" w:fill="auto"/>
            <w:noWrap/>
            <w:vAlign w:val="center"/>
            <w:hideMark/>
          </w:tcPr>
          <w:p w14:paraId="28E12B8B" w14:textId="77777777" w:rsidR="003C63A3" w:rsidRPr="00F7132F" w:rsidRDefault="003C63A3" w:rsidP="003C63A3">
            <w:pPr>
              <w:spacing w:after="0" w:line="240" w:lineRule="auto"/>
              <w:rPr>
                <w:rFonts w:ascii="Times New Roman" w:eastAsia="Times New Roman" w:hAnsi="Times New Roman" w:cs="Times New Roman"/>
                <w:sz w:val="18"/>
                <w:szCs w:val="18"/>
                <w:lang w:eastAsia="pt-BR"/>
              </w:rPr>
            </w:pPr>
          </w:p>
        </w:tc>
        <w:tc>
          <w:tcPr>
            <w:tcW w:w="737" w:type="pct"/>
            <w:tcBorders>
              <w:top w:val="nil"/>
              <w:left w:val="nil"/>
              <w:bottom w:val="single" w:sz="4" w:space="0" w:color="auto"/>
              <w:right w:val="nil"/>
            </w:tcBorders>
            <w:shd w:val="clear" w:color="auto" w:fill="auto"/>
            <w:noWrap/>
            <w:vAlign w:val="center"/>
            <w:hideMark/>
          </w:tcPr>
          <w:p w14:paraId="61503BF3" w14:textId="77777777" w:rsidR="003C63A3" w:rsidRPr="00F7132F" w:rsidRDefault="003C63A3" w:rsidP="003C63A3">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Ativo</w:t>
            </w:r>
          </w:p>
        </w:tc>
        <w:tc>
          <w:tcPr>
            <w:tcW w:w="84" w:type="pct"/>
            <w:tcBorders>
              <w:top w:val="nil"/>
              <w:left w:val="nil"/>
              <w:bottom w:val="nil"/>
              <w:right w:val="nil"/>
            </w:tcBorders>
            <w:shd w:val="clear" w:color="auto" w:fill="auto"/>
            <w:noWrap/>
            <w:vAlign w:val="center"/>
            <w:hideMark/>
          </w:tcPr>
          <w:p w14:paraId="5E18CBEB" w14:textId="77777777" w:rsidR="003C63A3" w:rsidRPr="00F7132F" w:rsidRDefault="003C63A3" w:rsidP="003C63A3">
            <w:pPr>
              <w:spacing w:after="0" w:line="240" w:lineRule="auto"/>
              <w:jc w:val="center"/>
              <w:rPr>
                <w:rFonts w:ascii="Verdana" w:eastAsia="Times New Roman" w:hAnsi="Verdana" w:cs="Calibri"/>
                <w:b/>
                <w:bCs/>
                <w:sz w:val="18"/>
                <w:szCs w:val="18"/>
                <w:lang w:eastAsia="pt-BR"/>
              </w:rPr>
            </w:pPr>
          </w:p>
        </w:tc>
        <w:tc>
          <w:tcPr>
            <w:tcW w:w="741" w:type="pct"/>
            <w:tcBorders>
              <w:top w:val="nil"/>
              <w:left w:val="nil"/>
              <w:bottom w:val="single" w:sz="4" w:space="0" w:color="auto"/>
              <w:right w:val="nil"/>
            </w:tcBorders>
            <w:shd w:val="clear" w:color="auto" w:fill="auto"/>
            <w:noWrap/>
            <w:vAlign w:val="center"/>
            <w:hideMark/>
          </w:tcPr>
          <w:p w14:paraId="7853CCC3" w14:textId="77777777" w:rsidR="003C63A3" w:rsidRPr="00F7132F" w:rsidRDefault="003C63A3" w:rsidP="003C63A3">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Passivo</w:t>
            </w:r>
          </w:p>
        </w:tc>
        <w:tc>
          <w:tcPr>
            <w:tcW w:w="88" w:type="pct"/>
            <w:tcBorders>
              <w:top w:val="nil"/>
              <w:left w:val="nil"/>
              <w:bottom w:val="nil"/>
              <w:right w:val="nil"/>
            </w:tcBorders>
            <w:shd w:val="clear" w:color="auto" w:fill="auto"/>
            <w:noWrap/>
            <w:vAlign w:val="center"/>
            <w:hideMark/>
          </w:tcPr>
          <w:p w14:paraId="41E33F3D" w14:textId="77777777" w:rsidR="003C63A3" w:rsidRPr="00F7132F" w:rsidRDefault="003C63A3" w:rsidP="003C63A3">
            <w:pPr>
              <w:spacing w:after="0" w:line="240" w:lineRule="auto"/>
              <w:jc w:val="center"/>
              <w:rPr>
                <w:rFonts w:ascii="Verdana" w:eastAsia="Times New Roman" w:hAnsi="Verdana" w:cs="Calibri"/>
                <w:b/>
                <w:bCs/>
                <w:sz w:val="18"/>
                <w:szCs w:val="18"/>
                <w:lang w:eastAsia="pt-BR"/>
              </w:rPr>
            </w:pPr>
          </w:p>
        </w:tc>
        <w:tc>
          <w:tcPr>
            <w:tcW w:w="666" w:type="pct"/>
            <w:tcBorders>
              <w:top w:val="nil"/>
              <w:left w:val="nil"/>
              <w:bottom w:val="single" w:sz="4" w:space="0" w:color="auto"/>
              <w:right w:val="nil"/>
            </w:tcBorders>
            <w:shd w:val="clear" w:color="auto" w:fill="auto"/>
            <w:noWrap/>
            <w:vAlign w:val="center"/>
            <w:hideMark/>
          </w:tcPr>
          <w:p w14:paraId="45FDDE4D" w14:textId="77777777" w:rsidR="003C63A3" w:rsidRPr="00F7132F" w:rsidRDefault="003C63A3" w:rsidP="003C63A3">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Resultado</w:t>
            </w:r>
          </w:p>
        </w:tc>
      </w:tr>
      <w:tr w:rsidR="003C63A3" w:rsidRPr="00116729" w14:paraId="78C4708F" w14:textId="77777777" w:rsidTr="007622F9">
        <w:trPr>
          <w:trHeight w:val="20"/>
        </w:trPr>
        <w:tc>
          <w:tcPr>
            <w:tcW w:w="2582" w:type="pct"/>
            <w:tcBorders>
              <w:top w:val="nil"/>
              <w:left w:val="nil"/>
              <w:bottom w:val="nil"/>
              <w:right w:val="nil"/>
            </w:tcBorders>
            <w:shd w:val="clear" w:color="auto" w:fill="auto"/>
            <w:noWrap/>
            <w:vAlign w:val="center"/>
            <w:hideMark/>
          </w:tcPr>
          <w:p w14:paraId="166051D0" w14:textId="77777777" w:rsidR="003C63A3" w:rsidRPr="00F7132F" w:rsidRDefault="003C63A3" w:rsidP="003C63A3">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Aplicação financeira</w:t>
            </w:r>
          </w:p>
        </w:tc>
        <w:tc>
          <w:tcPr>
            <w:tcW w:w="102" w:type="pct"/>
            <w:tcBorders>
              <w:top w:val="nil"/>
              <w:left w:val="nil"/>
              <w:bottom w:val="nil"/>
              <w:right w:val="nil"/>
            </w:tcBorders>
            <w:shd w:val="clear" w:color="auto" w:fill="auto"/>
            <w:noWrap/>
            <w:vAlign w:val="center"/>
            <w:hideMark/>
          </w:tcPr>
          <w:p w14:paraId="082F594E" w14:textId="77777777" w:rsidR="003C63A3" w:rsidRPr="00F7132F" w:rsidRDefault="003C63A3" w:rsidP="003C63A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737" w:type="pct"/>
            <w:tcBorders>
              <w:top w:val="nil"/>
              <w:left w:val="nil"/>
              <w:bottom w:val="nil"/>
              <w:right w:val="nil"/>
            </w:tcBorders>
            <w:shd w:val="clear" w:color="auto" w:fill="auto"/>
            <w:noWrap/>
            <w:vAlign w:val="center"/>
            <w:hideMark/>
          </w:tcPr>
          <w:p w14:paraId="1B81B66B" w14:textId="77777777" w:rsidR="003C63A3" w:rsidRPr="00F7132F" w:rsidRDefault="003C63A3" w:rsidP="003C63A3">
            <w:pPr>
              <w:spacing w:after="0" w:line="240" w:lineRule="auto"/>
              <w:jc w:val="right"/>
              <w:rPr>
                <w:rFonts w:ascii="Verdana" w:eastAsia="Times New Roman" w:hAnsi="Verdana" w:cs="Calibri"/>
                <w:sz w:val="18"/>
                <w:szCs w:val="18"/>
                <w:lang w:eastAsia="pt-BR"/>
              </w:rPr>
            </w:pPr>
          </w:p>
        </w:tc>
        <w:tc>
          <w:tcPr>
            <w:tcW w:w="84" w:type="pct"/>
            <w:tcBorders>
              <w:top w:val="nil"/>
              <w:left w:val="nil"/>
              <w:bottom w:val="nil"/>
              <w:right w:val="nil"/>
            </w:tcBorders>
            <w:shd w:val="clear" w:color="auto" w:fill="auto"/>
            <w:noWrap/>
            <w:vAlign w:val="center"/>
            <w:hideMark/>
          </w:tcPr>
          <w:p w14:paraId="5A3FD95F" w14:textId="77777777" w:rsidR="003C63A3" w:rsidRPr="00F7132F" w:rsidRDefault="003C63A3" w:rsidP="003C63A3">
            <w:pPr>
              <w:spacing w:after="0" w:line="240" w:lineRule="auto"/>
              <w:rPr>
                <w:rFonts w:ascii="Verdana" w:eastAsia="Times New Roman" w:hAnsi="Verdana" w:cs="Calibri"/>
                <w:sz w:val="18"/>
                <w:szCs w:val="18"/>
                <w:lang w:eastAsia="pt-BR"/>
              </w:rPr>
            </w:pPr>
          </w:p>
        </w:tc>
        <w:tc>
          <w:tcPr>
            <w:tcW w:w="741" w:type="pct"/>
            <w:tcBorders>
              <w:top w:val="nil"/>
              <w:left w:val="nil"/>
              <w:bottom w:val="nil"/>
              <w:right w:val="nil"/>
            </w:tcBorders>
            <w:shd w:val="clear" w:color="auto" w:fill="auto"/>
            <w:noWrap/>
            <w:vAlign w:val="center"/>
            <w:hideMark/>
          </w:tcPr>
          <w:p w14:paraId="5E82FBAF" w14:textId="77777777" w:rsidR="003C63A3" w:rsidRPr="00F7132F" w:rsidRDefault="003C63A3" w:rsidP="003C63A3">
            <w:pPr>
              <w:spacing w:after="0" w:line="240" w:lineRule="auto"/>
              <w:jc w:val="right"/>
              <w:rPr>
                <w:rFonts w:ascii="Verdana" w:eastAsia="Times New Roman" w:hAnsi="Verdana" w:cs="Calibri"/>
                <w:sz w:val="18"/>
                <w:szCs w:val="18"/>
                <w:lang w:eastAsia="pt-BR"/>
              </w:rPr>
            </w:pPr>
          </w:p>
        </w:tc>
        <w:tc>
          <w:tcPr>
            <w:tcW w:w="88" w:type="pct"/>
            <w:tcBorders>
              <w:top w:val="nil"/>
              <w:left w:val="nil"/>
              <w:bottom w:val="nil"/>
              <w:right w:val="nil"/>
            </w:tcBorders>
            <w:shd w:val="clear" w:color="auto" w:fill="auto"/>
            <w:noWrap/>
            <w:vAlign w:val="center"/>
            <w:hideMark/>
          </w:tcPr>
          <w:p w14:paraId="61FE512C" w14:textId="77777777" w:rsidR="003C63A3" w:rsidRPr="00F7132F" w:rsidRDefault="003C63A3" w:rsidP="003C63A3">
            <w:pPr>
              <w:spacing w:after="0" w:line="240" w:lineRule="auto"/>
              <w:rPr>
                <w:rFonts w:ascii="Verdana" w:eastAsia="Times New Roman" w:hAnsi="Verdana" w:cs="Calibri"/>
                <w:sz w:val="18"/>
                <w:szCs w:val="18"/>
                <w:lang w:eastAsia="pt-BR"/>
              </w:rPr>
            </w:pPr>
          </w:p>
        </w:tc>
        <w:tc>
          <w:tcPr>
            <w:tcW w:w="666" w:type="pct"/>
            <w:tcBorders>
              <w:top w:val="nil"/>
              <w:left w:val="nil"/>
              <w:bottom w:val="nil"/>
              <w:right w:val="nil"/>
            </w:tcBorders>
            <w:shd w:val="clear" w:color="auto" w:fill="auto"/>
            <w:noWrap/>
            <w:vAlign w:val="center"/>
            <w:hideMark/>
          </w:tcPr>
          <w:p w14:paraId="747CF4B3" w14:textId="77777777" w:rsidR="003C63A3" w:rsidRPr="00F7132F" w:rsidRDefault="003C63A3" w:rsidP="003C63A3">
            <w:pPr>
              <w:spacing w:after="0" w:line="240" w:lineRule="auto"/>
              <w:jc w:val="right"/>
              <w:rPr>
                <w:rFonts w:ascii="Verdana" w:eastAsia="Times New Roman" w:hAnsi="Verdana" w:cs="Calibri"/>
                <w:sz w:val="18"/>
                <w:szCs w:val="18"/>
                <w:lang w:eastAsia="pt-BR"/>
              </w:rPr>
            </w:pPr>
          </w:p>
        </w:tc>
      </w:tr>
      <w:tr w:rsidR="003C63A3" w:rsidRPr="00116729" w14:paraId="5673275B" w14:textId="77777777" w:rsidTr="007622F9">
        <w:trPr>
          <w:trHeight w:val="20"/>
        </w:trPr>
        <w:tc>
          <w:tcPr>
            <w:tcW w:w="2582" w:type="pct"/>
            <w:tcBorders>
              <w:top w:val="nil"/>
              <w:left w:val="nil"/>
              <w:bottom w:val="nil"/>
              <w:right w:val="nil"/>
            </w:tcBorders>
            <w:shd w:val="clear" w:color="auto" w:fill="auto"/>
            <w:noWrap/>
            <w:vAlign w:val="center"/>
            <w:hideMark/>
          </w:tcPr>
          <w:p w14:paraId="231F0FC4" w14:textId="77777777" w:rsidR="003C63A3" w:rsidRPr="00F7132F" w:rsidRDefault="003C63A3" w:rsidP="003C63A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Poder público Federal - Banco do Brasil</w:t>
            </w:r>
          </w:p>
        </w:tc>
        <w:tc>
          <w:tcPr>
            <w:tcW w:w="102" w:type="pct"/>
            <w:tcBorders>
              <w:top w:val="nil"/>
              <w:left w:val="nil"/>
              <w:bottom w:val="nil"/>
              <w:right w:val="nil"/>
            </w:tcBorders>
            <w:shd w:val="clear" w:color="auto" w:fill="auto"/>
            <w:noWrap/>
            <w:vAlign w:val="center"/>
            <w:hideMark/>
          </w:tcPr>
          <w:p w14:paraId="79ACA8BE" w14:textId="77777777" w:rsidR="003C63A3" w:rsidRPr="00F7132F" w:rsidRDefault="003C63A3" w:rsidP="003C63A3">
            <w:pPr>
              <w:spacing w:after="0" w:line="240" w:lineRule="auto"/>
              <w:rPr>
                <w:rFonts w:ascii="Verdana" w:eastAsia="Times New Roman" w:hAnsi="Verdana" w:cs="Calibri"/>
                <w:sz w:val="18"/>
                <w:szCs w:val="18"/>
                <w:lang w:eastAsia="pt-BR"/>
              </w:rPr>
            </w:pPr>
          </w:p>
        </w:tc>
        <w:tc>
          <w:tcPr>
            <w:tcW w:w="737" w:type="pct"/>
            <w:tcBorders>
              <w:top w:val="nil"/>
              <w:left w:val="nil"/>
              <w:bottom w:val="nil"/>
              <w:right w:val="nil"/>
            </w:tcBorders>
            <w:shd w:val="clear" w:color="auto" w:fill="auto"/>
            <w:noWrap/>
            <w:vAlign w:val="center"/>
            <w:hideMark/>
          </w:tcPr>
          <w:p w14:paraId="6FD2795B" w14:textId="77777777" w:rsidR="003C63A3" w:rsidRPr="00F7132F" w:rsidRDefault="003C63A3" w:rsidP="003C63A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1.545.707</w:t>
            </w:r>
          </w:p>
        </w:tc>
        <w:tc>
          <w:tcPr>
            <w:tcW w:w="84" w:type="pct"/>
            <w:tcBorders>
              <w:top w:val="nil"/>
              <w:left w:val="nil"/>
              <w:bottom w:val="nil"/>
              <w:right w:val="nil"/>
            </w:tcBorders>
            <w:shd w:val="clear" w:color="auto" w:fill="auto"/>
            <w:noWrap/>
            <w:vAlign w:val="center"/>
            <w:hideMark/>
          </w:tcPr>
          <w:p w14:paraId="78868D78" w14:textId="77777777" w:rsidR="003C63A3" w:rsidRPr="00F7132F" w:rsidRDefault="003C63A3" w:rsidP="003C63A3">
            <w:pPr>
              <w:spacing w:after="0" w:line="240" w:lineRule="auto"/>
              <w:jc w:val="right"/>
              <w:rPr>
                <w:rFonts w:ascii="Verdana" w:eastAsia="Times New Roman" w:hAnsi="Verdana" w:cs="Calibri"/>
                <w:sz w:val="18"/>
                <w:szCs w:val="18"/>
                <w:lang w:eastAsia="pt-BR"/>
              </w:rPr>
            </w:pPr>
          </w:p>
        </w:tc>
        <w:tc>
          <w:tcPr>
            <w:tcW w:w="741" w:type="pct"/>
            <w:tcBorders>
              <w:top w:val="nil"/>
              <w:left w:val="nil"/>
              <w:bottom w:val="nil"/>
              <w:right w:val="nil"/>
            </w:tcBorders>
            <w:shd w:val="clear" w:color="auto" w:fill="auto"/>
            <w:noWrap/>
            <w:vAlign w:val="center"/>
            <w:hideMark/>
          </w:tcPr>
          <w:p w14:paraId="5CEE26B5" w14:textId="77777777" w:rsidR="003C63A3" w:rsidRPr="00F7132F" w:rsidRDefault="003C63A3" w:rsidP="003C63A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w:t>
            </w:r>
          </w:p>
        </w:tc>
        <w:tc>
          <w:tcPr>
            <w:tcW w:w="88" w:type="pct"/>
            <w:tcBorders>
              <w:top w:val="nil"/>
              <w:left w:val="nil"/>
              <w:bottom w:val="nil"/>
              <w:right w:val="nil"/>
            </w:tcBorders>
            <w:shd w:val="clear" w:color="auto" w:fill="auto"/>
            <w:noWrap/>
            <w:vAlign w:val="center"/>
            <w:hideMark/>
          </w:tcPr>
          <w:p w14:paraId="374FE02C" w14:textId="77777777" w:rsidR="003C63A3" w:rsidRPr="00F7132F" w:rsidRDefault="003C63A3" w:rsidP="003C63A3">
            <w:pPr>
              <w:spacing w:after="0" w:line="240" w:lineRule="auto"/>
              <w:jc w:val="right"/>
              <w:rPr>
                <w:rFonts w:ascii="Verdana" w:eastAsia="Times New Roman" w:hAnsi="Verdana" w:cs="Calibri"/>
                <w:sz w:val="18"/>
                <w:szCs w:val="18"/>
                <w:lang w:eastAsia="pt-BR"/>
              </w:rPr>
            </w:pPr>
          </w:p>
        </w:tc>
        <w:tc>
          <w:tcPr>
            <w:tcW w:w="666" w:type="pct"/>
            <w:tcBorders>
              <w:top w:val="nil"/>
              <w:left w:val="nil"/>
              <w:bottom w:val="nil"/>
              <w:right w:val="nil"/>
            </w:tcBorders>
            <w:shd w:val="clear" w:color="auto" w:fill="auto"/>
            <w:noWrap/>
            <w:vAlign w:val="center"/>
            <w:hideMark/>
          </w:tcPr>
          <w:p w14:paraId="0E57B97A" w14:textId="77777777" w:rsidR="003C63A3" w:rsidRPr="00F7132F" w:rsidRDefault="003C63A3" w:rsidP="003C63A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166.506</w:t>
            </w:r>
          </w:p>
        </w:tc>
      </w:tr>
      <w:tr w:rsidR="003C63A3" w:rsidRPr="00116729" w14:paraId="2ADB7A32" w14:textId="77777777" w:rsidTr="007622F9">
        <w:trPr>
          <w:trHeight w:val="20"/>
        </w:trPr>
        <w:tc>
          <w:tcPr>
            <w:tcW w:w="2582" w:type="pct"/>
            <w:tcBorders>
              <w:top w:val="nil"/>
              <w:left w:val="nil"/>
              <w:bottom w:val="nil"/>
              <w:right w:val="nil"/>
            </w:tcBorders>
            <w:shd w:val="clear" w:color="auto" w:fill="auto"/>
            <w:noWrap/>
            <w:vAlign w:val="center"/>
            <w:hideMark/>
          </w:tcPr>
          <w:p w14:paraId="1AB9A414" w14:textId="77777777" w:rsidR="003C63A3" w:rsidRPr="00F7132F" w:rsidRDefault="003C63A3" w:rsidP="003C63A3">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Contas a receber</w:t>
            </w:r>
          </w:p>
        </w:tc>
        <w:tc>
          <w:tcPr>
            <w:tcW w:w="102" w:type="pct"/>
            <w:tcBorders>
              <w:top w:val="nil"/>
              <w:left w:val="nil"/>
              <w:bottom w:val="nil"/>
              <w:right w:val="nil"/>
            </w:tcBorders>
            <w:shd w:val="clear" w:color="auto" w:fill="auto"/>
            <w:noWrap/>
            <w:vAlign w:val="center"/>
            <w:hideMark/>
          </w:tcPr>
          <w:p w14:paraId="5ED85AD2" w14:textId="77777777" w:rsidR="003C63A3" w:rsidRPr="00F7132F" w:rsidRDefault="003C63A3" w:rsidP="003C63A3">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737" w:type="pct"/>
            <w:tcBorders>
              <w:top w:val="nil"/>
              <w:left w:val="nil"/>
              <w:bottom w:val="nil"/>
              <w:right w:val="nil"/>
            </w:tcBorders>
            <w:shd w:val="clear" w:color="auto" w:fill="auto"/>
            <w:noWrap/>
            <w:vAlign w:val="center"/>
            <w:hideMark/>
          </w:tcPr>
          <w:p w14:paraId="2D21160A" w14:textId="77777777" w:rsidR="003C63A3" w:rsidRPr="00F7132F" w:rsidRDefault="003C63A3" w:rsidP="003C63A3">
            <w:pPr>
              <w:spacing w:after="0" w:line="240" w:lineRule="auto"/>
              <w:jc w:val="center"/>
              <w:rPr>
                <w:rFonts w:ascii="Verdana" w:eastAsia="Times New Roman" w:hAnsi="Verdana" w:cs="Calibri"/>
                <w:sz w:val="18"/>
                <w:szCs w:val="18"/>
                <w:lang w:eastAsia="pt-BR"/>
              </w:rPr>
            </w:pPr>
          </w:p>
        </w:tc>
        <w:tc>
          <w:tcPr>
            <w:tcW w:w="84" w:type="pct"/>
            <w:tcBorders>
              <w:top w:val="nil"/>
              <w:left w:val="nil"/>
              <w:bottom w:val="nil"/>
              <w:right w:val="nil"/>
            </w:tcBorders>
            <w:shd w:val="clear" w:color="auto" w:fill="auto"/>
            <w:noWrap/>
            <w:vAlign w:val="center"/>
            <w:hideMark/>
          </w:tcPr>
          <w:p w14:paraId="695738C0" w14:textId="77777777" w:rsidR="003C63A3" w:rsidRPr="00F7132F" w:rsidRDefault="003C63A3" w:rsidP="003C63A3">
            <w:pPr>
              <w:spacing w:after="0" w:line="240" w:lineRule="auto"/>
              <w:jc w:val="center"/>
              <w:rPr>
                <w:rFonts w:ascii="Verdana" w:eastAsia="Times New Roman" w:hAnsi="Verdana" w:cs="Calibri"/>
                <w:sz w:val="18"/>
                <w:szCs w:val="18"/>
                <w:lang w:eastAsia="pt-BR"/>
              </w:rPr>
            </w:pPr>
          </w:p>
        </w:tc>
        <w:tc>
          <w:tcPr>
            <w:tcW w:w="741" w:type="pct"/>
            <w:tcBorders>
              <w:top w:val="nil"/>
              <w:left w:val="nil"/>
              <w:bottom w:val="nil"/>
              <w:right w:val="nil"/>
            </w:tcBorders>
            <w:shd w:val="clear" w:color="auto" w:fill="auto"/>
            <w:noWrap/>
            <w:vAlign w:val="center"/>
            <w:hideMark/>
          </w:tcPr>
          <w:p w14:paraId="522903A7" w14:textId="77777777" w:rsidR="003C63A3" w:rsidRPr="00F7132F" w:rsidRDefault="003C63A3" w:rsidP="003C63A3">
            <w:pPr>
              <w:spacing w:after="0" w:line="240" w:lineRule="auto"/>
              <w:jc w:val="center"/>
              <w:rPr>
                <w:rFonts w:ascii="Verdana" w:eastAsia="Times New Roman" w:hAnsi="Verdana" w:cs="Calibri"/>
                <w:sz w:val="18"/>
                <w:szCs w:val="18"/>
                <w:lang w:eastAsia="pt-BR"/>
              </w:rPr>
            </w:pPr>
          </w:p>
        </w:tc>
        <w:tc>
          <w:tcPr>
            <w:tcW w:w="88" w:type="pct"/>
            <w:tcBorders>
              <w:top w:val="nil"/>
              <w:left w:val="nil"/>
              <w:bottom w:val="nil"/>
              <w:right w:val="nil"/>
            </w:tcBorders>
            <w:shd w:val="clear" w:color="auto" w:fill="auto"/>
            <w:noWrap/>
            <w:vAlign w:val="center"/>
            <w:hideMark/>
          </w:tcPr>
          <w:p w14:paraId="0A7DF8B6" w14:textId="77777777" w:rsidR="003C63A3" w:rsidRPr="00F7132F" w:rsidRDefault="003C63A3" w:rsidP="003C63A3">
            <w:pPr>
              <w:spacing w:after="0" w:line="240" w:lineRule="auto"/>
              <w:jc w:val="center"/>
              <w:rPr>
                <w:rFonts w:ascii="Verdana" w:eastAsia="Times New Roman" w:hAnsi="Verdana" w:cs="Calibri"/>
                <w:sz w:val="18"/>
                <w:szCs w:val="18"/>
                <w:lang w:eastAsia="pt-BR"/>
              </w:rPr>
            </w:pPr>
          </w:p>
        </w:tc>
        <w:tc>
          <w:tcPr>
            <w:tcW w:w="666" w:type="pct"/>
            <w:tcBorders>
              <w:top w:val="nil"/>
              <w:left w:val="nil"/>
              <w:bottom w:val="nil"/>
              <w:right w:val="nil"/>
            </w:tcBorders>
            <w:shd w:val="clear" w:color="auto" w:fill="auto"/>
            <w:noWrap/>
            <w:vAlign w:val="center"/>
            <w:hideMark/>
          </w:tcPr>
          <w:p w14:paraId="1DBB05D5" w14:textId="77777777" w:rsidR="003C63A3" w:rsidRPr="00F7132F" w:rsidRDefault="003C63A3" w:rsidP="003C63A3">
            <w:pPr>
              <w:spacing w:after="0" w:line="240" w:lineRule="auto"/>
              <w:jc w:val="center"/>
              <w:rPr>
                <w:rFonts w:ascii="Verdana" w:eastAsia="Times New Roman" w:hAnsi="Verdana" w:cs="Calibri"/>
                <w:sz w:val="18"/>
                <w:szCs w:val="18"/>
                <w:lang w:eastAsia="pt-BR"/>
              </w:rPr>
            </w:pPr>
          </w:p>
        </w:tc>
      </w:tr>
      <w:tr w:rsidR="003C63A3" w:rsidRPr="00116729" w14:paraId="0C6826C3" w14:textId="77777777" w:rsidTr="007622F9">
        <w:trPr>
          <w:trHeight w:val="20"/>
        </w:trPr>
        <w:tc>
          <w:tcPr>
            <w:tcW w:w="2684" w:type="pct"/>
            <w:gridSpan w:val="2"/>
            <w:tcBorders>
              <w:top w:val="nil"/>
              <w:left w:val="nil"/>
              <w:bottom w:val="nil"/>
              <w:right w:val="nil"/>
            </w:tcBorders>
            <w:shd w:val="clear" w:color="auto" w:fill="auto"/>
            <w:noWrap/>
            <w:vAlign w:val="center"/>
            <w:hideMark/>
          </w:tcPr>
          <w:p w14:paraId="40EBA462" w14:textId="74CE5054" w:rsidR="003C63A3" w:rsidRPr="00F7132F" w:rsidRDefault="003C63A3" w:rsidP="003C63A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Ressarcimento de encargos e Rendimento de capital</w:t>
            </w:r>
            <w:r w:rsidR="00C03689">
              <w:rPr>
                <w:rFonts w:ascii="Verdana" w:eastAsia="Times New Roman" w:hAnsi="Verdana" w:cs="Calibri"/>
                <w:sz w:val="18"/>
                <w:szCs w:val="18"/>
                <w:lang w:eastAsia="pt-BR"/>
              </w:rPr>
              <w:t xml:space="preserve"> - Itaipu</w:t>
            </w:r>
          </w:p>
        </w:tc>
        <w:tc>
          <w:tcPr>
            <w:tcW w:w="737" w:type="pct"/>
            <w:tcBorders>
              <w:top w:val="nil"/>
              <w:left w:val="nil"/>
              <w:bottom w:val="nil"/>
              <w:right w:val="nil"/>
            </w:tcBorders>
            <w:shd w:val="clear" w:color="auto" w:fill="auto"/>
            <w:noWrap/>
            <w:vAlign w:val="center"/>
            <w:hideMark/>
          </w:tcPr>
          <w:p w14:paraId="2B0E23BC" w14:textId="77777777" w:rsidR="003C63A3" w:rsidRPr="00F7132F" w:rsidRDefault="003C63A3" w:rsidP="003C63A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2.373 </w:t>
            </w:r>
          </w:p>
        </w:tc>
        <w:tc>
          <w:tcPr>
            <w:tcW w:w="84" w:type="pct"/>
            <w:tcBorders>
              <w:top w:val="nil"/>
              <w:left w:val="nil"/>
              <w:bottom w:val="nil"/>
              <w:right w:val="nil"/>
            </w:tcBorders>
            <w:shd w:val="clear" w:color="auto" w:fill="auto"/>
            <w:noWrap/>
            <w:vAlign w:val="center"/>
            <w:hideMark/>
          </w:tcPr>
          <w:p w14:paraId="587DBEDC" w14:textId="77777777" w:rsidR="003C63A3" w:rsidRPr="00F7132F" w:rsidRDefault="003C63A3" w:rsidP="003C63A3">
            <w:pPr>
              <w:spacing w:after="0" w:line="240" w:lineRule="auto"/>
              <w:jc w:val="right"/>
              <w:rPr>
                <w:rFonts w:ascii="Verdana" w:eastAsia="Times New Roman" w:hAnsi="Verdana" w:cs="Calibri"/>
                <w:sz w:val="18"/>
                <w:szCs w:val="18"/>
                <w:lang w:eastAsia="pt-BR"/>
              </w:rPr>
            </w:pPr>
          </w:p>
        </w:tc>
        <w:tc>
          <w:tcPr>
            <w:tcW w:w="741" w:type="pct"/>
            <w:tcBorders>
              <w:top w:val="nil"/>
              <w:left w:val="nil"/>
              <w:bottom w:val="nil"/>
              <w:right w:val="nil"/>
            </w:tcBorders>
            <w:shd w:val="clear" w:color="auto" w:fill="auto"/>
            <w:noWrap/>
            <w:vAlign w:val="center"/>
            <w:hideMark/>
          </w:tcPr>
          <w:p w14:paraId="6B0FD669" w14:textId="77777777" w:rsidR="003C63A3" w:rsidRPr="00F7132F" w:rsidRDefault="003C63A3" w:rsidP="003C63A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w:t>
            </w:r>
          </w:p>
        </w:tc>
        <w:tc>
          <w:tcPr>
            <w:tcW w:w="88" w:type="pct"/>
            <w:tcBorders>
              <w:top w:val="nil"/>
              <w:left w:val="nil"/>
              <w:bottom w:val="nil"/>
              <w:right w:val="nil"/>
            </w:tcBorders>
            <w:shd w:val="clear" w:color="auto" w:fill="auto"/>
            <w:noWrap/>
            <w:vAlign w:val="center"/>
            <w:hideMark/>
          </w:tcPr>
          <w:p w14:paraId="59A167D7" w14:textId="77777777" w:rsidR="003C63A3" w:rsidRPr="00F7132F" w:rsidRDefault="003C63A3" w:rsidP="003C63A3">
            <w:pPr>
              <w:spacing w:after="0" w:line="240" w:lineRule="auto"/>
              <w:jc w:val="right"/>
              <w:rPr>
                <w:rFonts w:ascii="Verdana" w:eastAsia="Times New Roman" w:hAnsi="Verdana" w:cs="Calibri"/>
                <w:sz w:val="18"/>
                <w:szCs w:val="18"/>
                <w:lang w:eastAsia="pt-BR"/>
              </w:rPr>
            </w:pPr>
          </w:p>
        </w:tc>
        <w:tc>
          <w:tcPr>
            <w:tcW w:w="666" w:type="pct"/>
            <w:tcBorders>
              <w:top w:val="nil"/>
              <w:left w:val="nil"/>
              <w:bottom w:val="nil"/>
              <w:right w:val="nil"/>
            </w:tcBorders>
            <w:shd w:val="clear" w:color="auto" w:fill="auto"/>
            <w:noWrap/>
            <w:vAlign w:val="center"/>
            <w:hideMark/>
          </w:tcPr>
          <w:p w14:paraId="201979F3" w14:textId="77777777" w:rsidR="003C63A3" w:rsidRPr="00F7132F" w:rsidRDefault="003C63A3" w:rsidP="003C63A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2.373</w:t>
            </w:r>
          </w:p>
        </w:tc>
      </w:tr>
      <w:tr w:rsidR="003C63A3" w:rsidRPr="00116729" w14:paraId="584E13D3" w14:textId="77777777" w:rsidTr="007622F9">
        <w:trPr>
          <w:trHeight w:val="20"/>
        </w:trPr>
        <w:tc>
          <w:tcPr>
            <w:tcW w:w="2582" w:type="pct"/>
            <w:tcBorders>
              <w:top w:val="nil"/>
              <w:left w:val="nil"/>
              <w:bottom w:val="nil"/>
              <w:right w:val="nil"/>
            </w:tcBorders>
            <w:shd w:val="clear" w:color="auto" w:fill="auto"/>
            <w:noWrap/>
            <w:vAlign w:val="center"/>
            <w:hideMark/>
          </w:tcPr>
          <w:p w14:paraId="12A3C542" w14:textId="77777777" w:rsidR="003C63A3" w:rsidRPr="00F7132F" w:rsidRDefault="003C63A3" w:rsidP="003C63A3">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Fornecedores</w:t>
            </w:r>
          </w:p>
        </w:tc>
        <w:tc>
          <w:tcPr>
            <w:tcW w:w="102" w:type="pct"/>
            <w:tcBorders>
              <w:top w:val="nil"/>
              <w:left w:val="nil"/>
              <w:bottom w:val="nil"/>
              <w:right w:val="nil"/>
            </w:tcBorders>
            <w:shd w:val="clear" w:color="auto" w:fill="auto"/>
            <w:noWrap/>
            <w:vAlign w:val="center"/>
            <w:hideMark/>
          </w:tcPr>
          <w:p w14:paraId="2FD33438" w14:textId="77777777" w:rsidR="003C63A3" w:rsidRPr="00F7132F" w:rsidRDefault="003C63A3" w:rsidP="003C63A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737" w:type="pct"/>
            <w:tcBorders>
              <w:top w:val="nil"/>
              <w:left w:val="nil"/>
              <w:bottom w:val="nil"/>
              <w:right w:val="nil"/>
            </w:tcBorders>
            <w:shd w:val="clear" w:color="auto" w:fill="auto"/>
            <w:noWrap/>
            <w:vAlign w:val="center"/>
            <w:hideMark/>
          </w:tcPr>
          <w:p w14:paraId="54870782" w14:textId="77777777" w:rsidR="003C63A3" w:rsidRPr="00F7132F" w:rsidRDefault="003C63A3" w:rsidP="003C63A3">
            <w:pPr>
              <w:spacing w:after="0" w:line="240" w:lineRule="auto"/>
              <w:jc w:val="right"/>
              <w:rPr>
                <w:rFonts w:ascii="Verdana" w:eastAsia="Times New Roman" w:hAnsi="Verdana" w:cs="Calibri"/>
                <w:sz w:val="18"/>
                <w:szCs w:val="18"/>
                <w:lang w:eastAsia="pt-BR"/>
              </w:rPr>
            </w:pPr>
          </w:p>
        </w:tc>
        <w:tc>
          <w:tcPr>
            <w:tcW w:w="84" w:type="pct"/>
            <w:tcBorders>
              <w:top w:val="nil"/>
              <w:left w:val="nil"/>
              <w:bottom w:val="nil"/>
              <w:right w:val="nil"/>
            </w:tcBorders>
            <w:shd w:val="clear" w:color="auto" w:fill="auto"/>
            <w:noWrap/>
            <w:vAlign w:val="center"/>
            <w:hideMark/>
          </w:tcPr>
          <w:p w14:paraId="5B37E4C9" w14:textId="77777777" w:rsidR="003C63A3" w:rsidRPr="00F7132F" w:rsidRDefault="003C63A3" w:rsidP="003C63A3">
            <w:pPr>
              <w:spacing w:after="0" w:line="240" w:lineRule="auto"/>
              <w:rPr>
                <w:rFonts w:ascii="Verdana" w:eastAsia="Times New Roman" w:hAnsi="Verdana" w:cs="Calibri"/>
                <w:sz w:val="18"/>
                <w:szCs w:val="18"/>
                <w:lang w:eastAsia="pt-BR"/>
              </w:rPr>
            </w:pPr>
          </w:p>
        </w:tc>
        <w:tc>
          <w:tcPr>
            <w:tcW w:w="741" w:type="pct"/>
            <w:tcBorders>
              <w:top w:val="nil"/>
              <w:left w:val="nil"/>
              <w:bottom w:val="nil"/>
              <w:right w:val="nil"/>
            </w:tcBorders>
            <w:shd w:val="clear" w:color="auto" w:fill="auto"/>
            <w:noWrap/>
            <w:vAlign w:val="center"/>
            <w:hideMark/>
          </w:tcPr>
          <w:p w14:paraId="0A50D5B4" w14:textId="77777777" w:rsidR="003C63A3" w:rsidRPr="00F7132F" w:rsidRDefault="003C63A3" w:rsidP="003C63A3">
            <w:pPr>
              <w:spacing w:after="0" w:line="240" w:lineRule="auto"/>
              <w:jc w:val="right"/>
              <w:rPr>
                <w:rFonts w:ascii="Verdana" w:eastAsia="Times New Roman" w:hAnsi="Verdana" w:cs="Calibri"/>
                <w:sz w:val="18"/>
                <w:szCs w:val="18"/>
                <w:lang w:eastAsia="pt-BR"/>
              </w:rPr>
            </w:pPr>
          </w:p>
        </w:tc>
        <w:tc>
          <w:tcPr>
            <w:tcW w:w="88" w:type="pct"/>
            <w:tcBorders>
              <w:top w:val="nil"/>
              <w:left w:val="nil"/>
              <w:bottom w:val="nil"/>
              <w:right w:val="nil"/>
            </w:tcBorders>
            <w:shd w:val="clear" w:color="auto" w:fill="auto"/>
            <w:noWrap/>
            <w:vAlign w:val="center"/>
            <w:hideMark/>
          </w:tcPr>
          <w:p w14:paraId="5A231655" w14:textId="77777777" w:rsidR="003C63A3" w:rsidRPr="00F7132F" w:rsidRDefault="003C63A3" w:rsidP="003C63A3">
            <w:pPr>
              <w:spacing w:after="0" w:line="240" w:lineRule="auto"/>
              <w:rPr>
                <w:rFonts w:ascii="Verdana" w:eastAsia="Times New Roman" w:hAnsi="Verdana" w:cs="Calibri"/>
                <w:sz w:val="18"/>
                <w:szCs w:val="18"/>
                <w:lang w:eastAsia="pt-BR"/>
              </w:rPr>
            </w:pPr>
          </w:p>
        </w:tc>
        <w:tc>
          <w:tcPr>
            <w:tcW w:w="666" w:type="pct"/>
            <w:tcBorders>
              <w:top w:val="nil"/>
              <w:left w:val="nil"/>
              <w:bottom w:val="nil"/>
              <w:right w:val="nil"/>
            </w:tcBorders>
            <w:shd w:val="clear" w:color="auto" w:fill="auto"/>
            <w:noWrap/>
            <w:vAlign w:val="center"/>
            <w:hideMark/>
          </w:tcPr>
          <w:p w14:paraId="0F1CA0B6" w14:textId="77777777" w:rsidR="003C63A3" w:rsidRPr="00F7132F" w:rsidRDefault="003C63A3" w:rsidP="003C63A3">
            <w:pPr>
              <w:spacing w:after="0" w:line="240" w:lineRule="auto"/>
              <w:jc w:val="right"/>
              <w:rPr>
                <w:rFonts w:ascii="Verdana" w:eastAsia="Times New Roman" w:hAnsi="Verdana" w:cs="Calibri"/>
                <w:sz w:val="18"/>
                <w:szCs w:val="18"/>
                <w:lang w:eastAsia="pt-BR"/>
              </w:rPr>
            </w:pPr>
          </w:p>
        </w:tc>
      </w:tr>
      <w:tr w:rsidR="003C63A3" w:rsidRPr="00116729" w14:paraId="56A7FE96" w14:textId="77777777" w:rsidTr="007622F9">
        <w:trPr>
          <w:trHeight w:val="20"/>
        </w:trPr>
        <w:tc>
          <w:tcPr>
            <w:tcW w:w="2582" w:type="pct"/>
            <w:tcBorders>
              <w:top w:val="nil"/>
              <w:left w:val="nil"/>
              <w:bottom w:val="nil"/>
              <w:right w:val="nil"/>
            </w:tcBorders>
            <w:shd w:val="clear" w:color="auto" w:fill="auto"/>
            <w:noWrap/>
            <w:vAlign w:val="center"/>
            <w:hideMark/>
          </w:tcPr>
          <w:p w14:paraId="465B57D9" w14:textId="002A06B6" w:rsidR="003C63A3" w:rsidRPr="00F7132F" w:rsidRDefault="003C63A3" w:rsidP="003C63A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Fatura processada </w:t>
            </w:r>
            <w:r w:rsidR="00C03689">
              <w:rPr>
                <w:rFonts w:ascii="Verdana" w:eastAsia="Times New Roman" w:hAnsi="Verdana" w:cs="Calibri"/>
                <w:sz w:val="18"/>
                <w:szCs w:val="18"/>
                <w:lang w:eastAsia="pt-BR"/>
              </w:rPr>
              <w:t xml:space="preserve">- </w:t>
            </w:r>
            <w:r w:rsidRPr="00F7132F">
              <w:rPr>
                <w:rFonts w:ascii="Verdana" w:eastAsia="Times New Roman" w:hAnsi="Verdana" w:cs="Calibri"/>
                <w:sz w:val="18"/>
                <w:szCs w:val="18"/>
                <w:lang w:eastAsia="pt-BR"/>
              </w:rPr>
              <w:t>Itaipu</w:t>
            </w:r>
          </w:p>
        </w:tc>
        <w:tc>
          <w:tcPr>
            <w:tcW w:w="102" w:type="pct"/>
            <w:tcBorders>
              <w:top w:val="nil"/>
              <w:left w:val="nil"/>
              <w:bottom w:val="nil"/>
              <w:right w:val="nil"/>
            </w:tcBorders>
            <w:shd w:val="clear" w:color="auto" w:fill="auto"/>
            <w:noWrap/>
            <w:vAlign w:val="center"/>
            <w:hideMark/>
          </w:tcPr>
          <w:p w14:paraId="394603A3" w14:textId="77777777" w:rsidR="003C63A3" w:rsidRPr="00F7132F" w:rsidRDefault="003C63A3" w:rsidP="003C63A3">
            <w:pPr>
              <w:spacing w:after="0" w:line="240" w:lineRule="auto"/>
              <w:rPr>
                <w:rFonts w:ascii="Verdana" w:eastAsia="Times New Roman" w:hAnsi="Verdana" w:cs="Calibri"/>
                <w:sz w:val="18"/>
                <w:szCs w:val="18"/>
                <w:lang w:eastAsia="pt-BR"/>
              </w:rPr>
            </w:pPr>
          </w:p>
        </w:tc>
        <w:tc>
          <w:tcPr>
            <w:tcW w:w="737" w:type="pct"/>
            <w:tcBorders>
              <w:top w:val="nil"/>
              <w:left w:val="nil"/>
              <w:bottom w:val="nil"/>
              <w:right w:val="nil"/>
            </w:tcBorders>
            <w:shd w:val="clear" w:color="auto" w:fill="auto"/>
            <w:noWrap/>
            <w:vAlign w:val="center"/>
            <w:hideMark/>
          </w:tcPr>
          <w:p w14:paraId="4E065BF5" w14:textId="77777777" w:rsidR="003C63A3" w:rsidRPr="00F7132F" w:rsidRDefault="003C63A3" w:rsidP="003C63A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w:t>
            </w:r>
          </w:p>
        </w:tc>
        <w:tc>
          <w:tcPr>
            <w:tcW w:w="84" w:type="pct"/>
            <w:tcBorders>
              <w:top w:val="nil"/>
              <w:left w:val="nil"/>
              <w:bottom w:val="nil"/>
              <w:right w:val="nil"/>
            </w:tcBorders>
            <w:shd w:val="clear" w:color="auto" w:fill="auto"/>
            <w:noWrap/>
            <w:vAlign w:val="center"/>
            <w:hideMark/>
          </w:tcPr>
          <w:p w14:paraId="65029461" w14:textId="77777777" w:rsidR="003C63A3" w:rsidRPr="00F7132F" w:rsidRDefault="003C63A3" w:rsidP="003C63A3">
            <w:pPr>
              <w:spacing w:after="0" w:line="240" w:lineRule="auto"/>
              <w:jc w:val="right"/>
              <w:rPr>
                <w:rFonts w:ascii="Verdana" w:eastAsia="Times New Roman" w:hAnsi="Verdana" w:cs="Calibri"/>
                <w:sz w:val="18"/>
                <w:szCs w:val="18"/>
                <w:lang w:eastAsia="pt-BR"/>
              </w:rPr>
            </w:pPr>
          </w:p>
        </w:tc>
        <w:tc>
          <w:tcPr>
            <w:tcW w:w="741" w:type="pct"/>
            <w:tcBorders>
              <w:top w:val="nil"/>
              <w:left w:val="nil"/>
              <w:bottom w:val="nil"/>
              <w:right w:val="nil"/>
            </w:tcBorders>
            <w:shd w:val="clear" w:color="auto" w:fill="auto"/>
            <w:noWrap/>
            <w:vAlign w:val="center"/>
            <w:hideMark/>
          </w:tcPr>
          <w:p w14:paraId="2F0326EE" w14:textId="77777777" w:rsidR="003C63A3" w:rsidRPr="00F7132F" w:rsidRDefault="003C63A3" w:rsidP="003C63A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1.135.293</w:t>
            </w:r>
          </w:p>
        </w:tc>
        <w:tc>
          <w:tcPr>
            <w:tcW w:w="88" w:type="pct"/>
            <w:tcBorders>
              <w:top w:val="nil"/>
              <w:left w:val="nil"/>
              <w:bottom w:val="nil"/>
              <w:right w:val="nil"/>
            </w:tcBorders>
            <w:shd w:val="clear" w:color="auto" w:fill="auto"/>
            <w:noWrap/>
            <w:vAlign w:val="center"/>
            <w:hideMark/>
          </w:tcPr>
          <w:p w14:paraId="26F93C33" w14:textId="77777777" w:rsidR="003C63A3" w:rsidRPr="00F7132F" w:rsidRDefault="003C63A3" w:rsidP="003C63A3">
            <w:pPr>
              <w:spacing w:after="0" w:line="240" w:lineRule="auto"/>
              <w:jc w:val="right"/>
              <w:rPr>
                <w:rFonts w:ascii="Verdana" w:eastAsia="Times New Roman" w:hAnsi="Verdana" w:cs="Calibri"/>
                <w:sz w:val="18"/>
                <w:szCs w:val="18"/>
                <w:lang w:eastAsia="pt-BR"/>
              </w:rPr>
            </w:pPr>
          </w:p>
        </w:tc>
        <w:tc>
          <w:tcPr>
            <w:tcW w:w="666" w:type="pct"/>
            <w:tcBorders>
              <w:top w:val="nil"/>
              <w:left w:val="nil"/>
              <w:bottom w:val="nil"/>
              <w:right w:val="nil"/>
            </w:tcBorders>
            <w:shd w:val="clear" w:color="auto" w:fill="auto"/>
            <w:noWrap/>
            <w:vAlign w:val="center"/>
            <w:hideMark/>
          </w:tcPr>
          <w:p w14:paraId="42872BCC" w14:textId="77777777" w:rsidR="003C63A3" w:rsidRPr="00F7132F" w:rsidRDefault="003C63A3" w:rsidP="003C63A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(1.135.293)</w:t>
            </w:r>
          </w:p>
        </w:tc>
      </w:tr>
      <w:tr w:rsidR="003C63A3" w:rsidRPr="00116729" w14:paraId="3E91929B" w14:textId="77777777" w:rsidTr="007622F9">
        <w:trPr>
          <w:trHeight w:val="20"/>
        </w:trPr>
        <w:tc>
          <w:tcPr>
            <w:tcW w:w="2582" w:type="pct"/>
            <w:tcBorders>
              <w:top w:val="nil"/>
              <w:left w:val="nil"/>
              <w:bottom w:val="nil"/>
              <w:right w:val="nil"/>
            </w:tcBorders>
            <w:shd w:val="clear" w:color="auto" w:fill="auto"/>
            <w:noWrap/>
            <w:vAlign w:val="bottom"/>
            <w:hideMark/>
          </w:tcPr>
          <w:p w14:paraId="05DE934B" w14:textId="77777777" w:rsidR="003C63A3" w:rsidRPr="00F7132F" w:rsidRDefault="003C63A3" w:rsidP="003C63A3">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02" w:type="pct"/>
            <w:tcBorders>
              <w:top w:val="nil"/>
              <w:left w:val="nil"/>
              <w:bottom w:val="nil"/>
              <w:right w:val="nil"/>
            </w:tcBorders>
            <w:shd w:val="clear" w:color="auto" w:fill="auto"/>
            <w:noWrap/>
            <w:vAlign w:val="bottom"/>
            <w:hideMark/>
          </w:tcPr>
          <w:p w14:paraId="46C54CB5" w14:textId="77777777" w:rsidR="003C63A3" w:rsidRPr="00F7132F" w:rsidRDefault="003C63A3" w:rsidP="003C63A3">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737" w:type="pct"/>
            <w:tcBorders>
              <w:top w:val="single" w:sz="4" w:space="0" w:color="auto"/>
              <w:left w:val="nil"/>
              <w:bottom w:val="double" w:sz="6" w:space="0" w:color="auto"/>
              <w:right w:val="nil"/>
            </w:tcBorders>
            <w:shd w:val="clear" w:color="auto" w:fill="auto"/>
            <w:noWrap/>
            <w:vAlign w:val="center"/>
            <w:hideMark/>
          </w:tcPr>
          <w:p w14:paraId="1A1C98E4" w14:textId="77777777" w:rsidR="003C63A3" w:rsidRPr="00F7132F" w:rsidRDefault="003C63A3" w:rsidP="003C63A3">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1.548.0</w:t>
            </w:r>
            <w:r w:rsidR="000D6074">
              <w:rPr>
                <w:rFonts w:ascii="Verdana" w:eastAsia="Times New Roman" w:hAnsi="Verdana" w:cs="Calibri"/>
                <w:b/>
                <w:bCs/>
                <w:sz w:val="18"/>
                <w:szCs w:val="18"/>
                <w:lang w:eastAsia="pt-BR"/>
              </w:rPr>
              <w:t>80</w:t>
            </w:r>
          </w:p>
        </w:tc>
        <w:tc>
          <w:tcPr>
            <w:tcW w:w="84" w:type="pct"/>
            <w:tcBorders>
              <w:top w:val="nil"/>
              <w:left w:val="nil"/>
              <w:bottom w:val="nil"/>
              <w:right w:val="nil"/>
            </w:tcBorders>
            <w:shd w:val="clear" w:color="auto" w:fill="auto"/>
            <w:noWrap/>
            <w:vAlign w:val="center"/>
            <w:hideMark/>
          </w:tcPr>
          <w:p w14:paraId="56223433" w14:textId="77777777" w:rsidR="003C63A3" w:rsidRPr="00F7132F" w:rsidRDefault="003C63A3" w:rsidP="003C63A3">
            <w:pPr>
              <w:spacing w:after="0" w:line="240" w:lineRule="auto"/>
              <w:rPr>
                <w:rFonts w:ascii="Verdana" w:eastAsia="Times New Roman" w:hAnsi="Verdana" w:cs="Calibri"/>
                <w:b/>
                <w:bCs/>
                <w:sz w:val="18"/>
                <w:szCs w:val="18"/>
                <w:lang w:eastAsia="pt-BR"/>
              </w:rPr>
            </w:pPr>
          </w:p>
        </w:tc>
        <w:tc>
          <w:tcPr>
            <w:tcW w:w="741" w:type="pct"/>
            <w:tcBorders>
              <w:top w:val="single" w:sz="4" w:space="0" w:color="auto"/>
              <w:left w:val="nil"/>
              <w:bottom w:val="double" w:sz="6" w:space="0" w:color="auto"/>
              <w:right w:val="nil"/>
            </w:tcBorders>
            <w:shd w:val="clear" w:color="auto" w:fill="auto"/>
            <w:noWrap/>
            <w:vAlign w:val="center"/>
            <w:hideMark/>
          </w:tcPr>
          <w:p w14:paraId="79396C67" w14:textId="77777777" w:rsidR="003C63A3" w:rsidRPr="00F7132F" w:rsidRDefault="003C63A3" w:rsidP="003C63A3">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1.135.293</w:t>
            </w:r>
          </w:p>
        </w:tc>
        <w:tc>
          <w:tcPr>
            <w:tcW w:w="88" w:type="pct"/>
            <w:tcBorders>
              <w:top w:val="nil"/>
              <w:left w:val="nil"/>
              <w:bottom w:val="nil"/>
              <w:right w:val="nil"/>
            </w:tcBorders>
            <w:shd w:val="clear" w:color="auto" w:fill="auto"/>
            <w:noWrap/>
            <w:vAlign w:val="center"/>
            <w:hideMark/>
          </w:tcPr>
          <w:p w14:paraId="2B00B07E" w14:textId="77777777" w:rsidR="003C63A3" w:rsidRPr="00F7132F" w:rsidRDefault="003C63A3" w:rsidP="003C63A3">
            <w:pPr>
              <w:spacing w:after="0" w:line="240" w:lineRule="auto"/>
              <w:rPr>
                <w:rFonts w:ascii="Verdana" w:eastAsia="Times New Roman" w:hAnsi="Verdana" w:cs="Calibri"/>
                <w:b/>
                <w:bCs/>
                <w:sz w:val="18"/>
                <w:szCs w:val="18"/>
                <w:lang w:eastAsia="pt-BR"/>
              </w:rPr>
            </w:pPr>
          </w:p>
        </w:tc>
        <w:tc>
          <w:tcPr>
            <w:tcW w:w="666" w:type="pct"/>
            <w:tcBorders>
              <w:top w:val="single" w:sz="4" w:space="0" w:color="auto"/>
              <w:left w:val="nil"/>
              <w:bottom w:val="double" w:sz="6" w:space="0" w:color="auto"/>
              <w:right w:val="nil"/>
            </w:tcBorders>
            <w:shd w:val="clear" w:color="auto" w:fill="auto"/>
            <w:noWrap/>
            <w:vAlign w:val="center"/>
            <w:hideMark/>
          </w:tcPr>
          <w:p w14:paraId="547F9C07" w14:textId="77777777" w:rsidR="003C63A3" w:rsidRPr="00F7132F" w:rsidRDefault="003C63A3" w:rsidP="003C63A3">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(966.414)</w:t>
            </w:r>
          </w:p>
        </w:tc>
      </w:tr>
    </w:tbl>
    <w:p w14:paraId="6E6D8997" w14:textId="77777777" w:rsidR="007622F9" w:rsidRDefault="007622F9">
      <w:r>
        <w:br w:type="page"/>
      </w:r>
    </w:p>
    <w:tbl>
      <w:tblPr>
        <w:tblW w:w="5475" w:type="pct"/>
        <w:tblInd w:w="-567" w:type="dxa"/>
        <w:tblLayout w:type="fixed"/>
        <w:tblCellMar>
          <w:left w:w="70" w:type="dxa"/>
          <w:right w:w="70" w:type="dxa"/>
        </w:tblCellMar>
        <w:tblLook w:val="04A0" w:firstRow="1" w:lastRow="0" w:firstColumn="1" w:lastColumn="0" w:noHBand="0" w:noVBand="1"/>
      </w:tblPr>
      <w:tblGrid>
        <w:gridCol w:w="5459"/>
        <w:gridCol w:w="275"/>
        <w:gridCol w:w="1670"/>
        <w:gridCol w:w="160"/>
        <w:gridCol w:w="1164"/>
        <w:gridCol w:w="160"/>
        <w:gridCol w:w="1229"/>
        <w:gridCol w:w="127"/>
      </w:tblGrid>
      <w:tr w:rsidR="00385A93" w:rsidRPr="00116729" w14:paraId="2C3C7437" w14:textId="77777777" w:rsidTr="007622F9">
        <w:trPr>
          <w:gridAfter w:val="1"/>
          <w:wAfter w:w="62" w:type="pct"/>
          <w:trHeight w:val="20"/>
        </w:trPr>
        <w:tc>
          <w:tcPr>
            <w:tcW w:w="2665" w:type="pct"/>
            <w:tcBorders>
              <w:top w:val="nil"/>
              <w:left w:val="nil"/>
              <w:bottom w:val="nil"/>
              <w:right w:val="nil"/>
            </w:tcBorders>
            <w:shd w:val="clear" w:color="auto" w:fill="auto"/>
            <w:noWrap/>
            <w:vAlign w:val="bottom"/>
            <w:hideMark/>
          </w:tcPr>
          <w:p w14:paraId="0834C4D1" w14:textId="02C58435" w:rsidR="003C63A3" w:rsidRPr="00F7132F" w:rsidRDefault="00C40278" w:rsidP="003C63A3">
            <w:pPr>
              <w:spacing w:after="0" w:line="240" w:lineRule="auto"/>
              <w:rPr>
                <w:rFonts w:ascii="Times New Roman" w:eastAsia="Times New Roman" w:hAnsi="Times New Roman" w:cs="Times New Roman"/>
                <w:sz w:val="18"/>
                <w:szCs w:val="18"/>
                <w:lang w:eastAsia="pt-BR"/>
              </w:rPr>
            </w:pPr>
            <w:r>
              <w:rPr>
                <w:rFonts w:ascii="Verdana" w:hAnsi="Verdana" w:cstheme="minorHAnsi"/>
              </w:rPr>
              <w:lastRenderedPageBreak/>
              <w:br w:type="page"/>
            </w:r>
          </w:p>
        </w:tc>
        <w:tc>
          <w:tcPr>
            <w:tcW w:w="134" w:type="pct"/>
            <w:tcBorders>
              <w:top w:val="nil"/>
              <w:left w:val="nil"/>
              <w:bottom w:val="nil"/>
              <w:right w:val="nil"/>
            </w:tcBorders>
            <w:shd w:val="clear" w:color="auto" w:fill="auto"/>
            <w:noWrap/>
            <w:vAlign w:val="bottom"/>
            <w:hideMark/>
          </w:tcPr>
          <w:p w14:paraId="6B6F3A73" w14:textId="77777777" w:rsidR="003C63A3" w:rsidRPr="00F7132F" w:rsidRDefault="003C63A3" w:rsidP="003C63A3">
            <w:pPr>
              <w:spacing w:after="0" w:line="240" w:lineRule="auto"/>
              <w:rPr>
                <w:rFonts w:ascii="Times New Roman" w:eastAsia="Times New Roman" w:hAnsi="Times New Roman" w:cs="Times New Roman"/>
                <w:sz w:val="18"/>
                <w:szCs w:val="18"/>
                <w:lang w:eastAsia="pt-BR"/>
              </w:rPr>
            </w:pPr>
          </w:p>
        </w:tc>
        <w:tc>
          <w:tcPr>
            <w:tcW w:w="2139" w:type="pct"/>
            <w:gridSpan w:val="5"/>
            <w:tcBorders>
              <w:top w:val="nil"/>
              <w:left w:val="nil"/>
              <w:bottom w:val="single" w:sz="4" w:space="0" w:color="auto"/>
              <w:right w:val="nil"/>
            </w:tcBorders>
            <w:shd w:val="clear" w:color="auto" w:fill="auto"/>
            <w:noWrap/>
            <w:vAlign w:val="bottom"/>
            <w:hideMark/>
          </w:tcPr>
          <w:p w14:paraId="25223448" w14:textId="77777777" w:rsidR="003C63A3" w:rsidRPr="00F7132F" w:rsidRDefault="003C63A3" w:rsidP="003C63A3">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Consolidado</w:t>
            </w:r>
          </w:p>
        </w:tc>
      </w:tr>
      <w:tr w:rsidR="007622F9" w:rsidRPr="00116729" w14:paraId="5BB5792B" w14:textId="77777777" w:rsidTr="007622F9">
        <w:trPr>
          <w:trHeight w:val="20"/>
        </w:trPr>
        <w:tc>
          <w:tcPr>
            <w:tcW w:w="2665" w:type="pct"/>
            <w:tcBorders>
              <w:top w:val="nil"/>
              <w:left w:val="nil"/>
              <w:bottom w:val="nil"/>
              <w:right w:val="nil"/>
            </w:tcBorders>
            <w:shd w:val="clear" w:color="auto" w:fill="auto"/>
            <w:noWrap/>
            <w:vAlign w:val="center"/>
            <w:hideMark/>
          </w:tcPr>
          <w:p w14:paraId="26433574" w14:textId="77777777" w:rsidR="003C63A3" w:rsidRPr="00F7132F" w:rsidRDefault="003C63A3" w:rsidP="003C63A3">
            <w:pPr>
              <w:spacing w:after="0" w:line="240" w:lineRule="auto"/>
              <w:jc w:val="center"/>
              <w:rPr>
                <w:rFonts w:ascii="Verdana" w:eastAsia="Times New Roman" w:hAnsi="Verdana" w:cs="Calibri"/>
                <w:b/>
                <w:bCs/>
                <w:sz w:val="18"/>
                <w:szCs w:val="18"/>
                <w:lang w:eastAsia="pt-BR"/>
              </w:rPr>
            </w:pPr>
          </w:p>
        </w:tc>
        <w:tc>
          <w:tcPr>
            <w:tcW w:w="134" w:type="pct"/>
            <w:tcBorders>
              <w:top w:val="nil"/>
              <w:left w:val="nil"/>
              <w:bottom w:val="nil"/>
              <w:right w:val="nil"/>
            </w:tcBorders>
            <w:shd w:val="clear" w:color="auto" w:fill="auto"/>
            <w:noWrap/>
            <w:vAlign w:val="center"/>
            <w:hideMark/>
          </w:tcPr>
          <w:p w14:paraId="7B6663F3" w14:textId="77777777" w:rsidR="003C63A3" w:rsidRPr="00F7132F" w:rsidRDefault="003C63A3" w:rsidP="003C63A3">
            <w:pPr>
              <w:spacing w:after="0" w:line="240" w:lineRule="auto"/>
              <w:rPr>
                <w:rFonts w:ascii="Times New Roman" w:eastAsia="Times New Roman" w:hAnsi="Times New Roman" w:cs="Times New Roman"/>
                <w:sz w:val="18"/>
                <w:szCs w:val="18"/>
                <w:lang w:eastAsia="pt-BR"/>
              </w:rPr>
            </w:pPr>
          </w:p>
        </w:tc>
        <w:tc>
          <w:tcPr>
            <w:tcW w:w="815" w:type="pct"/>
            <w:tcBorders>
              <w:top w:val="nil"/>
              <w:left w:val="nil"/>
              <w:bottom w:val="single" w:sz="4" w:space="0" w:color="auto"/>
              <w:right w:val="nil"/>
            </w:tcBorders>
            <w:shd w:val="clear" w:color="auto" w:fill="auto"/>
            <w:noWrap/>
            <w:vAlign w:val="center"/>
            <w:hideMark/>
          </w:tcPr>
          <w:p w14:paraId="2215660D" w14:textId="77777777" w:rsidR="003C63A3" w:rsidRPr="00F7132F" w:rsidRDefault="003C63A3" w:rsidP="003C63A3">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Ativo</w:t>
            </w:r>
          </w:p>
        </w:tc>
        <w:tc>
          <w:tcPr>
            <w:tcW w:w="78" w:type="pct"/>
            <w:tcBorders>
              <w:top w:val="nil"/>
              <w:left w:val="nil"/>
              <w:bottom w:val="nil"/>
              <w:right w:val="nil"/>
            </w:tcBorders>
            <w:shd w:val="clear" w:color="auto" w:fill="auto"/>
            <w:noWrap/>
            <w:vAlign w:val="center"/>
            <w:hideMark/>
          </w:tcPr>
          <w:p w14:paraId="29F8D578" w14:textId="77777777" w:rsidR="003C63A3" w:rsidRPr="00F7132F" w:rsidRDefault="003C63A3" w:rsidP="003C63A3">
            <w:pPr>
              <w:spacing w:after="0" w:line="240" w:lineRule="auto"/>
              <w:jc w:val="center"/>
              <w:rPr>
                <w:rFonts w:ascii="Verdana" w:eastAsia="Times New Roman" w:hAnsi="Verdana" w:cs="Calibri"/>
                <w:b/>
                <w:bCs/>
                <w:sz w:val="18"/>
                <w:szCs w:val="18"/>
                <w:lang w:eastAsia="pt-BR"/>
              </w:rPr>
            </w:pPr>
          </w:p>
        </w:tc>
        <w:tc>
          <w:tcPr>
            <w:tcW w:w="568" w:type="pct"/>
            <w:tcBorders>
              <w:top w:val="nil"/>
              <w:left w:val="nil"/>
              <w:bottom w:val="single" w:sz="4" w:space="0" w:color="auto"/>
              <w:right w:val="nil"/>
            </w:tcBorders>
            <w:shd w:val="clear" w:color="auto" w:fill="auto"/>
            <w:noWrap/>
            <w:vAlign w:val="center"/>
            <w:hideMark/>
          </w:tcPr>
          <w:p w14:paraId="4A2220C7" w14:textId="77777777" w:rsidR="003C63A3" w:rsidRPr="00F7132F" w:rsidRDefault="003C63A3" w:rsidP="003C63A3">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Passivo</w:t>
            </w:r>
          </w:p>
        </w:tc>
        <w:tc>
          <w:tcPr>
            <w:tcW w:w="78" w:type="pct"/>
            <w:tcBorders>
              <w:top w:val="nil"/>
              <w:left w:val="nil"/>
              <w:bottom w:val="nil"/>
              <w:right w:val="nil"/>
            </w:tcBorders>
            <w:shd w:val="clear" w:color="auto" w:fill="auto"/>
            <w:noWrap/>
            <w:vAlign w:val="center"/>
            <w:hideMark/>
          </w:tcPr>
          <w:p w14:paraId="1A505760" w14:textId="77777777" w:rsidR="003C63A3" w:rsidRPr="00F7132F" w:rsidRDefault="003C63A3" w:rsidP="003C63A3">
            <w:pPr>
              <w:spacing w:after="0" w:line="240" w:lineRule="auto"/>
              <w:jc w:val="center"/>
              <w:rPr>
                <w:rFonts w:ascii="Verdana" w:eastAsia="Times New Roman" w:hAnsi="Verdana" w:cs="Calibri"/>
                <w:b/>
                <w:bCs/>
                <w:sz w:val="18"/>
                <w:szCs w:val="18"/>
                <w:lang w:eastAsia="pt-BR"/>
              </w:rPr>
            </w:pPr>
          </w:p>
        </w:tc>
        <w:tc>
          <w:tcPr>
            <w:tcW w:w="661" w:type="pct"/>
            <w:gridSpan w:val="2"/>
            <w:tcBorders>
              <w:top w:val="nil"/>
              <w:left w:val="nil"/>
              <w:bottom w:val="single" w:sz="4" w:space="0" w:color="auto"/>
              <w:right w:val="nil"/>
            </w:tcBorders>
            <w:shd w:val="clear" w:color="auto" w:fill="auto"/>
            <w:noWrap/>
            <w:vAlign w:val="center"/>
            <w:hideMark/>
          </w:tcPr>
          <w:p w14:paraId="1734B2A1" w14:textId="77777777" w:rsidR="003C63A3" w:rsidRPr="00F7132F" w:rsidRDefault="003C63A3" w:rsidP="003C63A3">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Resultado</w:t>
            </w:r>
          </w:p>
        </w:tc>
      </w:tr>
      <w:tr w:rsidR="007622F9" w:rsidRPr="00116729" w14:paraId="5D6941E8" w14:textId="77777777" w:rsidTr="007622F9">
        <w:trPr>
          <w:trHeight w:val="20"/>
        </w:trPr>
        <w:tc>
          <w:tcPr>
            <w:tcW w:w="2665" w:type="pct"/>
            <w:tcBorders>
              <w:top w:val="nil"/>
              <w:left w:val="nil"/>
              <w:bottom w:val="nil"/>
              <w:right w:val="nil"/>
            </w:tcBorders>
            <w:shd w:val="clear" w:color="auto" w:fill="auto"/>
            <w:noWrap/>
            <w:vAlign w:val="center"/>
            <w:hideMark/>
          </w:tcPr>
          <w:p w14:paraId="5BF646AE" w14:textId="77777777" w:rsidR="003C63A3" w:rsidRPr="00F7132F" w:rsidRDefault="003C63A3" w:rsidP="003C63A3">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Aplicação financeira</w:t>
            </w:r>
          </w:p>
        </w:tc>
        <w:tc>
          <w:tcPr>
            <w:tcW w:w="134" w:type="pct"/>
            <w:tcBorders>
              <w:top w:val="nil"/>
              <w:left w:val="nil"/>
              <w:bottom w:val="nil"/>
              <w:right w:val="nil"/>
            </w:tcBorders>
            <w:shd w:val="clear" w:color="auto" w:fill="auto"/>
            <w:noWrap/>
            <w:vAlign w:val="center"/>
            <w:hideMark/>
          </w:tcPr>
          <w:p w14:paraId="120255CF" w14:textId="77777777" w:rsidR="003C63A3" w:rsidRPr="00F7132F" w:rsidRDefault="003C63A3" w:rsidP="003C63A3">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815" w:type="pct"/>
            <w:tcBorders>
              <w:top w:val="nil"/>
              <w:left w:val="nil"/>
              <w:bottom w:val="nil"/>
              <w:right w:val="nil"/>
            </w:tcBorders>
            <w:shd w:val="clear" w:color="auto" w:fill="auto"/>
            <w:noWrap/>
            <w:vAlign w:val="center"/>
            <w:hideMark/>
          </w:tcPr>
          <w:p w14:paraId="7EA29C72" w14:textId="77777777" w:rsidR="003C63A3" w:rsidRPr="00F7132F" w:rsidRDefault="003C63A3" w:rsidP="003C63A3">
            <w:pPr>
              <w:spacing w:after="0" w:line="240" w:lineRule="auto"/>
              <w:jc w:val="center"/>
              <w:rPr>
                <w:rFonts w:ascii="Verdana" w:eastAsia="Times New Roman" w:hAnsi="Verdana" w:cs="Calibri"/>
                <w:sz w:val="18"/>
                <w:szCs w:val="18"/>
                <w:lang w:eastAsia="pt-BR"/>
              </w:rPr>
            </w:pPr>
          </w:p>
        </w:tc>
        <w:tc>
          <w:tcPr>
            <w:tcW w:w="78" w:type="pct"/>
            <w:tcBorders>
              <w:top w:val="nil"/>
              <w:left w:val="nil"/>
              <w:bottom w:val="nil"/>
              <w:right w:val="nil"/>
            </w:tcBorders>
            <w:shd w:val="clear" w:color="auto" w:fill="auto"/>
            <w:noWrap/>
            <w:vAlign w:val="center"/>
            <w:hideMark/>
          </w:tcPr>
          <w:p w14:paraId="3F58AEBC" w14:textId="77777777" w:rsidR="003C63A3" w:rsidRPr="00F7132F" w:rsidRDefault="003C63A3" w:rsidP="003C63A3">
            <w:pPr>
              <w:spacing w:after="0" w:line="240" w:lineRule="auto"/>
              <w:jc w:val="center"/>
              <w:rPr>
                <w:rFonts w:ascii="Verdana" w:eastAsia="Times New Roman" w:hAnsi="Verdana" w:cs="Calibri"/>
                <w:sz w:val="18"/>
                <w:szCs w:val="18"/>
                <w:lang w:eastAsia="pt-BR"/>
              </w:rPr>
            </w:pPr>
          </w:p>
        </w:tc>
        <w:tc>
          <w:tcPr>
            <w:tcW w:w="568" w:type="pct"/>
            <w:tcBorders>
              <w:top w:val="nil"/>
              <w:left w:val="nil"/>
              <w:bottom w:val="nil"/>
              <w:right w:val="nil"/>
            </w:tcBorders>
            <w:shd w:val="clear" w:color="auto" w:fill="auto"/>
            <w:noWrap/>
            <w:vAlign w:val="center"/>
            <w:hideMark/>
          </w:tcPr>
          <w:p w14:paraId="48343CBC" w14:textId="77777777" w:rsidR="003C63A3" w:rsidRPr="00F7132F" w:rsidRDefault="003C63A3" w:rsidP="003C63A3">
            <w:pPr>
              <w:spacing w:after="0" w:line="240" w:lineRule="auto"/>
              <w:jc w:val="center"/>
              <w:rPr>
                <w:rFonts w:ascii="Verdana" w:eastAsia="Times New Roman" w:hAnsi="Verdana" w:cs="Calibri"/>
                <w:sz w:val="18"/>
                <w:szCs w:val="18"/>
                <w:lang w:eastAsia="pt-BR"/>
              </w:rPr>
            </w:pPr>
          </w:p>
        </w:tc>
        <w:tc>
          <w:tcPr>
            <w:tcW w:w="78" w:type="pct"/>
            <w:tcBorders>
              <w:top w:val="nil"/>
              <w:left w:val="nil"/>
              <w:bottom w:val="nil"/>
              <w:right w:val="nil"/>
            </w:tcBorders>
            <w:shd w:val="clear" w:color="auto" w:fill="auto"/>
            <w:noWrap/>
            <w:vAlign w:val="center"/>
            <w:hideMark/>
          </w:tcPr>
          <w:p w14:paraId="170ADB5B" w14:textId="77777777" w:rsidR="003C63A3" w:rsidRPr="00F7132F" w:rsidRDefault="003C63A3" w:rsidP="003C63A3">
            <w:pPr>
              <w:spacing w:after="0" w:line="240" w:lineRule="auto"/>
              <w:jc w:val="center"/>
              <w:rPr>
                <w:rFonts w:ascii="Verdana" w:eastAsia="Times New Roman" w:hAnsi="Verdana" w:cs="Calibri"/>
                <w:sz w:val="18"/>
                <w:szCs w:val="18"/>
                <w:lang w:eastAsia="pt-BR"/>
              </w:rPr>
            </w:pPr>
          </w:p>
        </w:tc>
        <w:tc>
          <w:tcPr>
            <w:tcW w:w="661" w:type="pct"/>
            <w:gridSpan w:val="2"/>
            <w:tcBorders>
              <w:top w:val="nil"/>
              <w:left w:val="nil"/>
              <w:bottom w:val="nil"/>
              <w:right w:val="nil"/>
            </w:tcBorders>
            <w:shd w:val="clear" w:color="auto" w:fill="auto"/>
            <w:noWrap/>
            <w:vAlign w:val="center"/>
            <w:hideMark/>
          </w:tcPr>
          <w:p w14:paraId="168DEA7C" w14:textId="77777777" w:rsidR="003C63A3" w:rsidRPr="00F7132F" w:rsidRDefault="003C63A3" w:rsidP="003C63A3">
            <w:pPr>
              <w:spacing w:after="0" w:line="240" w:lineRule="auto"/>
              <w:jc w:val="center"/>
              <w:rPr>
                <w:rFonts w:ascii="Verdana" w:eastAsia="Times New Roman" w:hAnsi="Verdana" w:cs="Calibri"/>
                <w:sz w:val="18"/>
                <w:szCs w:val="18"/>
                <w:lang w:eastAsia="pt-BR"/>
              </w:rPr>
            </w:pPr>
          </w:p>
        </w:tc>
      </w:tr>
      <w:tr w:rsidR="007622F9" w:rsidRPr="00116729" w14:paraId="34FE77F3" w14:textId="77777777" w:rsidTr="007622F9">
        <w:trPr>
          <w:trHeight w:val="20"/>
        </w:trPr>
        <w:tc>
          <w:tcPr>
            <w:tcW w:w="2665" w:type="pct"/>
            <w:tcBorders>
              <w:top w:val="nil"/>
              <w:left w:val="nil"/>
              <w:bottom w:val="nil"/>
              <w:right w:val="nil"/>
            </w:tcBorders>
            <w:shd w:val="clear" w:color="auto" w:fill="auto"/>
            <w:noWrap/>
            <w:vAlign w:val="center"/>
            <w:hideMark/>
          </w:tcPr>
          <w:p w14:paraId="2A12373A" w14:textId="77777777" w:rsidR="003C63A3" w:rsidRPr="00F7132F" w:rsidRDefault="003C63A3" w:rsidP="003C63A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Poder público Federal - Banco do Brasil</w:t>
            </w:r>
          </w:p>
        </w:tc>
        <w:tc>
          <w:tcPr>
            <w:tcW w:w="134" w:type="pct"/>
            <w:tcBorders>
              <w:top w:val="nil"/>
              <w:left w:val="nil"/>
              <w:bottom w:val="nil"/>
              <w:right w:val="nil"/>
            </w:tcBorders>
            <w:shd w:val="clear" w:color="auto" w:fill="auto"/>
            <w:noWrap/>
            <w:vAlign w:val="center"/>
            <w:hideMark/>
          </w:tcPr>
          <w:p w14:paraId="17DD6CA9" w14:textId="77777777" w:rsidR="003C63A3" w:rsidRPr="00F7132F" w:rsidRDefault="003C63A3" w:rsidP="003C63A3">
            <w:pPr>
              <w:spacing w:after="0" w:line="240" w:lineRule="auto"/>
              <w:rPr>
                <w:rFonts w:ascii="Verdana" w:eastAsia="Times New Roman" w:hAnsi="Verdana" w:cs="Calibri"/>
                <w:sz w:val="18"/>
                <w:szCs w:val="18"/>
                <w:lang w:eastAsia="pt-BR"/>
              </w:rPr>
            </w:pPr>
          </w:p>
        </w:tc>
        <w:tc>
          <w:tcPr>
            <w:tcW w:w="815" w:type="pct"/>
            <w:tcBorders>
              <w:top w:val="nil"/>
              <w:left w:val="nil"/>
              <w:bottom w:val="nil"/>
              <w:right w:val="nil"/>
            </w:tcBorders>
            <w:shd w:val="clear" w:color="auto" w:fill="auto"/>
            <w:noWrap/>
            <w:vAlign w:val="center"/>
            <w:hideMark/>
          </w:tcPr>
          <w:p w14:paraId="249E58E7" w14:textId="77777777" w:rsidR="003C63A3" w:rsidRPr="00F7132F" w:rsidRDefault="003C63A3" w:rsidP="003C63A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5.099.663</w:t>
            </w:r>
          </w:p>
        </w:tc>
        <w:tc>
          <w:tcPr>
            <w:tcW w:w="78" w:type="pct"/>
            <w:tcBorders>
              <w:top w:val="nil"/>
              <w:left w:val="nil"/>
              <w:bottom w:val="nil"/>
              <w:right w:val="nil"/>
            </w:tcBorders>
            <w:shd w:val="clear" w:color="auto" w:fill="auto"/>
            <w:noWrap/>
            <w:vAlign w:val="center"/>
            <w:hideMark/>
          </w:tcPr>
          <w:p w14:paraId="69C550A9" w14:textId="77777777" w:rsidR="003C63A3" w:rsidRPr="00F7132F" w:rsidRDefault="003C63A3" w:rsidP="003C63A3">
            <w:pPr>
              <w:spacing w:after="0" w:line="240" w:lineRule="auto"/>
              <w:jc w:val="right"/>
              <w:rPr>
                <w:rFonts w:ascii="Verdana" w:eastAsia="Times New Roman" w:hAnsi="Verdana" w:cs="Calibri"/>
                <w:sz w:val="18"/>
                <w:szCs w:val="18"/>
                <w:lang w:eastAsia="pt-BR"/>
              </w:rPr>
            </w:pPr>
          </w:p>
        </w:tc>
        <w:tc>
          <w:tcPr>
            <w:tcW w:w="568" w:type="pct"/>
            <w:tcBorders>
              <w:top w:val="nil"/>
              <w:left w:val="nil"/>
              <w:bottom w:val="nil"/>
              <w:right w:val="nil"/>
            </w:tcBorders>
            <w:shd w:val="clear" w:color="auto" w:fill="auto"/>
            <w:noWrap/>
            <w:vAlign w:val="center"/>
            <w:hideMark/>
          </w:tcPr>
          <w:p w14:paraId="51B44CD1" w14:textId="77777777" w:rsidR="003C63A3" w:rsidRPr="00F7132F" w:rsidRDefault="003C63A3" w:rsidP="003C63A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w:t>
            </w:r>
          </w:p>
        </w:tc>
        <w:tc>
          <w:tcPr>
            <w:tcW w:w="78" w:type="pct"/>
            <w:tcBorders>
              <w:top w:val="nil"/>
              <w:left w:val="nil"/>
              <w:bottom w:val="nil"/>
              <w:right w:val="nil"/>
            </w:tcBorders>
            <w:shd w:val="clear" w:color="auto" w:fill="auto"/>
            <w:noWrap/>
            <w:vAlign w:val="center"/>
            <w:hideMark/>
          </w:tcPr>
          <w:p w14:paraId="0CF3DD93" w14:textId="77777777" w:rsidR="003C63A3" w:rsidRPr="00F7132F" w:rsidRDefault="003C63A3" w:rsidP="003C63A3">
            <w:pPr>
              <w:spacing w:after="0" w:line="240" w:lineRule="auto"/>
              <w:jc w:val="right"/>
              <w:rPr>
                <w:rFonts w:ascii="Verdana" w:eastAsia="Times New Roman" w:hAnsi="Verdana" w:cs="Calibri"/>
                <w:sz w:val="18"/>
                <w:szCs w:val="18"/>
                <w:lang w:eastAsia="pt-BR"/>
              </w:rPr>
            </w:pPr>
          </w:p>
        </w:tc>
        <w:tc>
          <w:tcPr>
            <w:tcW w:w="661" w:type="pct"/>
            <w:gridSpan w:val="2"/>
            <w:tcBorders>
              <w:top w:val="nil"/>
              <w:left w:val="nil"/>
              <w:bottom w:val="nil"/>
              <w:right w:val="nil"/>
            </w:tcBorders>
            <w:shd w:val="clear" w:color="auto" w:fill="auto"/>
            <w:noWrap/>
            <w:vAlign w:val="center"/>
            <w:hideMark/>
          </w:tcPr>
          <w:p w14:paraId="0287F63F" w14:textId="77777777" w:rsidR="003C63A3" w:rsidRPr="00F7132F" w:rsidRDefault="003C63A3" w:rsidP="003C63A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32.567</w:t>
            </w:r>
          </w:p>
        </w:tc>
      </w:tr>
      <w:tr w:rsidR="007622F9" w:rsidRPr="00116729" w14:paraId="61AAEA00" w14:textId="77777777" w:rsidTr="007622F9">
        <w:trPr>
          <w:trHeight w:val="20"/>
        </w:trPr>
        <w:tc>
          <w:tcPr>
            <w:tcW w:w="2799" w:type="pct"/>
            <w:gridSpan w:val="2"/>
            <w:tcBorders>
              <w:top w:val="nil"/>
              <w:left w:val="nil"/>
              <w:bottom w:val="nil"/>
              <w:right w:val="nil"/>
            </w:tcBorders>
            <w:shd w:val="clear" w:color="auto" w:fill="auto"/>
            <w:noWrap/>
            <w:vAlign w:val="center"/>
            <w:hideMark/>
          </w:tcPr>
          <w:p w14:paraId="214C6D70" w14:textId="77777777" w:rsidR="003C63A3" w:rsidRPr="00F7132F" w:rsidRDefault="003C63A3" w:rsidP="003C63A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Poder público Federal - Caixa Econômica Federal</w:t>
            </w:r>
          </w:p>
        </w:tc>
        <w:tc>
          <w:tcPr>
            <w:tcW w:w="815" w:type="pct"/>
            <w:tcBorders>
              <w:top w:val="nil"/>
              <w:left w:val="nil"/>
              <w:bottom w:val="nil"/>
              <w:right w:val="nil"/>
            </w:tcBorders>
            <w:shd w:val="clear" w:color="auto" w:fill="auto"/>
            <w:noWrap/>
            <w:vAlign w:val="center"/>
            <w:hideMark/>
          </w:tcPr>
          <w:p w14:paraId="0C0F2919" w14:textId="77777777" w:rsidR="003C63A3" w:rsidRPr="00F7132F" w:rsidRDefault="003C63A3" w:rsidP="003C63A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78" w:type="pct"/>
            <w:tcBorders>
              <w:top w:val="nil"/>
              <w:left w:val="nil"/>
              <w:bottom w:val="nil"/>
              <w:right w:val="nil"/>
            </w:tcBorders>
            <w:shd w:val="clear" w:color="auto" w:fill="auto"/>
            <w:noWrap/>
            <w:vAlign w:val="center"/>
            <w:hideMark/>
          </w:tcPr>
          <w:p w14:paraId="3CA85B88" w14:textId="77777777" w:rsidR="003C63A3" w:rsidRPr="00F7132F" w:rsidRDefault="003C63A3" w:rsidP="003C63A3">
            <w:pPr>
              <w:spacing w:after="0" w:line="240" w:lineRule="auto"/>
              <w:rPr>
                <w:rFonts w:ascii="Verdana" w:eastAsia="Times New Roman" w:hAnsi="Verdana" w:cs="Calibri"/>
                <w:sz w:val="18"/>
                <w:szCs w:val="18"/>
                <w:lang w:eastAsia="pt-BR"/>
              </w:rPr>
            </w:pPr>
          </w:p>
        </w:tc>
        <w:tc>
          <w:tcPr>
            <w:tcW w:w="568" w:type="pct"/>
            <w:tcBorders>
              <w:top w:val="nil"/>
              <w:left w:val="nil"/>
              <w:bottom w:val="nil"/>
              <w:right w:val="nil"/>
            </w:tcBorders>
            <w:shd w:val="clear" w:color="auto" w:fill="auto"/>
            <w:noWrap/>
            <w:vAlign w:val="center"/>
            <w:hideMark/>
          </w:tcPr>
          <w:p w14:paraId="21CC33C5" w14:textId="77777777" w:rsidR="003C63A3" w:rsidRPr="00F7132F" w:rsidRDefault="003C63A3" w:rsidP="003C63A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w:t>
            </w:r>
          </w:p>
        </w:tc>
        <w:tc>
          <w:tcPr>
            <w:tcW w:w="78" w:type="pct"/>
            <w:tcBorders>
              <w:top w:val="nil"/>
              <w:left w:val="nil"/>
              <w:bottom w:val="nil"/>
              <w:right w:val="nil"/>
            </w:tcBorders>
            <w:shd w:val="clear" w:color="auto" w:fill="auto"/>
            <w:noWrap/>
            <w:vAlign w:val="center"/>
            <w:hideMark/>
          </w:tcPr>
          <w:p w14:paraId="31EACB5C" w14:textId="77777777" w:rsidR="003C63A3" w:rsidRPr="00F7132F" w:rsidRDefault="003C63A3" w:rsidP="003C63A3">
            <w:pPr>
              <w:spacing w:after="0" w:line="240" w:lineRule="auto"/>
              <w:rPr>
                <w:rFonts w:ascii="Verdana" w:eastAsia="Times New Roman" w:hAnsi="Verdana" w:cs="Calibri"/>
                <w:sz w:val="18"/>
                <w:szCs w:val="18"/>
                <w:lang w:eastAsia="pt-BR"/>
              </w:rPr>
            </w:pPr>
          </w:p>
        </w:tc>
        <w:tc>
          <w:tcPr>
            <w:tcW w:w="661" w:type="pct"/>
            <w:gridSpan w:val="2"/>
            <w:tcBorders>
              <w:top w:val="nil"/>
              <w:left w:val="nil"/>
              <w:bottom w:val="nil"/>
              <w:right w:val="nil"/>
            </w:tcBorders>
            <w:shd w:val="clear" w:color="auto" w:fill="auto"/>
            <w:noWrap/>
            <w:vAlign w:val="center"/>
            <w:hideMark/>
          </w:tcPr>
          <w:p w14:paraId="17884424" w14:textId="77777777" w:rsidR="003C63A3" w:rsidRPr="00F7132F" w:rsidRDefault="003C63A3" w:rsidP="003C63A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2.027</w:t>
            </w:r>
          </w:p>
        </w:tc>
      </w:tr>
      <w:tr w:rsidR="007622F9" w:rsidRPr="00116729" w14:paraId="446D267E" w14:textId="77777777" w:rsidTr="007622F9">
        <w:trPr>
          <w:trHeight w:val="20"/>
        </w:trPr>
        <w:tc>
          <w:tcPr>
            <w:tcW w:w="2665" w:type="pct"/>
            <w:tcBorders>
              <w:top w:val="nil"/>
              <w:left w:val="nil"/>
              <w:bottom w:val="nil"/>
              <w:right w:val="nil"/>
            </w:tcBorders>
            <w:shd w:val="clear" w:color="auto" w:fill="auto"/>
            <w:noWrap/>
            <w:vAlign w:val="center"/>
            <w:hideMark/>
          </w:tcPr>
          <w:p w14:paraId="74DFE26E" w14:textId="77777777" w:rsidR="003C63A3" w:rsidRPr="00F7132F" w:rsidRDefault="003C63A3" w:rsidP="003C63A3">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Contas a receber</w:t>
            </w:r>
          </w:p>
        </w:tc>
        <w:tc>
          <w:tcPr>
            <w:tcW w:w="134" w:type="pct"/>
            <w:tcBorders>
              <w:top w:val="nil"/>
              <w:left w:val="nil"/>
              <w:bottom w:val="nil"/>
              <w:right w:val="nil"/>
            </w:tcBorders>
            <w:shd w:val="clear" w:color="auto" w:fill="auto"/>
            <w:noWrap/>
            <w:vAlign w:val="center"/>
            <w:hideMark/>
          </w:tcPr>
          <w:p w14:paraId="4BFE8D65" w14:textId="77777777" w:rsidR="003C63A3" w:rsidRPr="00F7132F" w:rsidRDefault="003C63A3" w:rsidP="003C63A3">
            <w:pPr>
              <w:spacing w:after="0" w:line="240" w:lineRule="auto"/>
              <w:rPr>
                <w:rFonts w:ascii="Verdana" w:eastAsia="Times New Roman" w:hAnsi="Verdana" w:cs="Calibri"/>
                <w:b/>
                <w:bCs/>
                <w:sz w:val="18"/>
                <w:szCs w:val="18"/>
                <w:lang w:eastAsia="pt-BR"/>
              </w:rPr>
            </w:pPr>
          </w:p>
        </w:tc>
        <w:tc>
          <w:tcPr>
            <w:tcW w:w="815" w:type="pct"/>
            <w:tcBorders>
              <w:top w:val="nil"/>
              <w:left w:val="nil"/>
              <w:bottom w:val="nil"/>
              <w:right w:val="nil"/>
            </w:tcBorders>
            <w:shd w:val="clear" w:color="auto" w:fill="auto"/>
            <w:noWrap/>
            <w:vAlign w:val="center"/>
            <w:hideMark/>
          </w:tcPr>
          <w:p w14:paraId="7F834A35" w14:textId="77777777" w:rsidR="003C63A3" w:rsidRPr="00F7132F" w:rsidRDefault="003C63A3" w:rsidP="003C63A3">
            <w:pPr>
              <w:spacing w:after="0" w:line="240" w:lineRule="auto"/>
              <w:jc w:val="center"/>
              <w:rPr>
                <w:rFonts w:ascii="Times New Roman" w:eastAsia="Times New Roman" w:hAnsi="Times New Roman" w:cs="Times New Roman"/>
                <w:sz w:val="18"/>
                <w:szCs w:val="18"/>
                <w:lang w:eastAsia="pt-BR"/>
              </w:rPr>
            </w:pPr>
          </w:p>
        </w:tc>
        <w:tc>
          <w:tcPr>
            <w:tcW w:w="78" w:type="pct"/>
            <w:tcBorders>
              <w:top w:val="nil"/>
              <w:left w:val="nil"/>
              <w:bottom w:val="nil"/>
              <w:right w:val="nil"/>
            </w:tcBorders>
            <w:shd w:val="clear" w:color="auto" w:fill="auto"/>
            <w:noWrap/>
            <w:vAlign w:val="center"/>
            <w:hideMark/>
          </w:tcPr>
          <w:p w14:paraId="6AC2D062" w14:textId="77777777" w:rsidR="003C63A3" w:rsidRPr="00F7132F" w:rsidRDefault="003C63A3" w:rsidP="003C63A3">
            <w:pPr>
              <w:spacing w:after="0" w:line="240" w:lineRule="auto"/>
              <w:jc w:val="center"/>
              <w:rPr>
                <w:rFonts w:ascii="Times New Roman" w:eastAsia="Times New Roman" w:hAnsi="Times New Roman" w:cs="Times New Roman"/>
                <w:sz w:val="18"/>
                <w:szCs w:val="18"/>
                <w:lang w:eastAsia="pt-BR"/>
              </w:rPr>
            </w:pPr>
          </w:p>
        </w:tc>
        <w:tc>
          <w:tcPr>
            <w:tcW w:w="568" w:type="pct"/>
            <w:tcBorders>
              <w:top w:val="nil"/>
              <w:left w:val="nil"/>
              <w:bottom w:val="nil"/>
              <w:right w:val="nil"/>
            </w:tcBorders>
            <w:shd w:val="clear" w:color="auto" w:fill="auto"/>
            <w:noWrap/>
            <w:vAlign w:val="center"/>
            <w:hideMark/>
          </w:tcPr>
          <w:p w14:paraId="4EC126A1" w14:textId="77777777" w:rsidR="003C63A3" w:rsidRPr="00F7132F" w:rsidRDefault="003C63A3" w:rsidP="003C63A3">
            <w:pPr>
              <w:spacing w:after="0" w:line="240" w:lineRule="auto"/>
              <w:jc w:val="center"/>
              <w:rPr>
                <w:rFonts w:ascii="Times New Roman" w:eastAsia="Times New Roman" w:hAnsi="Times New Roman" w:cs="Times New Roman"/>
                <w:sz w:val="18"/>
                <w:szCs w:val="18"/>
                <w:lang w:eastAsia="pt-BR"/>
              </w:rPr>
            </w:pPr>
          </w:p>
        </w:tc>
        <w:tc>
          <w:tcPr>
            <w:tcW w:w="78" w:type="pct"/>
            <w:tcBorders>
              <w:top w:val="nil"/>
              <w:left w:val="nil"/>
              <w:bottom w:val="nil"/>
              <w:right w:val="nil"/>
            </w:tcBorders>
            <w:shd w:val="clear" w:color="auto" w:fill="auto"/>
            <w:noWrap/>
            <w:vAlign w:val="center"/>
            <w:hideMark/>
          </w:tcPr>
          <w:p w14:paraId="62F3BEF6" w14:textId="77777777" w:rsidR="003C63A3" w:rsidRPr="00F7132F" w:rsidRDefault="003C63A3" w:rsidP="003C63A3">
            <w:pPr>
              <w:spacing w:after="0" w:line="240" w:lineRule="auto"/>
              <w:jc w:val="center"/>
              <w:rPr>
                <w:rFonts w:ascii="Times New Roman" w:eastAsia="Times New Roman" w:hAnsi="Times New Roman" w:cs="Times New Roman"/>
                <w:sz w:val="18"/>
                <w:szCs w:val="18"/>
                <w:lang w:eastAsia="pt-BR"/>
              </w:rPr>
            </w:pPr>
          </w:p>
        </w:tc>
        <w:tc>
          <w:tcPr>
            <w:tcW w:w="661" w:type="pct"/>
            <w:gridSpan w:val="2"/>
            <w:tcBorders>
              <w:top w:val="nil"/>
              <w:left w:val="nil"/>
              <w:bottom w:val="nil"/>
              <w:right w:val="nil"/>
            </w:tcBorders>
            <w:shd w:val="clear" w:color="auto" w:fill="auto"/>
            <w:noWrap/>
            <w:vAlign w:val="center"/>
            <w:hideMark/>
          </w:tcPr>
          <w:p w14:paraId="3BF1C05B" w14:textId="77777777" w:rsidR="003C63A3" w:rsidRPr="00F7132F" w:rsidRDefault="003C63A3" w:rsidP="003C63A3">
            <w:pPr>
              <w:spacing w:after="0" w:line="240" w:lineRule="auto"/>
              <w:jc w:val="center"/>
              <w:rPr>
                <w:rFonts w:ascii="Times New Roman" w:eastAsia="Times New Roman" w:hAnsi="Times New Roman" w:cs="Times New Roman"/>
                <w:sz w:val="18"/>
                <w:szCs w:val="18"/>
                <w:lang w:eastAsia="pt-BR"/>
              </w:rPr>
            </w:pPr>
          </w:p>
        </w:tc>
      </w:tr>
      <w:tr w:rsidR="007622F9" w:rsidRPr="00116729" w14:paraId="4A622E44" w14:textId="77777777" w:rsidTr="007622F9">
        <w:trPr>
          <w:trHeight w:val="20"/>
        </w:trPr>
        <w:tc>
          <w:tcPr>
            <w:tcW w:w="2799" w:type="pct"/>
            <w:gridSpan w:val="2"/>
            <w:tcBorders>
              <w:top w:val="nil"/>
              <w:left w:val="nil"/>
              <w:bottom w:val="nil"/>
              <w:right w:val="nil"/>
            </w:tcBorders>
            <w:shd w:val="clear" w:color="auto" w:fill="auto"/>
            <w:noWrap/>
            <w:vAlign w:val="center"/>
            <w:hideMark/>
          </w:tcPr>
          <w:p w14:paraId="2A6A9BE6" w14:textId="335A1212" w:rsidR="003C63A3" w:rsidRPr="00F7132F" w:rsidRDefault="003C63A3" w:rsidP="003C63A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Ressarcimento de encargos e Rendimento de capital</w:t>
            </w:r>
            <w:r w:rsidR="00C03689">
              <w:rPr>
                <w:rFonts w:ascii="Verdana" w:eastAsia="Times New Roman" w:hAnsi="Verdana" w:cs="Calibri"/>
                <w:sz w:val="18"/>
                <w:szCs w:val="18"/>
                <w:lang w:eastAsia="pt-BR"/>
              </w:rPr>
              <w:t xml:space="preserve"> - Itaipu</w:t>
            </w:r>
          </w:p>
        </w:tc>
        <w:tc>
          <w:tcPr>
            <w:tcW w:w="815" w:type="pct"/>
            <w:tcBorders>
              <w:top w:val="nil"/>
              <w:left w:val="nil"/>
              <w:bottom w:val="nil"/>
              <w:right w:val="nil"/>
            </w:tcBorders>
            <w:shd w:val="clear" w:color="auto" w:fill="auto"/>
            <w:noWrap/>
            <w:vAlign w:val="center"/>
            <w:hideMark/>
          </w:tcPr>
          <w:p w14:paraId="56EB7E27" w14:textId="77777777" w:rsidR="003C63A3" w:rsidRPr="00F7132F" w:rsidRDefault="003C63A3" w:rsidP="003C63A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2.373 </w:t>
            </w:r>
          </w:p>
        </w:tc>
        <w:tc>
          <w:tcPr>
            <w:tcW w:w="78" w:type="pct"/>
            <w:tcBorders>
              <w:top w:val="nil"/>
              <w:left w:val="nil"/>
              <w:bottom w:val="nil"/>
              <w:right w:val="nil"/>
            </w:tcBorders>
            <w:shd w:val="clear" w:color="auto" w:fill="auto"/>
            <w:noWrap/>
            <w:vAlign w:val="center"/>
            <w:hideMark/>
          </w:tcPr>
          <w:p w14:paraId="23536F78" w14:textId="77777777" w:rsidR="003C63A3" w:rsidRPr="00F7132F" w:rsidRDefault="003C63A3" w:rsidP="003C63A3">
            <w:pPr>
              <w:spacing w:after="0" w:line="240" w:lineRule="auto"/>
              <w:rPr>
                <w:rFonts w:ascii="Verdana" w:eastAsia="Times New Roman" w:hAnsi="Verdana" w:cs="Calibri"/>
                <w:sz w:val="18"/>
                <w:szCs w:val="18"/>
                <w:lang w:eastAsia="pt-BR"/>
              </w:rPr>
            </w:pPr>
          </w:p>
        </w:tc>
        <w:tc>
          <w:tcPr>
            <w:tcW w:w="568" w:type="pct"/>
            <w:tcBorders>
              <w:top w:val="nil"/>
              <w:left w:val="nil"/>
              <w:bottom w:val="nil"/>
              <w:right w:val="nil"/>
            </w:tcBorders>
            <w:shd w:val="clear" w:color="auto" w:fill="auto"/>
            <w:noWrap/>
            <w:vAlign w:val="center"/>
            <w:hideMark/>
          </w:tcPr>
          <w:p w14:paraId="52E80524" w14:textId="77777777" w:rsidR="003C63A3" w:rsidRPr="00F7132F" w:rsidRDefault="003C63A3" w:rsidP="003C63A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w:t>
            </w:r>
          </w:p>
        </w:tc>
        <w:tc>
          <w:tcPr>
            <w:tcW w:w="78" w:type="pct"/>
            <w:tcBorders>
              <w:top w:val="nil"/>
              <w:left w:val="nil"/>
              <w:bottom w:val="nil"/>
              <w:right w:val="nil"/>
            </w:tcBorders>
            <w:shd w:val="clear" w:color="auto" w:fill="auto"/>
            <w:noWrap/>
            <w:vAlign w:val="center"/>
            <w:hideMark/>
          </w:tcPr>
          <w:p w14:paraId="2A1A18E9" w14:textId="77777777" w:rsidR="003C63A3" w:rsidRPr="00F7132F" w:rsidRDefault="003C63A3" w:rsidP="003C63A3">
            <w:pPr>
              <w:spacing w:after="0" w:line="240" w:lineRule="auto"/>
              <w:rPr>
                <w:rFonts w:ascii="Verdana" w:eastAsia="Times New Roman" w:hAnsi="Verdana" w:cs="Calibri"/>
                <w:sz w:val="18"/>
                <w:szCs w:val="18"/>
                <w:lang w:eastAsia="pt-BR"/>
              </w:rPr>
            </w:pPr>
          </w:p>
        </w:tc>
        <w:tc>
          <w:tcPr>
            <w:tcW w:w="661" w:type="pct"/>
            <w:gridSpan w:val="2"/>
            <w:tcBorders>
              <w:top w:val="nil"/>
              <w:left w:val="nil"/>
              <w:bottom w:val="nil"/>
              <w:right w:val="nil"/>
            </w:tcBorders>
            <w:shd w:val="clear" w:color="auto" w:fill="auto"/>
            <w:noWrap/>
            <w:vAlign w:val="center"/>
            <w:hideMark/>
          </w:tcPr>
          <w:p w14:paraId="463A6C86" w14:textId="77777777" w:rsidR="003C63A3" w:rsidRPr="00F7132F" w:rsidRDefault="003C63A3" w:rsidP="003C63A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2.373</w:t>
            </w:r>
          </w:p>
        </w:tc>
      </w:tr>
      <w:tr w:rsidR="007622F9" w:rsidRPr="00116729" w14:paraId="2F099BF6" w14:textId="77777777" w:rsidTr="007622F9">
        <w:trPr>
          <w:trHeight w:val="20"/>
        </w:trPr>
        <w:tc>
          <w:tcPr>
            <w:tcW w:w="2665" w:type="pct"/>
            <w:tcBorders>
              <w:top w:val="nil"/>
              <w:left w:val="nil"/>
              <w:bottom w:val="nil"/>
              <w:right w:val="nil"/>
            </w:tcBorders>
            <w:shd w:val="clear" w:color="auto" w:fill="auto"/>
            <w:noWrap/>
            <w:vAlign w:val="center"/>
            <w:hideMark/>
          </w:tcPr>
          <w:p w14:paraId="3395BB86" w14:textId="77777777" w:rsidR="003C63A3" w:rsidRPr="00F7132F" w:rsidRDefault="003C63A3" w:rsidP="003C63A3">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Fornecedores</w:t>
            </w:r>
          </w:p>
        </w:tc>
        <w:tc>
          <w:tcPr>
            <w:tcW w:w="134" w:type="pct"/>
            <w:tcBorders>
              <w:top w:val="nil"/>
              <w:left w:val="nil"/>
              <w:bottom w:val="nil"/>
              <w:right w:val="nil"/>
            </w:tcBorders>
            <w:shd w:val="clear" w:color="auto" w:fill="auto"/>
            <w:noWrap/>
            <w:vAlign w:val="center"/>
            <w:hideMark/>
          </w:tcPr>
          <w:p w14:paraId="1247CED6" w14:textId="77777777" w:rsidR="003C63A3" w:rsidRPr="00F7132F" w:rsidRDefault="003C63A3" w:rsidP="003C63A3">
            <w:pPr>
              <w:spacing w:after="0" w:line="240" w:lineRule="auto"/>
              <w:rPr>
                <w:rFonts w:ascii="Verdana" w:eastAsia="Times New Roman" w:hAnsi="Verdana" w:cs="Calibri"/>
                <w:b/>
                <w:bCs/>
                <w:sz w:val="18"/>
                <w:szCs w:val="18"/>
                <w:lang w:eastAsia="pt-BR"/>
              </w:rPr>
            </w:pPr>
          </w:p>
        </w:tc>
        <w:tc>
          <w:tcPr>
            <w:tcW w:w="815" w:type="pct"/>
            <w:tcBorders>
              <w:top w:val="nil"/>
              <w:left w:val="nil"/>
              <w:bottom w:val="nil"/>
              <w:right w:val="nil"/>
            </w:tcBorders>
            <w:shd w:val="clear" w:color="auto" w:fill="auto"/>
            <w:noWrap/>
            <w:vAlign w:val="center"/>
            <w:hideMark/>
          </w:tcPr>
          <w:p w14:paraId="67D6A256" w14:textId="77777777" w:rsidR="003C63A3" w:rsidRPr="00F7132F" w:rsidRDefault="003C63A3" w:rsidP="003C63A3">
            <w:pPr>
              <w:spacing w:after="0" w:line="240" w:lineRule="auto"/>
              <w:rPr>
                <w:rFonts w:ascii="Times New Roman" w:eastAsia="Times New Roman" w:hAnsi="Times New Roman" w:cs="Times New Roman"/>
                <w:sz w:val="18"/>
                <w:szCs w:val="18"/>
                <w:lang w:eastAsia="pt-BR"/>
              </w:rPr>
            </w:pPr>
          </w:p>
        </w:tc>
        <w:tc>
          <w:tcPr>
            <w:tcW w:w="78" w:type="pct"/>
            <w:tcBorders>
              <w:top w:val="nil"/>
              <w:left w:val="nil"/>
              <w:bottom w:val="nil"/>
              <w:right w:val="nil"/>
            </w:tcBorders>
            <w:shd w:val="clear" w:color="auto" w:fill="auto"/>
            <w:noWrap/>
            <w:vAlign w:val="center"/>
            <w:hideMark/>
          </w:tcPr>
          <w:p w14:paraId="301E98BB" w14:textId="77777777" w:rsidR="003C63A3" w:rsidRPr="00F7132F" w:rsidRDefault="003C63A3" w:rsidP="003C63A3">
            <w:pPr>
              <w:spacing w:after="0" w:line="240" w:lineRule="auto"/>
              <w:jc w:val="right"/>
              <w:rPr>
                <w:rFonts w:ascii="Times New Roman" w:eastAsia="Times New Roman" w:hAnsi="Times New Roman" w:cs="Times New Roman"/>
                <w:sz w:val="18"/>
                <w:szCs w:val="18"/>
                <w:lang w:eastAsia="pt-BR"/>
              </w:rPr>
            </w:pPr>
          </w:p>
        </w:tc>
        <w:tc>
          <w:tcPr>
            <w:tcW w:w="568" w:type="pct"/>
            <w:tcBorders>
              <w:top w:val="nil"/>
              <w:left w:val="nil"/>
              <w:bottom w:val="nil"/>
              <w:right w:val="nil"/>
            </w:tcBorders>
            <w:shd w:val="clear" w:color="auto" w:fill="auto"/>
            <w:noWrap/>
            <w:vAlign w:val="center"/>
            <w:hideMark/>
          </w:tcPr>
          <w:p w14:paraId="20D60F75" w14:textId="77777777" w:rsidR="003C63A3" w:rsidRPr="00F7132F" w:rsidRDefault="003C63A3" w:rsidP="003C63A3">
            <w:pPr>
              <w:spacing w:after="0" w:line="240" w:lineRule="auto"/>
              <w:rPr>
                <w:rFonts w:ascii="Times New Roman" w:eastAsia="Times New Roman" w:hAnsi="Times New Roman" w:cs="Times New Roman"/>
                <w:sz w:val="18"/>
                <w:szCs w:val="18"/>
                <w:lang w:eastAsia="pt-BR"/>
              </w:rPr>
            </w:pPr>
          </w:p>
        </w:tc>
        <w:tc>
          <w:tcPr>
            <w:tcW w:w="78" w:type="pct"/>
            <w:tcBorders>
              <w:top w:val="nil"/>
              <w:left w:val="nil"/>
              <w:bottom w:val="nil"/>
              <w:right w:val="nil"/>
            </w:tcBorders>
            <w:shd w:val="clear" w:color="auto" w:fill="auto"/>
            <w:noWrap/>
            <w:vAlign w:val="center"/>
            <w:hideMark/>
          </w:tcPr>
          <w:p w14:paraId="4F1BC6F5" w14:textId="77777777" w:rsidR="003C63A3" w:rsidRPr="00F7132F" w:rsidRDefault="003C63A3" w:rsidP="003C63A3">
            <w:pPr>
              <w:spacing w:after="0" w:line="240" w:lineRule="auto"/>
              <w:jc w:val="right"/>
              <w:rPr>
                <w:rFonts w:ascii="Times New Roman" w:eastAsia="Times New Roman" w:hAnsi="Times New Roman" w:cs="Times New Roman"/>
                <w:sz w:val="18"/>
                <w:szCs w:val="18"/>
                <w:lang w:eastAsia="pt-BR"/>
              </w:rPr>
            </w:pPr>
          </w:p>
        </w:tc>
        <w:tc>
          <w:tcPr>
            <w:tcW w:w="661" w:type="pct"/>
            <w:gridSpan w:val="2"/>
            <w:tcBorders>
              <w:top w:val="nil"/>
              <w:left w:val="nil"/>
              <w:bottom w:val="nil"/>
              <w:right w:val="nil"/>
            </w:tcBorders>
            <w:shd w:val="clear" w:color="auto" w:fill="auto"/>
            <w:noWrap/>
            <w:vAlign w:val="center"/>
            <w:hideMark/>
          </w:tcPr>
          <w:p w14:paraId="77AC7B78" w14:textId="77777777" w:rsidR="003C63A3" w:rsidRPr="00F7132F" w:rsidRDefault="003C63A3" w:rsidP="003C63A3">
            <w:pPr>
              <w:spacing w:after="0" w:line="240" w:lineRule="auto"/>
              <w:rPr>
                <w:rFonts w:ascii="Times New Roman" w:eastAsia="Times New Roman" w:hAnsi="Times New Roman" w:cs="Times New Roman"/>
                <w:sz w:val="18"/>
                <w:szCs w:val="18"/>
                <w:lang w:eastAsia="pt-BR"/>
              </w:rPr>
            </w:pPr>
          </w:p>
        </w:tc>
      </w:tr>
      <w:tr w:rsidR="007622F9" w:rsidRPr="00116729" w14:paraId="335D3FAD" w14:textId="77777777" w:rsidTr="007622F9">
        <w:trPr>
          <w:trHeight w:val="20"/>
        </w:trPr>
        <w:tc>
          <w:tcPr>
            <w:tcW w:w="2665" w:type="pct"/>
            <w:tcBorders>
              <w:top w:val="nil"/>
              <w:left w:val="nil"/>
              <w:bottom w:val="nil"/>
              <w:right w:val="nil"/>
            </w:tcBorders>
            <w:shd w:val="clear" w:color="auto" w:fill="auto"/>
            <w:noWrap/>
            <w:vAlign w:val="center"/>
            <w:hideMark/>
          </w:tcPr>
          <w:p w14:paraId="1EB0FF77" w14:textId="77777777" w:rsidR="003C63A3" w:rsidRPr="00F7132F" w:rsidRDefault="003C63A3" w:rsidP="003C63A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Fatura processada Itaipu</w:t>
            </w:r>
          </w:p>
        </w:tc>
        <w:tc>
          <w:tcPr>
            <w:tcW w:w="134" w:type="pct"/>
            <w:tcBorders>
              <w:top w:val="nil"/>
              <w:left w:val="nil"/>
              <w:bottom w:val="nil"/>
              <w:right w:val="nil"/>
            </w:tcBorders>
            <w:shd w:val="clear" w:color="auto" w:fill="auto"/>
            <w:noWrap/>
            <w:vAlign w:val="center"/>
            <w:hideMark/>
          </w:tcPr>
          <w:p w14:paraId="07453C92" w14:textId="77777777" w:rsidR="003C63A3" w:rsidRPr="00F7132F" w:rsidRDefault="003C63A3" w:rsidP="003C63A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815" w:type="pct"/>
            <w:tcBorders>
              <w:top w:val="nil"/>
              <w:left w:val="nil"/>
              <w:bottom w:val="nil"/>
              <w:right w:val="nil"/>
            </w:tcBorders>
            <w:shd w:val="clear" w:color="auto" w:fill="auto"/>
            <w:noWrap/>
            <w:vAlign w:val="center"/>
            <w:hideMark/>
          </w:tcPr>
          <w:p w14:paraId="06315355" w14:textId="77777777" w:rsidR="003C63A3" w:rsidRPr="00F7132F" w:rsidRDefault="003C63A3" w:rsidP="003C63A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w:t>
            </w:r>
          </w:p>
        </w:tc>
        <w:tc>
          <w:tcPr>
            <w:tcW w:w="78" w:type="pct"/>
            <w:tcBorders>
              <w:top w:val="nil"/>
              <w:left w:val="nil"/>
              <w:bottom w:val="nil"/>
              <w:right w:val="nil"/>
            </w:tcBorders>
            <w:shd w:val="clear" w:color="auto" w:fill="auto"/>
            <w:noWrap/>
            <w:vAlign w:val="center"/>
            <w:hideMark/>
          </w:tcPr>
          <w:p w14:paraId="2D569063" w14:textId="77777777" w:rsidR="003C63A3" w:rsidRPr="00F7132F" w:rsidRDefault="003C63A3" w:rsidP="003C63A3">
            <w:pPr>
              <w:spacing w:after="0" w:line="240" w:lineRule="auto"/>
              <w:rPr>
                <w:rFonts w:ascii="Verdana" w:eastAsia="Times New Roman" w:hAnsi="Verdana" w:cs="Calibri"/>
                <w:sz w:val="18"/>
                <w:szCs w:val="18"/>
                <w:lang w:eastAsia="pt-BR"/>
              </w:rPr>
            </w:pPr>
          </w:p>
        </w:tc>
        <w:tc>
          <w:tcPr>
            <w:tcW w:w="568" w:type="pct"/>
            <w:tcBorders>
              <w:top w:val="nil"/>
              <w:left w:val="nil"/>
              <w:bottom w:val="nil"/>
              <w:right w:val="nil"/>
            </w:tcBorders>
            <w:shd w:val="clear" w:color="auto" w:fill="auto"/>
            <w:noWrap/>
            <w:vAlign w:val="center"/>
            <w:hideMark/>
          </w:tcPr>
          <w:p w14:paraId="6CEDFBC1" w14:textId="77777777" w:rsidR="003C63A3" w:rsidRPr="00F7132F" w:rsidRDefault="003C63A3" w:rsidP="003C63A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1.135.293</w:t>
            </w:r>
          </w:p>
        </w:tc>
        <w:tc>
          <w:tcPr>
            <w:tcW w:w="78" w:type="pct"/>
            <w:tcBorders>
              <w:top w:val="nil"/>
              <w:left w:val="nil"/>
              <w:bottom w:val="nil"/>
              <w:right w:val="nil"/>
            </w:tcBorders>
            <w:shd w:val="clear" w:color="auto" w:fill="auto"/>
            <w:noWrap/>
            <w:vAlign w:val="center"/>
            <w:hideMark/>
          </w:tcPr>
          <w:p w14:paraId="00E01A7F" w14:textId="77777777" w:rsidR="003C63A3" w:rsidRPr="00F7132F" w:rsidRDefault="003C63A3" w:rsidP="003C63A3">
            <w:pPr>
              <w:spacing w:after="0" w:line="240" w:lineRule="auto"/>
              <w:rPr>
                <w:rFonts w:ascii="Verdana" w:eastAsia="Times New Roman" w:hAnsi="Verdana" w:cs="Calibri"/>
                <w:sz w:val="18"/>
                <w:szCs w:val="18"/>
                <w:lang w:eastAsia="pt-BR"/>
              </w:rPr>
            </w:pPr>
          </w:p>
        </w:tc>
        <w:tc>
          <w:tcPr>
            <w:tcW w:w="661" w:type="pct"/>
            <w:gridSpan w:val="2"/>
            <w:tcBorders>
              <w:top w:val="nil"/>
              <w:left w:val="nil"/>
              <w:bottom w:val="nil"/>
              <w:right w:val="nil"/>
            </w:tcBorders>
            <w:shd w:val="clear" w:color="auto" w:fill="auto"/>
            <w:noWrap/>
            <w:vAlign w:val="center"/>
            <w:hideMark/>
          </w:tcPr>
          <w:p w14:paraId="30652585" w14:textId="77777777" w:rsidR="003C63A3" w:rsidRPr="00F7132F" w:rsidRDefault="003C63A3" w:rsidP="003C63A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(1.135.293)</w:t>
            </w:r>
          </w:p>
        </w:tc>
      </w:tr>
      <w:tr w:rsidR="007622F9" w:rsidRPr="00116729" w14:paraId="27962A73" w14:textId="77777777" w:rsidTr="007622F9">
        <w:trPr>
          <w:trHeight w:val="20"/>
        </w:trPr>
        <w:tc>
          <w:tcPr>
            <w:tcW w:w="2665" w:type="pct"/>
            <w:tcBorders>
              <w:top w:val="nil"/>
              <w:left w:val="nil"/>
              <w:bottom w:val="nil"/>
              <w:right w:val="nil"/>
            </w:tcBorders>
            <w:shd w:val="clear" w:color="auto" w:fill="auto"/>
            <w:noWrap/>
            <w:vAlign w:val="center"/>
            <w:hideMark/>
          </w:tcPr>
          <w:p w14:paraId="1B60A575" w14:textId="77777777" w:rsidR="003C63A3" w:rsidRPr="00F7132F" w:rsidRDefault="003C63A3" w:rsidP="003C63A3">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Empréstimos e financiamentos</w:t>
            </w:r>
          </w:p>
        </w:tc>
        <w:tc>
          <w:tcPr>
            <w:tcW w:w="134" w:type="pct"/>
            <w:tcBorders>
              <w:top w:val="nil"/>
              <w:left w:val="nil"/>
              <w:bottom w:val="nil"/>
              <w:right w:val="nil"/>
            </w:tcBorders>
            <w:shd w:val="clear" w:color="auto" w:fill="auto"/>
            <w:noWrap/>
            <w:vAlign w:val="center"/>
            <w:hideMark/>
          </w:tcPr>
          <w:p w14:paraId="65B82DEA" w14:textId="77777777" w:rsidR="003C63A3" w:rsidRPr="00F7132F" w:rsidRDefault="003C63A3" w:rsidP="003C63A3">
            <w:pPr>
              <w:spacing w:after="0" w:line="240" w:lineRule="auto"/>
              <w:rPr>
                <w:rFonts w:ascii="Verdana" w:eastAsia="Times New Roman" w:hAnsi="Verdana" w:cs="Calibri"/>
                <w:b/>
                <w:bCs/>
                <w:sz w:val="18"/>
                <w:szCs w:val="18"/>
                <w:lang w:eastAsia="pt-BR"/>
              </w:rPr>
            </w:pPr>
          </w:p>
        </w:tc>
        <w:tc>
          <w:tcPr>
            <w:tcW w:w="815" w:type="pct"/>
            <w:tcBorders>
              <w:top w:val="nil"/>
              <w:left w:val="nil"/>
              <w:bottom w:val="nil"/>
              <w:right w:val="nil"/>
            </w:tcBorders>
            <w:shd w:val="clear" w:color="auto" w:fill="auto"/>
            <w:noWrap/>
            <w:vAlign w:val="center"/>
            <w:hideMark/>
          </w:tcPr>
          <w:p w14:paraId="65C6593D" w14:textId="77777777" w:rsidR="003C63A3" w:rsidRPr="00F7132F" w:rsidRDefault="003C63A3" w:rsidP="003C63A3">
            <w:pPr>
              <w:spacing w:after="0" w:line="240" w:lineRule="auto"/>
              <w:rPr>
                <w:rFonts w:ascii="Times New Roman" w:eastAsia="Times New Roman" w:hAnsi="Times New Roman" w:cs="Times New Roman"/>
                <w:sz w:val="18"/>
                <w:szCs w:val="18"/>
                <w:lang w:eastAsia="pt-BR"/>
              </w:rPr>
            </w:pPr>
          </w:p>
        </w:tc>
        <w:tc>
          <w:tcPr>
            <w:tcW w:w="78" w:type="pct"/>
            <w:tcBorders>
              <w:top w:val="nil"/>
              <w:left w:val="nil"/>
              <w:bottom w:val="nil"/>
              <w:right w:val="nil"/>
            </w:tcBorders>
            <w:shd w:val="clear" w:color="auto" w:fill="auto"/>
            <w:noWrap/>
            <w:vAlign w:val="center"/>
            <w:hideMark/>
          </w:tcPr>
          <w:p w14:paraId="055A589F" w14:textId="77777777" w:rsidR="003C63A3" w:rsidRPr="00F7132F" w:rsidRDefault="003C63A3" w:rsidP="003C63A3">
            <w:pPr>
              <w:spacing w:after="0" w:line="240" w:lineRule="auto"/>
              <w:jc w:val="right"/>
              <w:rPr>
                <w:rFonts w:ascii="Times New Roman" w:eastAsia="Times New Roman" w:hAnsi="Times New Roman" w:cs="Times New Roman"/>
                <w:sz w:val="18"/>
                <w:szCs w:val="18"/>
                <w:lang w:eastAsia="pt-BR"/>
              </w:rPr>
            </w:pPr>
          </w:p>
        </w:tc>
        <w:tc>
          <w:tcPr>
            <w:tcW w:w="568" w:type="pct"/>
            <w:tcBorders>
              <w:top w:val="nil"/>
              <w:left w:val="nil"/>
              <w:bottom w:val="nil"/>
              <w:right w:val="nil"/>
            </w:tcBorders>
            <w:shd w:val="clear" w:color="auto" w:fill="auto"/>
            <w:noWrap/>
            <w:vAlign w:val="center"/>
            <w:hideMark/>
          </w:tcPr>
          <w:p w14:paraId="76068EF8" w14:textId="77777777" w:rsidR="003C63A3" w:rsidRPr="00F7132F" w:rsidRDefault="003C63A3" w:rsidP="003C63A3">
            <w:pPr>
              <w:spacing w:after="0" w:line="240" w:lineRule="auto"/>
              <w:rPr>
                <w:rFonts w:ascii="Times New Roman" w:eastAsia="Times New Roman" w:hAnsi="Times New Roman" w:cs="Times New Roman"/>
                <w:sz w:val="18"/>
                <w:szCs w:val="18"/>
                <w:lang w:eastAsia="pt-BR"/>
              </w:rPr>
            </w:pPr>
          </w:p>
        </w:tc>
        <w:tc>
          <w:tcPr>
            <w:tcW w:w="78" w:type="pct"/>
            <w:tcBorders>
              <w:top w:val="nil"/>
              <w:left w:val="nil"/>
              <w:bottom w:val="nil"/>
              <w:right w:val="nil"/>
            </w:tcBorders>
            <w:shd w:val="clear" w:color="auto" w:fill="auto"/>
            <w:noWrap/>
            <w:vAlign w:val="center"/>
            <w:hideMark/>
          </w:tcPr>
          <w:p w14:paraId="74A7BDAC" w14:textId="77777777" w:rsidR="003C63A3" w:rsidRPr="00F7132F" w:rsidRDefault="003C63A3" w:rsidP="003C63A3">
            <w:pPr>
              <w:spacing w:after="0" w:line="240" w:lineRule="auto"/>
              <w:jc w:val="right"/>
              <w:rPr>
                <w:rFonts w:ascii="Times New Roman" w:eastAsia="Times New Roman" w:hAnsi="Times New Roman" w:cs="Times New Roman"/>
                <w:sz w:val="18"/>
                <w:szCs w:val="18"/>
                <w:lang w:eastAsia="pt-BR"/>
              </w:rPr>
            </w:pPr>
          </w:p>
        </w:tc>
        <w:tc>
          <w:tcPr>
            <w:tcW w:w="661" w:type="pct"/>
            <w:gridSpan w:val="2"/>
            <w:tcBorders>
              <w:top w:val="nil"/>
              <w:left w:val="nil"/>
              <w:bottom w:val="nil"/>
              <w:right w:val="nil"/>
            </w:tcBorders>
            <w:shd w:val="clear" w:color="auto" w:fill="auto"/>
            <w:noWrap/>
            <w:vAlign w:val="center"/>
            <w:hideMark/>
          </w:tcPr>
          <w:p w14:paraId="622459CE" w14:textId="77777777" w:rsidR="003C63A3" w:rsidRPr="00F7132F" w:rsidRDefault="003C63A3" w:rsidP="003C63A3">
            <w:pPr>
              <w:spacing w:after="0" w:line="240" w:lineRule="auto"/>
              <w:rPr>
                <w:rFonts w:ascii="Times New Roman" w:eastAsia="Times New Roman" w:hAnsi="Times New Roman" w:cs="Times New Roman"/>
                <w:sz w:val="18"/>
                <w:szCs w:val="18"/>
                <w:lang w:eastAsia="pt-BR"/>
              </w:rPr>
            </w:pPr>
          </w:p>
        </w:tc>
      </w:tr>
      <w:tr w:rsidR="007622F9" w:rsidRPr="00116729" w14:paraId="2E710898" w14:textId="77777777" w:rsidTr="007622F9">
        <w:trPr>
          <w:trHeight w:val="20"/>
        </w:trPr>
        <w:tc>
          <w:tcPr>
            <w:tcW w:w="2665" w:type="pct"/>
            <w:tcBorders>
              <w:top w:val="nil"/>
              <w:left w:val="nil"/>
              <w:bottom w:val="nil"/>
              <w:right w:val="nil"/>
            </w:tcBorders>
            <w:shd w:val="clear" w:color="auto" w:fill="auto"/>
            <w:noWrap/>
            <w:vAlign w:val="center"/>
            <w:hideMark/>
          </w:tcPr>
          <w:p w14:paraId="46E745DC" w14:textId="77777777" w:rsidR="003C63A3" w:rsidRPr="00F7132F" w:rsidRDefault="003C63A3" w:rsidP="003C63A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Poder público Federal - BNDES</w:t>
            </w:r>
          </w:p>
        </w:tc>
        <w:tc>
          <w:tcPr>
            <w:tcW w:w="134" w:type="pct"/>
            <w:tcBorders>
              <w:top w:val="nil"/>
              <w:left w:val="nil"/>
              <w:bottom w:val="nil"/>
              <w:right w:val="nil"/>
            </w:tcBorders>
            <w:shd w:val="clear" w:color="auto" w:fill="auto"/>
            <w:noWrap/>
            <w:vAlign w:val="center"/>
            <w:hideMark/>
          </w:tcPr>
          <w:p w14:paraId="316FD8B9" w14:textId="77777777" w:rsidR="003C63A3" w:rsidRPr="00F7132F" w:rsidRDefault="003C63A3" w:rsidP="003C63A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815" w:type="pct"/>
            <w:tcBorders>
              <w:top w:val="nil"/>
              <w:left w:val="nil"/>
              <w:bottom w:val="nil"/>
              <w:right w:val="nil"/>
            </w:tcBorders>
            <w:shd w:val="clear" w:color="auto" w:fill="auto"/>
            <w:noWrap/>
            <w:vAlign w:val="center"/>
            <w:hideMark/>
          </w:tcPr>
          <w:p w14:paraId="2AD9F5D8" w14:textId="77777777" w:rsidR="003C63A3" w:rsidRPr="00F7132F" w:rsidRDefault="003C63A3" w:rsidP="003C63A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w:t>
            </w:r>
          </w:p>
        </w:tc>
        <w:tc>
          <w:tcPr>
            <w:tcW w:w="78" w:type="pct"/>
            <w:tcBorders>
              <w:top w:val="nil"/>
              <w:left w:val="nil"/>
              <w:bottom w:val="nil"/>
              <w:right w:val="nil"/>
            </w:tcBorders>
            <w:shd w:val="clear" w:color="auto" w:fill="auto"/>
            <w:noWrap/>
            <w:vAlign w:val="center"/>
            <w:hideMark/>
          </w:tcPr>
          <w:p w14:paraId="06B921A2" w14:textId="77777777" w:rsidR="003C63A3" w:rsidRPr="00F7132F" w:rsidRDefault="003C63A3" w:rsidP="003C63A3">
            <w:pPr>
              <w:spacing w:after="0" w:line="240" w:lineRule="auto"/>
              <w:rPr>
                <w:rFonts w:ascii="Verdana" w:eastAsia="Times New Roman" w:hAnsi="Verdana" w:cs="Calibri"/>
                <w:sz w:val="18"/>
                <w:szCs w:val="18"/>
                <w:lang w:eastAsia="pt-BR"/>
              </w:rPr>
            </w:pPr>
          </w:p>
        </w:tc>
        <w:tc>
          <w:tcPr>
            <w:tcW w:w="568" w:type="pct"/>
            <w:tcBorders>
              <w:top w:val="nil"/>
              <w:left w:val="nil"/>
              <w:bottom w:val="nil"/>
              <w:right w:val="nil"/>
            </w:tcBorders>
            <w:shd w:val="clear" w:color="auto" w:fill="auto"/>
            <w:noWrap/>
            <w:vAlign w:val="center"/>
            <w:hideMark/>
          </w:tcPr>
          <w:p w14:paraId="074C063E" w14:textId="77777777" w:rsidR="003C63A3" w:rsidRPr="00F7132F" w:rsidRDefault="003C63A3" w:rsidP="003C63A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3.306.669</w:t>
            </w:r>
          </w:p>
        </w:tc>
        <w:tc>
          <w:tcPr>
            <w:tcW w:w="78" w:type="pct"/>
            <w:tcBorders>
              <w:top w:val="nil"/>
              <w:left w:val="nil"/>
              <w:bottom w:val="nil"/>
              <w:right w:val="nil"/>
            </w:tcBorders>
            <w:shd w:val="clear" w:color="auto" w:fill="auto"/>
            <w:noWrap/>
            <w:vAlign w:val="center"/>
            <w:hideMark/>
          </w:tcPr>
          <w:p w14:paraId="0A982975" w14:textId="77777777" w:rsidR="003C63A3" w:rsidRPr="00F7132F" w:rsidRDefault="003C63A3" w:rsidP="003C63A3">
            <w:pPr>
              <w:spacing w:after="0" w:line="240" w:lineRule="auto"/>
              <w:rPr>
                <w:rFonts w:ascii="Verdana" w:eastAsia="Times New Roman" w:hAnsi="Verdana" w:cs="Calibri"/>
                <w:sz w:val="18"/>
                <w:szCs w:val="18"/>
                <w:lang w:eastAsia="pt-BR"/>
              </w:rPr>
            </w:pPr>
          </w:p>
        </w:tc>
        <w:tc>
          <w:tcPr>
            <w:tcW w:w="661" w:type="pct"/>
            <w:gridSpan w:val="2"/>
            <w:tcBorders>
              <w:top w:val="nil"/>
              <w:left w:val="nil"/>
              <w:bottom w:val="nil"/>
              <w:right w:val="nil"/>
            </w:tcBorders>
            <w:shd w:val="clear" w:color="auto" w:fill="auto"/>
            <w:noWrap/>
            <w:vAlign w:val="center"/>
            <w:hideMark/>
          </w:tcPr>
          <w:p w14:paraId="0A7B1213" w14:textId="77777777" w:rsidR="003C63A3" w:rsidRPr="00F7132F" w:rsidRDefault="003C63A3" w:rsidP="003C63A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(123.967)</w:t>
            </w:r>
          </w:p>
        </w:tc>
      </w:tr>
      <w:tr w:rsidR="007622F9" w:rsidRPr="00116729" w14:paraId="555AA883" w14:textId="77777777" w:rsidTr="007622F9">
        <w:trPr>
          <w:trHeight w:val="20"/>
        </w:trPr>
        <w:tc>
          <w:tcPr>
            <w:tcW w:w="2799" w:type="pct"/>
            <w:gridSpan w:val="2"/>
            <w:tcBorders>
              <w:top w:val="nil"/>
              <w:left w:val="nil"/>
              <w:bottom w:val="nil"/>
              <w:right w:val="nil"/>
            </w:tcBorders>
            <w:shd w:val="clear" w:color="auto" w:fill="auto"/>
            <w:noWrap/>
            <w:vAlign w:val="center"/>
            <w:hideMark/>
          </w:tcPr>
          <w:p w14:paraId="416370B5" w14:textId="77777777" w:rsidR="003C63A3" w:rsidRPr="00F7132F" w:rsidRDefault="003C63A3" w:rsidP="003C63A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Poder público Federal - Caixa Econômica Federal</w:t>
            </w:r>
          </w:p>
        </w:tc>
        <w:tc>
          <w:tcPr>
            <w:tcW w:w="815" w:type="pct"/>
            <w:tcBorders>
              <w:top w:val="nil"/>
              <w:left w:val="nil"/>
              <w:bottom w:val="nil"/>
              <w:right w:val="nil"/>
            </w:tcBorders>
            <w:shd w:val="clear" w:color="auto" w:fill="auto"/>
            <w:noWrap/>
            <w:vAlign w:val="center"/>
            <w:hideMark/>
          </w:tcPr>
          <w:p w14:paraId="1EE7A028" w14:textId="77777777" w:rsidR="003C63A3" w:rsidRPr="00F7132F" w:rsidRDefault="003C63A3" w:rsidP="003C63A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78" w:type="pct"/>
            <w:tcBorders>
              <w:top w:val="nil"/>
              <w:left w:val="nil"/>
              <w:bottom w:val="nil"/>
              <w:right w:val="nil"/>
            </w:tcBorders>
            <w:shd w:val="clear" w:color="auto" w:fill="auto"/>
            <w:noWrap/>
            <w:vAlign w:val="center"/>
            <w:hideMark/>
          </w:tcPr>
          <w:p w14:paraId="36F7CE30" w14:textId="77777777" w:rsidR="003C63A3" w:rsidRPr="00F7132F" w:rsidRDefault="003C63A3" w:rsidP="003C63A3">
            <w:pPr>
              <w:spacing w:after="0" w:line="240" w:lineRule="auto"/>
              <w:jc w:val="right"/>
              <w:rPr>
                <w:rFonts w:ascii="Verdana" w:eastAsia="Times New Roman" w:hAnsi="Verdana" w:cs="Calibri"/>
                <w:sz w:val="18"/>
                <w:szCs w:val="18"/>
                <w:lang w:eastAsia="pt-BR"/>
              </w:rPr>
            </w:pPr>
          </w:p>
        </w:tc>
        <w:tc>
          <w:tcPr>
            <w:tcW w:w="568" w:type="pct"/>
            <w:tcBorders>
              <w:top w:val="nil"/>
              <w:left w:val="nil"/>
              <w:bottom w:val="nil"/>
              <w:right w:val="nil"/>
            </w:tcBorders>
            <w:shd w:val="clear" w:color="auto" w:fill="auto"/>
            <w:noWrap/>
            <w:vAlign w:val="center"/>
            <w:hideMark/>
          </w:tcPr>
          <w:p w14:paraId="5BADCEFE" w14:textId="77777777" w:rsidR="003C63A3" w:rsidRPr="00F7132F" w:rsidRDefault="003C63A3" w:rsidP="003C63A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2.960.886</w:t>
            </w:r>
          </w:p>
        </w:tc>
        <w:tc>
          <w:tcPr>
            <w:tcW w:w="78" w:type="pct"/>
            <w:tcBorders>
              <w:top w:val="nil"/>
              <w:left w:val="nil"/>
              <w:bottom w:val="nil"/>
              <w:right w:val="nil"/>
            </w:tcBorders>
            <w:shd w:val="clear" w:color="auto" w:fill="auto"/>
            <w:noWrap/>
            <w:vAlign w:val="center"/>
            <w:hideMark/>
          </w:tcPr>
          <w:p w14:paraId="35EAD205" w14:textId="77777777" w:rsidR="003C63A3" w:rsidRPr="00F7132F" w:rsidRDefault="003C63A3" w:rsidP="003C63A3">
            <w:pPr>
              <w:spacing w:after="0" w:line="240" w:lineRule="auto"/>
              <w:jc w:val="right"/>
              <w:rPr>
                <w:rFonts w:ascii="Verdana" w:eastAsia="Times New Roman" w:hAnsi="Verdana" w:cs="Calibri"/>
                <w:sz w:val="18"/>
                <w:szCs w:val="18"/>
                <w:lang w:eastAsia="pt-BR"/>
              </w:rPr>
            </w:pPr>
          </w:p>
        </w:tc>
        <w:tc>
          <w:tcPr>
            <w:tcW w:w="661" w:type="pct"/>
            <w:gridSpan w:val="2"/>
            <w:tcBorders>
              <w:top w:val="nil"/>
              <w:left w:val="nil"/>
              <w:bottom w:val="nil"/>
              <w:right w:val="nil"/>
            </w:tcBorders>
            <w:shd w:val="clear" w:color="auto" w:fill="auto"/>
            <w:noWrap/>
            <w:vAlign w:val="center"/>
            <w:hideMark/>
          </w:tcPr>
          <w:p w14:paraId="0C87EB4D" w14:textId="77777777" w:rsidR="003C63A3" w:rsidRPr="00F7132F" w:rsidRDefault="003C63A3" w:rsidP="003C63A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(96.031)</w:t>
            </w:r>
          </w:p>
        </w:tc>
      </w:tr>
      <w:tr w:rsidR="007622F9" w:rsidRPr="00116729" w14:paraId="21B9000A" w14:textId="77777777" w:rsidTr="007622F9">
        <w:trPr>
          <w:trHeight w:val="20"/>
        </w:trPr>
        <w:tc>
          <w:tcPr>
            <w:tcW w:w="2665" w:type="pct"/>
            <w:tcBorders>
              <w:top w:val="nil"/>
              <w:left w:val="nil"/>
              <w:bottom w:val="nil"/>
              <w:right w:val="nil"/>
            </w:tcBorders>
            <w:shd w:val="clear" w:color="auto" w:fill="auto"/>
            <w:noWrap/>
            <w:vAlign w:val="bottom"/>
            <w:hideMark/>
          </w:tcPr>
          <w:p w14:paraId="11FF84A1" w14:textId="77777777" w:rsidR="003C63A3" w:rsidRPr="00F7132F" w:rsidRDefault="003C63A3" w:rsidP="003C63A3">
            <w:pPr>
              <w:spacing w:after="0" w:line="240" w:lineRule="auto"/>
              <w:jc w:val="right"/>
              <w:rPr>
                <w:rFonts w:ascii="Verdana" w:eastAsia="Times New Roman" w:hAnsi="Verdana" w:cs="Calibri"/>
                <w:sz w:val="18"/>
                <w:szCs w:val="18"/>
                <w:lang w:eastAsia="pt-BR"/>
              </w:rPr>
            </w:pPr>
          </w:p>
        </w:tc>
        <w:tc>
          <w:tcPr>
            <w:tcW w:w="134" w:type="pct"/>
            <w:tcBorders>
              <w:top w:val="nil"/>
              <w:left w:val="nil"/>
              <w:bottom w:val="nil"/>
              <w:right w:val="nil"/>
            </w:tcBorders>
            <w:shd w:val="clear" w:color="auto" w:fill="auto"/>
            <w:noWrap/>
            <w:vAlign w:val="bottom"/>
            <w:hideMark/>
          </w:tcPr>
          <w:p w14:paraId="128FE291" w14:textId="77777777" w:rsidR="003C63A3" w:rsidRPr="00F7132F" w:rsidRDefault="003C63A3" w:rsidP="003C63A3">
            <w:pPr>
              <w:spacing w:after="0" w:line="240" w:lineRule="auto"/>
              <w:rPr>
                <w:rFonts w:ascii="Times New Roman" w:eastAsia="Times New Roman" w:hAnsi="Times New Roman" w:cs="Times New Roman"/>
                <w:sz w:val="18"/>
                <w:szCs w:val="18"/>
                <w:lang w:eastAsia="pt-BR"/>
              </w:rPr>
            </w:pPr>
          </w:p>
        </w:tc>
        <w:tc>
          <w:tcPr>
            <w:tcW w:w="815" w:type="pct"/>
            <w:tcBorders>
              <w:top w:val="single" w:sz="4" w:space="0" w:color="auto"/>
              <w:left w:val="nil"/>
              <w:bottom w:val="double" w:sz="6" w:space="0" w:color="auto"/>
              <w:right w:val="nil"/>
            </w:tcBorders>
            <w:shd w:val="clear" w:color="auto" w:fill="auto"/>
            <w:noWrap/>
            <w:vAlign w:val="center"/>
            <w:hideMark/>
          </w:tcPr>
          <w:p w14:paraId="34F3927E" w14:textId="77777777" w:rsidR="003C63A3" w:rsidRPr="00F7132F" w:rsidRDefault="003C63A3" w:rsidP="003C63A3">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5.102.03</w:t>
            </w:r>
            <w:r w:rsidR="000D6074">
              <w:rPr>
                <w:rFonts w:ascii="Verdana" w:eastAsia="Times New Roman" w:hAnsi="Verdana" w:cs="Calibri"/>
                <w:b/>
                <w:bCs/>
                <w:sz w:val="18"/>
                <w:szCs w:val="18"/>
                <w:lang w:eastAsia="pt-BR"/>
              </w:rPr>
              <w:t>6</w:t>
            </w:r>
          </w:p>
        </w:tc>
        <w:tc>
          <w:tcPr>
            <w:tcW w:w="78" w:type="pct"/>
            <w:tcBorders>
              <w:top w:val="nil"/>
              <w:left w:val="nil"/>
              <w:bottom w:val="nil"/>
              <w:right w:val="nil"/>
            </w:tcBorders>
            <w:shd w:val="clear" w:color="auto" w:fill="auto"/>
            <w:noWrap/>
            <w:vAlign w:val="center"/>
            <w:hideMark/>
          </w:tcPr>
          <w:p w14:paraId="7F47BFFD" w14:textId="77777777" w:rsidR="003C63A3" w:rsidRPr="00F7132F" w:rsidRDefault="003C63A3" w:rsidP="003C63A3">
            <w:pPr>
              <w:spacing w:after="0" w:line="240" w:lineRule="auto"/>
              <w:jc w:val="right"/>
              <w:rPr>
                <w:rFonts w:ascii="Verdana" w:eastAsia="Times New Roman" w:hAnsi="Verdana" w:cs="Calibri"/>
                <w:b/>
                <w:bCs/>
                <w:sz w:val="18"/>
                <w:szCs w:val="18"/>
                <w:lang w:eastAsia="pt-BR"/>
              </w:rPr>
            </w:pPr>
          </w:p>
        </w:tc>
        <w:tc>
          <w:tcPr>
            <w:tcW w:w="568" w:type="pct"/>
            <w:tcBorders>
              <w:top w:val="single" w:sz="4" w:space="0" w:color="auto"/>
              <w:left w:val="nil"/>
              <w:bottom w:val="double" w:sz="6" w:space="0" w:color="auto"/>
              <w:right w:val="nil"/>
            </w:tcBorders>
            <w:shd w:val="clear" w:color="auto" w:fill="auto"/>
            <w:noWrap/>
            <w:vAlign w:val="center"/>
            <w:hideMark/>
          </w:tcPr>
          <w:p w14:paraId="7E9D5367" w14:textId="77777777" w:rsidR="003C63A3" w:rsidRPr="00F7132F" w:rsidRDefault="003C63A3" w:rsidP="003C63A3">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7.402.848</w:t>
            </w:r>
          </w:p>
        </w:tc>
        <w:tc>
          <w:tcPr>
            <w:tcW w:w="78" w:type="pct"/>
            <w:tcBorders>
              <w:top w:val="nil"/>
              <w:left w:val="nil"/>
              <w:bottom w:val="nil"/>
              <w:right w:val="nil"/>
            </w:tcBorders>
            <w:shd w:val="clear" w:color="auto" w:fill="auto"/>
            <w:noWrap/>
            <w:vAlign w:val="center"/>
            <w:hideMark/>
          </w:tcPr>
          <w:p w14:paraId="7495986A" w14:textId="77777777" w:rsidR="003C63A3" w:rsidRPr="00F7132F" w:rsidRDefault="003C63A3" w:rsidP="003C63A3">
            <w:pPr>
              <w:spacing w:after="0" w:line="240" w:lineRule="auto"/>
              <w:jc w:val="right"/>
              <w:rPr>
                <w:rFonts w:ascii="Verdana" w:eastAsia="Times New Roman" w:hAnsi="Verdana" w:cs="Calibri"/>
                <w:b/>
                <w:bCs/>
                <w:sz w:val="18"/>
                <w:szCs w:val="18"/>
                <w:lang w:eastAsia="pt-BR"/>
              </w:rPr>
            </w:pPr>
          </w:p>
        </w:tc>
        <w:tc>
          <w:tcPr>
            <w:tcW w:w="661" w:type="pct"/>
            <w:gridSpan w:val="2"/>
            <w:tcBorders>
              <w:top w:val="single" w:sz="4" w:space="0" w:color="auto"/>
              <w:left w:val="nil"/>
              <w:bottom w:val="double" w:sz="6" w:space="0" w:color="auto"/>
              <w:right w:val="nil"/>
            </w:tcBorders>
            <w:shd w:val="clear" w:color="auto" w:fill="auto"/>
            <w:noWrap/>
            <w:vAlign w:val="center"/>
            <w:hideMark/>
          </w:tcPr>
          <w:p w14:paraId="2A052068" w14:textId="77777777" w:rsidR="003C63A3" w:rsidRPr="00F7132F" w:rsidRDefault="003C63A3" w:rsidP="003C63A3">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(1.318.32</w:t>
            </w:r>
            <w:r w:rsidR="000D6074">
              <w:rPr>
                <w:rFonts w:ascii="Verdana" w:eastAsia="Times New Roman" w:hAnsi="Verdana" w:cs="Calibri"/>
                <w:b/>
                <w:bCs/>
                <w:sz w:val="18"/>
                <w:szCs w:val="18"/>
                <w:lang w:eastAsia="pt-BR"/>
              </w:rPr>
              <w:t>4</w:t>
            </w:r>
            <w:r w:rsidRPr="00F7132F">
              <w:rPr>
                <w:rFonts w:ascii="Verdana" w:eastAsia="Times New Roman" w:hAnsi="Verdana" w:cs="Calibri"/>
                <w:b/>
                <w:bCs/>
                <w:sz w:val="18"/>
                <w:szCs w:val="18"/>
                <w:lang w:eastAsia="pt-BR"/>
              </w:rPr>
              <w:t>)</w:t>
            </w:r>
          </w:p>
        </w:tc>
      </w:tr>
    </w:tbl>
    <w:p w14:paraId="51433355" w14:textId="77777777" w:rsidR="00B53E3D" w:rsidRPr="00116729" w:rsidRDefault="00B53E3D" w:rsidP="004A1E74">
      <w:pPr>
        <w:jc w:val="both"/>
        <w:rPr>
          <w:rFonts w:ascii="Verdana" w:hAnsi="Verdana" w:cstheme="minorHAnsi"/>
        </w:rPr>
      </w:pPr>
    </w:p>
    <w:p w14:paraId="1A152A75" w14:textId="77777777" w:rsidR="00B53E3D" w:rsidRPr="00F7132F" w:rsidRDefault="005B6BD5" w:rsidP="00FE3E72">
      <w:pPr>
        <w:jc w:val="both"/>
        <w:rPr>
          <w:rFonts w:ascii="Verdana" w:hAnsi="Verdana" w:cstheme="minorHAnsi"/>
          <w:b/>
        </w:rPr>
      </w:pPr>
      <w:r w:rsidRPr="00F7132F">
        <w:rPr>
          <w:rFonts w:ascii="Verdana" w:hAnsi="Verdana" w:cstheme="minorHAnsi"/>
          <w:b/>
        </w:rPr>
        <w:t>31</w:t>
      </w:r>
      <w:r w:rsidR="00B53E3D" w:rsidRPr="00F7132F">
        <w:rPr>
          <w:rFonts w:ascii="Verdana" w:hAnsi="Verdana" w:cstheme="minorHAnsi"/>
          <w:b/>
        </w:rPr>
        <w:t>.</w:t>
      </w:r>
      <w:r w:rsidR="00FC42A1" w:rsidRPr="00F7132F">
        <w:rPr>
          <w:rFonts w:ascii="Verdana" w:hAnsi="Verdana" w:cstheme="minorHAnsi"/>
          <w:b/>
        </w:rPr>
        <w:t>2</w:t>
      </w:r>
      <w:r w:rsidR="002C6122" w:rsidRPr="00F7132F">
        <w:rPr>
          <w:rFonts w:ascii="Verdana" w:hAnsi="Verdana" w:cstheme="minorHAnsi"/>
          <w:b/>
        </w:rPr>
        <w:t xml:space="preserve"> - Remuneração do pessoal-</w:t>
      </w:r>
      <w:r w:rsidR="00B53E3D" w:rsidRPr="00F7132F">
        <w:rPr>
          <w:rFonts w:ascii="Verdana" w:hAnsi="Verdana" w:cstheme="minorHAnsi"/>
          <w:b/>
        </w:rPr>
        <w:t xml:space="preserve">chave </w:t>
      </w:r>
    </w:p>
    <w:p w14:paraId="390A9788" w14:textId="77777777" w:rsidR="00B53E3D" w:rsidRPr="00116729" w:rsidRDefault="002C6122" w:rsidP="00FE3E72">
      <w:pPr>
        <w:jc w:val="both"/>
        <w:rPr>
          <w:rFonts w:ascii="Verdana" w:hAnsi="Verdana" w:cstheme="minorHAnsi"/>
        </w:rPr>
      </w:pPr>
      <w:r w:rsidRPr="00116729">
        <w:rPr>
          <w:rFonts w:ascii="Verdana" w:hAnsi="Verdana" w:cstheme="minorHAnsi"/>
        </w:rPr>
        <w:t>A remuneração do pessoal-</w:t>
      </w:r>
      <w:r w:rsidR="00B53E3D" w:rsidRPr="00116729">
        <w:rPr>
          <w:rFonts w:ascii="Verdana" w:hAnsi="Verdana" w:cstheme="minorHAnsi"/>
        </w:rPr>
        <w:t>chave da Companhia (membros da Diretoria Executiva, Conselho de Administração</w:t>
      </w:r>
      <w:r w:rsidRPr="00116729">
        <w:rPr>
          <w:rFonts w:ascii="Verdana" w:hAnsi="Verdana" w:cstheme="minorHAnsi"/>
        </w:rPr>
        <w:t>, Comitê de Auditoria</w:t>
      </w:r>
      <w:r w:rsidR="00B53E3D" w:rsidRPr="00116729">
        <w:rPr>
          <w:rFonts w:ascii="Verdana" w:hAnsi="Verdana" w:cstheme="minorHAnsi"/>
        </w:rPr>
        <w:t xml:space="preserve"> e Conselho Fiscal) é como segue: </w:t>
      </w:r>
    </w:p>
    <w:tbl>
      <w:tblPr>
        <w:tblW w:w="9356" w:type="dxa"/>
        <w:tblCellMar>
          <w:left w:w="70" w:type="dxa"/>
          <w:right w:w="70" w:type="dxa"/>
        </w:tblCellMar>
        <w:tblLook w:val="04A0" w:firstRow="1" w:lastRow="0" w:firstColumn="1" w:lastColumn="0" w:noHBand="0" w:noVBand="1"/>
      </w:tblPr>
      <w:tblGrid>
        <w:gridCol w:w="5725"/>
        <w:gridCol w:w="241"/>
        <w:gridCol w:w="1547"/>
        <w:gridCol w:w="238"/>
        <w:gridCol w:w="1605"/>
      </w:tblGrid>
      <w:tr w:rsidR="007622F9" w:rsidRPr="00116729" w14:paraId="2E403A6E" w14:textId="77777777" w:rsidTr="007622F9">
        <w:trPr>
          <w:trHeight w:val="233"/>
        </w:trPr>
        <w:tc>
          <w:tcPr>
            <w:tcW w:w="5725" w:type="dxa"/>
            <w:tcBorders>
              <w:top w:val="nil"/>
              <w:left w:val="nil"/>
              <w:bottom w:val="nil"/>
              <w:right w:val="nil"/>
            </w:tcBorders>
            <w:shd w:val="clear" w:color="auto" w:fill="auto"/>
            <w:noWrap/>
            <w:vAlign w:val="bottom"/>
            <w:hideMark/>
          </w:tcPr>
          <w:p w14:paraId="66640BC1" w14:textId="77777777" w:rsidR="00385A93" w:rsidRPr="00116729" w:rsidRDefault="00385A93" w:rsidP="00385A93">
            <w:pPr>
              <w:spacing w:after="0" w:line="240" w:lineRule="auto"/>
              <w:rPr>
                <w:rFonts w:ascii="Times New Roman" w:eastAsia="Times New Roman" w:hAnsi="Times New Roman" w:cs="Times New Roman"/>
                <w:sz w:val="24"/>
                <w:szCs w:val="24"/>
                <w:lang w:eastAsia="pt-BR"/>
              </w:rPr>
            </w:pPr>
          </w:p>
        </w:tc>
        <w:tc>
          <w:tcPr>
            <w:tcW w:w="241" w:type="dxa"/>
            <w:tcBorders>
              <w:top w:val="nil"/>
              <w:left w:val="nil"/>
              <w:bottom w:val="nil"/>
              <w:right w:val="nil"/>
            </w:tcBorders>
            <w:shd w:val="clear" w:color="auto" w:fill="auto"/>
            <w:noWrap/>
            <w:vAlign w:val="bottom"/>
            <w:hideMark/>
          </w:tcPr>
          <w:p w14:paraId="2723D2AB" w14:textId="77777777" w:rsidR="00385A93" w:rsidRPr="00116729" w:rsidRDefault="00385A93" w:rsidP="00385A93">
            <w:pPr>
              <w:spacing w:after="0" w:line="240" w:lineRule="auto"/>
              <w:rPr>
                <w:rFonts w:ascii="Times New Roman" w:eastAsia="Times New Roman" w:hAnsi="Times New Roman" w:cs="Times New Roman"/>
                <w:sz w:val="20"/>
                <w:szCs w:val="20"/>
                <w:lang w:eastAsia="pt-BR"/>
              </w:rPr>
            </w:pPr>
          </w:p>
        </w:tc>
        <w:tc>
          <w:tcPr>
            <w:tcW w:w="1547" w:type="dxa"/>
            <w:tcBorders>
              <w:top w:val="nil"/>
              <w:left w:val="nil"/>
              <w:bottom w:val="single" w:sz="4" w:space="0" w:color="auto"/>
              <w:right w:val="nil"/>
            </w:tcBorders>
            <w:shd w:val="clear" w:color="auto" w:fill="auto"/>
            <w:noWrap/>
            <w:vAlign w:val="bottom"/>
            <w:hideMark/>
          </w:tcPr>
          <w:p w14:paraId="24559EA6" w14:textId="77777777" w:rsidR="00385A93" w:rsidRPr="00F7132F" w:rsidRDefault="00385A93" w:rsidP="00385A93">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Controladora</w:t>
            </w:r>
          </w:p>
        </w:tc>
        <w:tc>
          <w:tcPr>
            <w:tcW w:w="238" w:type="dxa"/>
            <w:tcBorders>
              <w:top w:val="nil"/>
              <w:left w:val="nil"/>
              <w:bottom w:val="nil"/>
              <w:right w:val="nil"/>
            </w:tcBorders>
            <w:shd w:val="clear" w:color="auto" w:fill="auto"/>
            <w:noWrap/>
            <w:vAlign w:val="bottom"/>
            <w:hideMark/>
          </w:tcPr>
          <w:p w14:paraId="03B40673" w14:textId="77777777" w:rsidR="00385A93" w:rsidRPr="00F7132F" w:rsidRDefault="00385A93" w:rsidP="00385A93">
            <w:pPr>
              <w:spacing w:after="0" w:line="240" w:lineRule="auto"/>
              <w:jc w:val="center"/>
              <w:rPr>
                <w:rFonts w:ascii="Verdana" w:eastAsia="Times New Roman" w:hAnsi="Verdana" w:cs="Calibri"/>
                <w:b/>
                <w:bCs/>
                <w:sz w:val="18"/>
                <w:szCs w:val="18"/>
                <w:lang w:eastAsia="pt-BR"/>
              </w:rPr>
            </w:pPr>
          </w:p>
        </w:tc>
        <w:tc>
          <w:tcPr>
            <w:tcW w:w="1605" w:type="dxa"/>
            <w:tcBorders>
              <w:top w:val="nil"/>
              <w:left w:val="nil"/>
              <w:bottom w:val="single" w:sz="4" w:space="0" w:color="auto"/>
              <w:right w:val="nil"/>
            </w:tcBorders>
            <w:shd w:val="clear" w:color="auto" w:fill="auto"/>
            <w:noWrap/>
            <w:vAlign w:val="bottom"/>
            <w:hideMark/>
          </w:tcPr>
          <w:p w14:paraId="2C680979" w14:textId="77777777" w:rsidR="00385A93" w:rsidRPr="00F7132F" w:rsidRDefault="00385A93" w:rsidP="00385A93">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Consolidado</w:t>
            </w:r>
          </w:p>
        </w:tc>
      </w:tr>
      <w:tr w:rsidR="007622F9" w:rsidRPr="00116729" w14:paraId="40D74F0A" w14:textId="77777777" w:rsidTr="007622F9">
        <w:trPr>
          <w:trHeight w:val="233"/>
        </w:trPr>
        <w:tc>
          <w:tcPr>
            <w:tcW w:w="5725" w:type="dxa"/>
            <w:tcBorders>
              <w:top w:val="nil"/>
              <w:left w:val="nil"/>
              <w:right w:val="nil"/>
            </w:tcBorders>
            <w:shd w:val="clear" w:color="auto" w:fill="auto"/>
            <w:noWrap/>
            <w:vAlign w:val="center"/>
            <w:hideMark/>
          </w:tcPr>
          <w:p w14:paraId="710E4EC5" w14:textId="77777777" w:rsidR="00385A93" w:rsidRPr="00F7132F" w:rsidRDefault="00385A93" w:rsidP="00385A93">
            <w:pPr>
              <w:spacing w:after="0" w:line="240" w:lineRule="auto"/>
              <w:jc w:val="center"/>
              <w:rPr>
                <w:rFonts w:ascii="Verdana" w:eastAsia="Times New Roman" w:hAnsi="Verdana" w:cs="Calibri"/>
                <w:b/>
                <w:bCs/>
                <w:sz w:val="18"/>
                <w:szCs w:val="18"/>
                <w:lang w:eastAsia="pt-BR"/>
              </w:rPr>
            </w:pPr>
          </w:p>
        </w:tc>
        <w:tc>
          <w:tcPr>
            <w:tcW w:w="241" w:type="dxa"/>
            <w:tcBorders>
              <w:top w:val="nil"/>
              <w:left w:val="nil"/>
              <w:right w:val="nil"/>
            </w:tcBorders>
            <w:shd w:val="clear" w:color="auto" w:fill="auto"/>
            <w:noWrap/>
            <w:vAlign w:val="center"/>
            <w:hideMark/>
          </w:tcPr>
          <w:p w14:paraId="4CF0E057" w14:textId="77777777" w:rsidR="00385A93" w:rsidRPr="00116729" w:rsidRDefault="00385A93" w:rsidP="00385A93">
            <w:pPr>
              <w:spacing w:after="0" w:line="240" w:lineRule="auto"/>
              <w:rPr>
                <w:rFonts w:ascii="Times New Roman" w:eastAsia="Times New Roman" w:hAnsi="Times New Roman" w:cs="Times New Roman"/>
                <w:sz w:val="20"/>
                <w:szCs w:val="20"/>
                <w:lang w:eastAsia="pt-BR"/>
              </w:rPr>
            </w:pPr>
          </w:p>
        </w:tc>
        <w:tc>
          <w:tcPr>
            <w:tcW w:w="1547" w:type="dxa"/>
            <w:tcBorders>
              <w:top w:val="single" w:sz="4" w:space="0" w:color="auto"/>
              <w:left w:val="nil"/>
              <w:bottom w:val="single" w:sz="4" w:space="0" w:color="auto"/>
              <w:right w:val="nil"/>
            </w:tcBorders>
            <w:shd w:val="clear" w:color="auto" w:fill="auto"/>
            <w:noWrap/>
            <w:vAlign w:val="center"/>
            <w:hideMark/>
          </w:tcPr>
          <w:p w14:paraId="4FDB3E59" w14:textId="77777777" w:rsidR="00385A93" w:rsidRPr="00F7132F" w:rsidRDefault="00385A93" w:rsidP="00385A93">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30/06/2022</w:t>
            </w:r>
          </w:p>
        </w:tc>
        <w:tc>
          <w:tcPr>
            <w:tcW w:w="238" w:type="dxa"/>
            <w:tcBorders>
              <w:top w:val="nil"/>
              <w:left w:val="nil"/>
              <w:right w:val="nil"/>
            </w:tcBorders>
            <w:shd w:val="clear" w:color="auto" w:fill="auto"/>
            <w:noWrap/>
            <w:vAlign w:val="center"/>
            <w:hideMark/>
          </w:tcPr>
          <w:p w14:paraId="28F3C6E2" w14:textId="77777777" w:rsidR="00385A93" w:rsidRPr="00F7132F" w:rsidRDefault="00385A93" w:rsidP="00385A93">
            <w:pPr>
              <w:spacing w:after="0" w:line="240" w:lineRule="auto"/>
              <w:jc w:val="center"/>
              <w:rPr>
                <w:rFonts w:ascii="Verdana" w:eastAsia="Times New Roman" w:hAnsi="Verdana" w:cs="Calibri"/>
                <w:b/>
                <w:bCs/>
                <w:sz w:val="18"/>
                <w:szCs w:val="18"/>
                <w:lang w:eastAsia="pt-BR"/>
              </w:rPr>
            </w:pPr>
          </w:p>
        </w:tc>
        <w:tc>
          <w:tcPr>
            <w:tcW w:w="1605" w:type="dxa"/>
            <w:tcBorders>
              <w:top w:val="single" w:sz="4" w:space="0" w:color="auto"/>
              <w:left w:val="nil"/>
              <w:bottom w:val="single" w:sz="4" w:space="0" w:color="auto"/>
              <w:right w:val="nil"/>
            </w:tcBorders>
            <w:shd w:val="clear" w:color="auto" w:fill="auto"/>
            <w:noWrap/>
            <w:vAlign w:val="center"/>
            <w:hideMark/>
          </w:tcPr>
          <w:p w14:paraId="2B218AD1" w14:textId="77777777" w:rsidR="00385A93" w:rsidRPr="00F7132F" w:rsidRDefault="00385A93" w:rsidP="00385A93">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30/06/2022</w:t>
            </w:r>
          </w:p>
        </w:tc>
      </w:tr>
      <w:tr w:rsidR="007622F9" w:rsidRPr="00116729" w14:paraId="578E2C60" w14:textId="77777777" w:rsidTr="007622F9">
        <w:trPr>
          <w:trHeight w:val="233"/>
        </w:trPr>
        <w:tc>
          <w:tcPr>
            <w:tcW w:w="5725" w:type="dxa"/>
            <w:tcBorders>
              <w:top w:val="nil"/>
              <w:left w:val="nil"/>
              <w:right w:val="nil"/>
            </w:tcBorders>
            <w:shd w:val="clear" w:color="auto" w:fill="auto"/>
            <w:noWrap/>
            <w:vAlign w:val="center"/>
          </w:tcPr>
          <w:p w14:paraId="69D0A2A6" w14:textId="77777777" w:rsidR="007622F9" w:rsidRPr="00F7132F" w:rsidRDefault="007622F9" w:rsidP="00385A93">
            <w:pPr>
              <w:spacing w:after="0" w:line="240" w:lineRule="auto"/>
              <w:jc w:val="center"/>
              <w:rPr>
                <w:rFonts w:ascii="Verdana" w:eastAsia="Times New Roman" w:hAnsi="Verdana" w:cs="Calibri"/>
                <w:b/>
                <w:bCs/>
                <w:sz w:val="18"/>
                <w:szCs w:val="18"/>
                <w:lang w:eastAsia="pt-BR"/>
              </w:rPr>
            </w:pPr>
          </w:p>
        </w:tc>
        <w:tc>
          <w:tcPr>
            <w:tcW w:w="241" w:type="dxa"/>
            <w:tcBorders>
              <w:top w:val="nil"/>
              <w:left w:val="nil"/>
              <w:right w:val="nil"/>
            </w:tcBorders>
            <w:shd w:val="clear" w:color="auto" w:fill="auto"/>
            <w:noWrap/>
            <w:vAlign w:val="center"/>
          </w:tcPr>
          <w:p w14:paraId="03FC9ABE" w14:textId="77777777" w:rsidR="007622F9" w:rsidRPr="00116729" w:rsidRDefault="007622F9" w:rsidP="00385A93">
            <w:pPr>
              <w:spacing w:after="0" w:line="240" w:lineRule="auto"/>
              <w:rPr>
                <w:rFonts w:ascii="Times New Roman" w:eastAsia="Times New Roman" w:hAnsi="Times New Roman" w:cs="Times New Roman"/>
                <w:sz w:val="20"/>
                <w:szCs w:val="20"/>
                <w:lang w:eastAsia="pt-BR"/>
              </w:rPr>
            </w:pPr>
          </w:p>
        </w:tc>
        <w:tc>
          <w:tcPr>
            <w:tcW w:w="1547" w:type="dxa"/>
            <w:tcBorders>
              <w:top w:val="single" w:sz="4" w:space="0" w:color="auto"/>
              <w:left w:val="nil"/>
              <w:right w:val="nil"/>
            </w:tcBorders>
            <w:shd w:val="clear" w:color="auto" w:fill="auto"/>
            <w:noWrap/>
            <w:vAlign w:val="center"/>
          </w:tcPr>
          <w:p w14:paraId="0CC915BC" w14:textId="77777777" w:rsidR="007622F9" w:rsidRPr="00F7132F" w:rsidRDefault="007622F9" w:rsidP="00385A93">
            <w:pPr>
              <w:spacing w:after="0" w:line="240" w:lineRule="auto"/>
              <w:jc w:val="center"/>
              <w:rPr>
                <w:rFonts w:ascii="Verdana" w:eastAsia="Times New Roman" w:hAnsi="Verdana" w:cs="Calibri"/>
                <w:b/>
                <w:bCs/>
                <w:sz w:val="18"/>
                <w:szCs w:val="18"/>
                <w:lang w:eastAsia="pt-BR"/>
              </w:rPr>
            </w:pPr>
          </w:p>
        </w:tc>
        <w:tc>
          <w:tcPr>
            <w:tcW w:w="238" w:type="dxa"/>
            <w:tcBorders>
              <w:top w:val="nil"/>
              <w:left w:val="nil"/>
              <w:right w:val="nil"/>
            </w:tcBorders>
            <w:shd w:val="clear" w:color="auto" w:fill="auto"/>
            <w:noWrap/>
            <w:vAlign w:val="center"/>
          </w:tcPr>
          <w:p w14:paraId="1953954E" w14:textId="77777777" w:rsidR="007622F9" w:rsidRPr="00F7132F" w:rsidRDefault="007622F9" w:rsidP="00385A93">
            <w:pPr>
              <w:spacing w:after="0" w:line="240" w:lineRule="auto"/>
              <w:jc w:val="center"/>
              <w:rPr>
                <w:rFonts w:ascii="Verdana" w:eastAsia="Times New Roman" w:hAnsi="Verdana" w:cs="Calibri"/>
                <w:b/>
                <w:bCs/>
                <w:sz w:val="18"/>
                <w:szCs w:val="18"/>
                <w:lang w:eastAsia="pt-BR"/>
              </w:rPr>
            </w:pPr>
          </w:p>
        </w:tc>
        <w:tc>
          <w:tcPr>
            <w:tcW w:w="1605" w:type="dxa"/>
            <w:tcBorders>
              <w:top w:val="single" w:sz="4" w:space="0" w:color="auto"/>
              <w:left w:val="nil"/>
              <w:right w:val="nil"/>
            </w:tcBorders>
            <w:shd w:val="clear" w:color="auto" w:fill="auto"/>
            <w:noWrap/>
            <w:vAlign w:val="center"/>
          </w:tcPr>
          <w:p w14:paraId="36939A2B" w14:textId="77777777" w:rsidR="007622F9" w:rsidRPr="00F7132F" w:rsidRDefault="007622F9" w:rsidP="00385A93">
            <w:pPr>
              <w:spacing w:after="0" w:line="240" w:lineRule="auto"/>
              <w:jc w:val="center"/>
              <w:rPr>
                <w:rFonts w:ascii="Verdana" w:eastAsia="Times New Roman" w:hAnsi="Verdana" w:cs="Calibri"/>
                <w:b/>
                <w:bCs/>
                <w:sz w:val="18"/>
                <w:szCs w:val="18"/>
                <w:lang w:eastAsia="pt-BR"/>
              </w:rPr>
            </w:pPr>
          </w:p>
        </w:tc>
      </w:tr>
      <w:tr w:rsidR="00385A93" w:rsidRPr="00116729" w14:paraId="6FCD54DD" w14:textId="77777777" w:rsidTr="007622F9">
        <w:trPr>
          <w:trHeight w:val="233"/>
        </w:trPr>
        <w:tc>
          <w:tcPr>
            <w:tcW w:w="5966" w:type="dxa"/>
            <w:gridSpan w:val="2"/>
            <w:tcBorders>
              <w:left w:val="nil"/>
              <w:bottom w:val="nil"/>
              <w:right w:val="nil"/>
            </w:tcBorders>
            <w:shd w:val="clear" w:color="auto" w:fill="auto"/>
            <w:noWrap/>
            <w:vAlign w:val="center"/>
            <w:hideMark/>
          </w:tcPr>
          <w:p w14:paraId="1F0007AE" w14:textId="77777777" w:rsidR="00385A93" w:rsidRPr="00F7132F" w:rsidRDefault="00385A93" w:rsidP="00385A93">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Benefícios de curto prazo Diretoria e Conselheiros</w:t>
            </w:r>
          </w:p>
        </w:tc>
        <w:tc>
          <w:tcPr>
            <w:tcW w:w="1547" w:type="dxa"/>
            <w:tcBorders>
              <w:left w:val="nil"/>
              <w:bottom w:val="nil"/>
              <w:right w:val="nil"/>
            </w:tcBorders>
            <w:shd w:val="clear" w:color="auto" w:fill="auto"/>
            <w:noWrap/>
            <w:vAlign w:val="center"/>
            <w:hideMark/>
          </w:tcPr>
          <w:p w14:paraId="5F3357E7" w14:textId="25D4C359" w:rsidR="00385A93" w:rsidRPr="00F7132F" w:rsidRDefault="00385A93" w:rsidP="00F7132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1.321 </w:t>
            </w:r>
          </w:p>
        </w:tc>
        <w:tc>
          <w:tcPr>
            <w:tcW w:w="238" w:type="dxa"/>
            <w:tcBorders>
              <w:left w:val="nil"/>
              <w:bottom w:val="nil"/>
              <w:right w:val="nil"/>
            </w:tcBorders>
            <w:shd w:val="clear" w:color="auto" w:fill="auto"/>
            <w:noWrap/>
            <w:vAlign w:val="center"/>
            <w:hideMark/>
          </w:tcPr>
          <w:p w14:paraId="4FC033E0" w14:textId="77777777" w:rsidR="00385A93" w:rsidRPr="00F7132F" w:rsidRDefault="00385A93" w:rsidP="00F7132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605" w:type="dxa"/>
            <w:tcBorders>
              <w:left w:val="nil"/>
              <w:bottom w:val="nil"/>
              <w:right w:val="nil"/>
            </w:tcBorders>
            <w:shd w:val="clear" w:color="auto" w:fill="auto"/>
            <w:noWrap/>
            <w:vAlign w:val="center"/>
            <w:hideMark/>
          </w:tcPr>
          <w:p w14:paraId="1B92F4FD" w14:textId="6C7258B1" w:rsidR="00385A93" w:rsidRPr="00F7132F" w:rsidRDefault="00385A93" w:rsidP="00F7132F">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1.572 </w:t>
            </w:r>
          </w:p>
        </w:tc>
      </w:tr>
      <w:tr w:rsidR="00385A93" w:rsidRPr="00116729" w14:paraId="46C2B1CF" w14:textId="77777777" w:rsidTr="007622F9">
        <w:trPr>
          <w:trHeight w:val="249"/>
        </w:trPr>
        <w:tc>
          <w:tcPr>
            <w:tcW w:w="5725" w:type="dxa"/>
            <w:tcBorders>
              <w:top w:val="nil"/>
              <w:left w:val="nil"/>
              <w:bottom w:val="nil"/>
              <w:right w:val="nil"/>
            </w:tcBorders>
            <w:shd w:val="clear" w:color="auto" w:fill="auto"/>
            <w:noWrap/>
            <w:vAlign w:val="bottom"/>
            <w:hideMark/>
          </w:tcPr>
          <w:p w14:paraId="333DA303" w14:textId="77777777" w:rsidR="00385A93" w:rsidRPr="00F7132F" w:rsidRDefault="00385A93" w:rsidP="00385A93">
            <w:pPr>
              <w:spacing w:after="0" w:line="240" w:lineRule="auto"/>
              <w:jc w:val="center"/>
              <w:rPr>
                <w:rFonts w:ascii="Verdana" w:eastAsia="Times New Roman" w:hAnsi="Verdana" w:cs="Calibri"/>
                <w:sz w:val="18"/>
                <w:szCs w:val="18"/>
                <w:lang w:eastAsia="pt-BR"/>
              </w:rPr>
            </w:pPr>
          </w:p>
        </w:tc>
        <w:tc>
          <w:tcPr>
            <w:tcW w:w="241" w:type="dxa"/>
            <w:tcBorders>
              <w:top w:val="nil"/>
              <w:left w:val="nil"/>
              <w:bottom w:val="nil"/>
              <w:right w:val="nil"/>
            </w:tcBorders>
            <w:shd w:val="clear" w:color="auto" w:fill="auto"/>
            <w:noWrap/>
            <w:vAlign w:val="bottom"/>
            <w:hideMark/>
          </w:tcPr>
          <w:p w14:paraId="5EA38653" w14:textId="77777777" w:rsidR="00385A93" w:rsidRPr="00116729" w:rsidRDefault="00385A93" w:rsidP="00385A93">
            <w:pPr>
              <w:spacing w:after="0" w:line="240" w:lineRule="auto"/>
              <w:rPr>
                <w:rFonts w:ascii="Times New Roman" w:eastAsia="Times New Roman" w:hAnsi="Times New Roman" w:cs="Times New Roman"/>
                <w:sz w:val="20"/>
                <w:szCs w:val="20"/>
                <w:lang w:eastAsia="pt-BR"/>
              </w:rPr>
            </w:pPr>
          </w:p>
        </w:tc>
        <w:tc>
          <w:tcPr>
            <w:tcW w:w="1547" w:type="dxa"/>
            <w:tcBorders>
              <w:top w:val="single" w:sz="4" w:space="0" w:color="auto"/>
              <w:left w:val="nil"/>
              <w:bottom w:val="double" w:sz="6" w:space="0" w:color="auto"/>
              <w:right w:val="nil"/>
            </w:tcBorders>
            <w:shd w:val="clear" w:color="auto" w:fill="auto"/>
            <w:noWrap/>
            <w:vAlign w:val="center"/>
            <w:hideMark/>
          </w:tcPr>
          <w:p w14:paraId="42650EFF" w14:textId="77777777" w:rsidR="00385A93" w:rsidRPr="00F7132F" w:rsidRDefault="00385A9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1.321 </w:t>
            </w:r>
          </w:p>
        </w:tc>
        <w:tc>
          <w:tcPr>
            <w:tcW w:w="238" w:type="dxa"/>
            <w:tcBorders>
              <w:top w:val="nil"/>
              <w:left w:val="nil"/>
              <w:bottom w:val="nil"/>
              <w:right w:val="nil"/>
            </w:tcBorders>
            <w:shd w:val="clear" w:color="auto" w:fill="auto"/>
            <w:noWrap/>
            <w:vAlign w:val="center"/>
            <w:hideMark/>
          </w:tcPr>
          <w:p w14:paraId="39FD153E" w14:textId="77777777" w:rsidR="00385A93" w:rsidRPr="00F7132F" w:rsidRDefault="00385A93">
            <w:pPr>
              <w:spacing w:after="0" w:line="240" w:lineRule="auto"/>
              <w:jc w:val="right"/>
              <w:rPr>
                <w:rFonts w:ascii="Verdana" w:eastAsia="Times New Roman" w:hAnsi="Verdana" w:cs="Calibri"/>
                <w:sz w:val="18"/>
                <w:szCs w:val="18"/>
                <w:lang w:eastAsia="pt-BR"/>
              </w:rPr>
            </w:pPr>
          </w:p>
        </w:tc>
        <w:tc>
          <w:tcPr>
            <w:tcW w:w="1605" w:type="dxa"/>
            <w:tcBorders>
              <w:top w:val="single" w:sz="4" w:space="0" w:color="auto"/>
              <w:left w:val="nil"/>
              <w:bottom w:val="double" w:sz="6" w:space="0" w:color="auto"/>
              <w:right w:val="nil"/>
            </w:tcBorders>
            <w:shd w:val="clear" w:color="auto" w:fill="auto"/>
            <w:noWrap/>
            <w:vAlign w:val="center"/>
            <w:hideMark/>
          </w:tcPr>
          <w:p w14:paraId="3D24C5BD" w14:textId="77777777" w:rsidR="00385A93" w:rsidRPr="00F7132F" w:rsidRDefault="00385A9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1.572 </w:t>
            </w:r>
          </w:p>
        </w:tc>
      </w:tr>
    </w:tbl>
    <w:p w14:paraId="5A3A4F6E" w14:textId="77777777" w:rsidR="002B1787" w:rsidRPr="00F7132F" w:rsidRDefault="005B6BD5" w:rsidP="00FE3E72">
      <w:pPr>
        <w:tabs>
          <w:tab w:val="left" w:pos="567"/>
          <w:tab w:val="left" w:pos="1134"/>
          <w:tab w:val="left" w:pos="1701"/>
          <w:tab w:val="left" w:pos="2268"/>
          <w:tab w:val="left" w:pos="2835"/>
        </w:tabs>
        <w:jc w:val="both"/>
        <w:outlineLvl w:val="0"/>
        <w:rPr>
          <w:rFonts w:ascii="Verdana" w:hAnsi="Verdana" w:cstheme="minorHAnsi"/>
          <w:b/>
        </w:rPr>
      </w:pPr>
      <w:r w:rsidRPr="00F7132F">
        <w:rPr>
          <w:rFonts w:ascii="Verdana" w:hAnsi="Verdana" w:cstheme="minorHAnsi"/>
          <w:b/>
        </w:rPr>
        <w:t xml:space="preserve">32 </w:t>
      </w:r>
      <w:r w:rsidR="002B1787" w:rsidRPr="00F7132F">
        <w:rPr>
          <w:rFonts w:ascii="Verdana" w:hAnsi="Verdana" w:cstheme="minorHAnsi"/>
          <w:b/>
        </w:rPr>
        <w:t>– SEGUROS</w:t>
      </w:r>
    </w:p>
    <w:p w14:paraId="0A060F79" w14:textId="77777777" w:rsidR="00B53E3D" w:rsidRPr="00116729" w:rsidRDefault="00B53E3D" w:rsidP="00FE3E72">
      <w:pPr>
        <w:jc w:val="both"/>
        <w:rPr>
          <w:rFonts w:ascii="Verdana" w:hAnsi="Verdana" w:cstheme="minorHAnsi"/>
        </w:rPr>
      </w:pPr>
      <w:r w:rsidRPr="00116729">
        <w:rPr>
          <w:rFonts w:ascii="Verdana" w:hAnsi="Verdana" w:cstheme="minorHAnsi"/>
        </w:rPr>
        <w:t xml:space="preserve">A Companhia e sua controlada mantém uma política de seguros considerada pela administração como suficiente para cobrir eventuais perdas, considerando os principais ativos, bem como a responsabilidade civil inerente a suas atividades. </w:t>
      </w:r>
    </w:p>
    <w:p w14:paraId="258C46A3" w14:textId="3DA8FFE1" w:rsidR="00B53E3D" w:rsidRPr="00116729" w:rsidRDefault="00B53E3D" w:rsidP="00FE3E72">
      <w:pPr>
        <w:jc w:val="both"/>
        <w:rPr>
          <w:rFonts w:ascii="Verdana" w:hAnsi="Verdana" w:cstheme="minorHAnsi"/>
        </w:rPr>
      </w:pPr>
      <w:r w:rsidRPr="00116729">
        <w:rPr>
          <w:rFonts w:ascii="Verdana" w:hAnsi="Verdana" w:cstheme="minorHAnsi"/>
        </w:rPr>
        <w:t>Os valores segurados referem-se ao total das apólices vigentes para reembolso em caso de sinistro, representados pela quantidade de moeda de origem convertida para reais, pela respectiva cotação na data das demonstrações financeiras</w:t>
      </w:r>
      <w:r w:rsidR="001857DF">
        <w:rPr>
          <w:rFonts w:ascii="Verdana" w:hAnsi="Verdana" w:cstheme="minorHAnsi"/>
        </w:rPr>
        <w:t xml:space="preserve"> intermediárias</w:t>
      </w:r>
      <w:r w:rsidRPr="00116729">
        <w:rPr>
          <w:rFonts w:ascii="Verdana" w:hAnsi="Verdana" w:cstheme="minorHAnsi"/>
        </w:rPr>
        <w:t>.</w:t>
      </w:r>
    </w:p>
    <w:p w14:paraId="117E9F1A" w14:textId="77777777" w:rsidR="00B53E3D" w:rsidRPr="00116729" w:rsidRDefault="00B53E3D" w:rsidP="00FE3E72">
      <w:pPr>
        <w:jc w:val="both"/>
        <w:rPr>
          <w:rFonts w:ascii="Verdana" w:hAnsi="Verdana" w:cstheme="minorHAnsi"/>
        </w:rPr>
      </w:pPr>
      <w:r w:rsidRPr="00116729">
        <w:rPr>
          <w:rFonts w:ascii="Verdana" w:hAnsi="Verdana" w:cstheme="minorHAnsi"/>
        </w:rPr>
        <w:t>Como prêmio, estão apresentados os valores pagos e a pagar das apólices, na moeda de origem, atualizados para equivalente em reais pela respectiva cotação na data das demonstrações financeiras.</w:t>
      </w:r>
    </w:p>
    <w:p w14:paraId="41AA71A7" w14:textId="77777777" w:rsidR="00E92581" w:rsidRPr="00116729" w:rsidRDefault="00B53E3D" w:rsidP="004A1E74">
      <w:pPr>
        <w:jc w:val="both"/>
        <w:rPr>
          <w:rFonts w:ascii="Verdana" w:hAnsi="Verdana" w:cstheme="minorHAnsi"/>
        </w:rPr>
      </w:pPr>
      <w:r w:rsidRPr="00116729">
        <w:rPr>
          <w:rFonts w:ascii="Verdana" w:hAnsi="Verdana" w:cstheme="minorHAnsi"/>
        </w:rPr>
        <w:t>Na controlada Eletronuclear, o montante global segurado em 30 de junho de 2022, é de R$33.544.782 e está assim distribuído:</w:t>
      </w:r>
    </w:p>
    <w:tbl>
      <w:tblPr>
        <w:tblW w:w="9188" w:type="dxa"/>
        <w:tblCellMar>
          <w:left w:w="70" w:type="dxa"/>
          <w:right w:w="70" w:type="dxa"/>
        </w:tblCellMar>
        <w:tblLook w:val="04A0" w:firstRow="1" w:lastRow="0" w:firstColumn="1" w:lastColumn="0" w:noHBand="0" w:noVBand="1"/>
      </w:tblPr>
      <w:tblGrid>
        <w:gridCol w:w="3405"/>
        <w:gridCol w:w="1561"/>
        <w:gridCol w:w="215"/>
        <w:gridCol w:w="1787"/>
        <w:gridCol w:w="219"/>
        <w:gridCol w:w="2001"/>
      </w:tblGrid>
      <w:tr w:rsidR="00A16901" w:rsidRPr="00A16901" w14:paraId="19096F78" w14:textId="77777777" w:rsidTr="00B63957">
        <w:trPr>
          <w:trHeight w:val="33"/>
        </w:trPr>
        <w:tc>
          <w:tcPr>
            <w:tcW w:w="3405" w:type="dxa"/>
            <w:tcBorders>
              <w:top w:val="nil"/>
              <w:left w:val="nil"/>
              <w:bottom w:val="nil"/>
              <w:right w:val="nil"/>
            </w:tcBorders>
            <w:shd w:val="clear" w:color="auto" w:fill="auto"/>
            <w:noWrap/>
            <w:vAlign w:val="bottom"/>
            <w:hideMark/>
          </w:tcPr>
          <w:p w14:paraId="42D6D8E7" w14:textId="77777777" w:rsidR="00A16901" w:rsidRPr="00A16901" w:rsidRDefault="00A16901" w:rsidP="00A16901">
            <w:pPr>
              <w:spacing w:after="0" w:line="240" w:lineRule="auto"/>
              <w:rPr>
                <w:rFonts w:ascii="Times New Roman" w:eastAsia="Times New Roman" w:hAnsi="Times New Roman" w:cs="Times New Roman"/>
                <w:sz w:val="16"/>
                <w:szCs w:val="24"/>
                <w:lang w:eastAsia="pt-BR"/>
              </w:rPr>
            </w:pPr>
          </w:p>
        </w:tc>
        <w:tc>
          <w:tcPr>
            <w:tcW w:w="1561" w:type="dxa"/>
            <w:tcBorders>
              <w:top w:val="single" w:sz="4" w:space="0" w:color="auto"/>
              <w:left w:val="nil"/>
              <w:bottom w:val="single" w:sz="4" w:space="0" w:color="auto"/>
              <w:right w:val="nil"/>
            </w:tcBorders>
            <w:shd w:val="clear" w:color="auto" w:fill="auto"/>
            <w:noWrap/>
            <w:vAlign w:val="center"/>
            <w:hideMark/>
          </w:tcPr>
          <w:p w14:paraId="474BE977" w14:textId="77777777" w:rsidR="00A16901" w:rsidRPr="00A16901" w:rsidRDefault="00A16901" w:rsidP="00A16901">
            <w:pPr>
              <w:spacing w:after="0" w:line="240" w:lineRule="auto"/>
              <w:jc w:val="center"/>
              <w:rPr>
                <w:rFonts w:ascii="Verdana" w:eastAsia="Times New Roman" w:hAnsi="Verdana" w:cs="Calibri"/>
                <w:b/>
                <w:bCs/>
                <w:sz w:val="16"/>
                <w:szCs w:val="18"/>
                <w:lang w:eastAsia="pt-BR"/>
              </w:rPr>
            </w:pPr>
            <w:r w:rsidRPr="00A16901">
              <w:rPr>
                <w:rFonts w:ascii="Verdana" w:eastAsia="Times New Roman" w:hAnsi="Verdana" w:cs="Calibri"/>
                <w:b/>
                <w:bCs/>
                <w:sz w:val="16"/>
                <w:szCs w:val="18"/>
                <w:lang w:eastAsia="pt-BR"/>
              </w:rPr>
              <w:t>Vigência</w:t>
            </w:r>
          </w:p>
        </w:tc>
        <w:tc>
          <w:tcPr>
            <w:tcW w:w="215" w:type="dxa"/>
            <w:tcBorders>
              <w:top w:val="nil"/>
              <w:left w:val="nil"/>
              <w:bottom w:val="nil"/>
              <w:right w:val="nil"/>
            </w:tcBorders>
            <w:shd w:val="clear" w:color="auto" w:fill="auto"/>
            <w:noWrap/>
            <w:vAlign w:val="center"/>
            <w:hideMark/>
          </w:tcPr>
          <w:p w14:paraId="46484203" w14:textId="77777777" w:rsidR="00A16901" w:rsidRPr="00A16901" w:rsidRDefault="00A16901" w:rsidP="00A16901">
            <w:pPr>
              <w:spacing w:after="0" w:line="240" w:lineRule="auto"/>
              <w:rPr>
                <w:rFonts w:ascii="Verdana" w:eastAsia="Times New Roman" w:hAnsi="Verdana" w:cs="Calibri"/>
                <w:b/>
                <w:bCs/>
                <w:sz w:val="16"/>
                <w:szCs w:val="18"/>
                <w:lang w:eastAsia="pt-BR"/>
              </w:rPr>
            </w:pPr>
          </w:p>
        </w:tc>
        <w:tc>
          <w:tcPr>
            <w:tcW w:w="1787" w:type="dxa"/>
            <w:tcBorders>
              <w:top w:val="single" w:sz="4" w:space="0" w:color="auto"/>
              <w:left w:val="nil"/>
              <w:bottom w:val="single" w:sz="4" w:space="0" w:color="auto"/>
              <w:right w:val="nil"/>
            </w:tcBorders>
            <w:shd w:val="clear" w:color="auto" w:fill="auto"/>
            <w:noWrap/>
            <w:vAlign w:val="center"/>
            <w:hideMark/>
          </w:tcPr>
          <w:p w14:paraId="5D194761" w14:textId="77777777" w:rsidR="00A16901" w:rsidRPr="00A16901" w:rsidRDefault="00A16901" w:rsidP="00A16901">
            <w:pPr>
              <w:spacing w:after="0" w:line="240" w:lineRule="auto"/>
              <w:rPr>
                <w:rFonts w:ascii="Verdana" w:eastAsia="Times New Roman" w:hAnsi="Verdana" w:cs="Calibri"/>
                <w:b/>
                <w:bCs/>
                <w:sz w:val="16"/>
                <w:szCs w:val="18"/>
                <w:lang w:eastAsia="pt-BR"/>
              </w:rPr>
            </w:pPr>
            <w:r w:rsidRPr="00A16901">
              <w:rPr>
                <w:rFonts w:ascii="Verdana" w:eastAsia="Times New Roman" w:hAnsi="Verdana" w:cs="Calibri"/>
                <w:b/>
                <w:bCs/>
                <w:sz w:val="16"/>
                <w:szCs w:val="18"/>
                <w:lang w:eastAsia="pt-BR"/>
              </w:rPr>
              <w:t>Valor Segurado</w:t>
            </w:r>
          </w:p>
        </w:tc>
        <w:tc>
          <w:tcPr>
            <w:tcW w:w="219" w:type="dxa"/>
            <w:tcBorders>
              <w:top w:val="nil"/>
              <w:left w:val="nil"/>
              <w:bottom w:val="nil"/>
              <w:right w:val="nil"/>
            </w:tcBorders>
            <w:shd w:val="clear" w:color="auto" w:fill="auto"/>
            <w:noWrap/>
            <w:vAlign w:val="center"/>
            <w:hideMark/>
          </w:tcPr>
          <w:p w14:paraId="2DD4295C" w14:textId="77777777" w:rsidR="00A16901" w:rsidRPr="00A16901" w:rsidRDefault="00A16901" w:rsidP="00A16901">
            <w:pPr>
              <w:spacing w:after="0" w:line="240" w:lineRule="auto"/>
              <w:rPr>
                <w:rFonts w:ascii="Verdana" w:eastAsia="Times New Roman" w:hAnsi="Verdana" w:cs="Calibri"/>
                <w:b/>
                <w:bCs/>
                <w:sz w:val="16"/>
                <w:szCs w:val="18"/>
                <w:lang w:eastAsia="pt-BR"/>
              </w:rPr>
            </w:pPr>
          </w:p>
        </w:tc>
        <w:tc>
          <w:tcPr>
            <w:tcW w:w="2001" w:type="dxa"/>
            <w:tcBorders>
              <w:top w:val="single" w:sz="4" w:space="0" w:color="auto"/>
              <w:left w:val="nil"/>
              <w:bottom w:val="single" w:sz="4" w:space="0" w:color="auto"/>
              <w:right w:val="nil"/>
            </w:tcBorders>
            <w:shd w:val="clear" w:color="auto" w:fill="auto"/>
            <w:noWrap/>
            <w:vAlign w:val="center"/>
            <w:hideMark/>
          </w:tcPr>
          <w:p w14:paraId="3F436F16" w14:textId="77777777" w:rsidR="00A16901" w:rsidRPr="00A16901" w:rsidRDefault="00A16901" w:rsidP="00A16901">
            <w:pPr>
              <w:spacing w:after="0" w:line="240" w:lineRule="auto"/>
              <w:rPr>
                <w:rFonts w:ascii="Verdana" w:eastAsia="Times New Roman" w:hAnsi="Verdana" w:cs="Calibri"/>
                <w:b/>
                <w:bCs/>
                <w:sz w:val="16"/>
                <w:szCs w:val="18"/>
                <w:lang w:eastAsia="pt-BR"/>
              </w:rPr>
            </w:pPr>
            <w:r w:rsidRPr="00A16901">
              <w:rPr>
                <w:rFonts w:ascii="Verdana" w:eastAsia="Times New Roman" w:hAnsi="Verdana" w:cs="Calibri"/>
                <w:b/>
                <w:bCs/>
                <w:sz w:val="16"/>
                <w:szCs w:val="18"/>
                <w:lang w:eastAsia="pt-BR"/>
              </w:rPr>
              <w:t>Prêmio Equivalente</w:t>
            </w:r>
          </w:p>
        </w:tc>
      </w:tr>
      <w:tr w:rsidR="00A16901" w:rsidRPr="00D61BDA" w14:paraId="3825B2B2" w14:textId="77777777" w:rsidTr="00B63957">
        <w:trPr>
          <w:trHeight w:val="33"/>
        </w:trPr>
        <w:tc>
          <w:tcPr>
            <w:tcW w:w="3405" w:type="dxa"/>
            <w:tcBorders>
              <w:top w:val="nil"/>
              <w:left w:val="nil"/>
              <w:bottom w:val="nil"/>
              <w:right w:val="nil"/>
            </w:tcBorders>
            <w:shd w:val="clear" w:color="auto" w:fill="auto"/>
            <w:noWrap/>
            <w:vAlign w:val="bottom"/>
            <w:hideMark/>
          </w:tcPr>
          <w:p w14:paraId="1A060538" w14:textId="77777777" w:rsidR="00A16901" w:rsidRPr="00D61BDA" w:rsidRDefault="00A16901" w:rsidP="00A16901">
            <w:pPr>
              <w:spacing w:after="0" w:line="240" w:lineRule="auto"/>
              <w:rPr>
                <w:rFonts w:ascii="Verdana" w:eastAsia="Times New Roman" w:hAnsi="Verdana" w:cs="Calibri"/>
                <w:b/>
                <w:bCs/>
                <w:sz w:val="12"/>
                <w:szCs w:val="12"/>
                <w:lang w:eastAsia="pt-BR"/>
              </w:rPr>
            </w:pPr>
          </w:p>
        </w:tc>
        <w:tc>
          <w:tcPr>
            <w:tcW w:w="1561" w:type="dxa"/>
            <w:tcBorders>
              <w:top w:val="nil"/>
              <w:left w:val="nil"/>
              <w:bottom w:val="nil"/>
              <w:right w:val="nil"/>
            </w:tcBorders>
            <w:shd w:val="clear" w:color="auto" w:fill="auto"/>
            <w:noWrap/>
            <w:vAlign w:val="bottom"/>
            <w:hideMark/>
          </w:tcPr>
          <w:p w14:paraId="7402F8C7" w14:textId="77777777" w:rsidR="00A16901" w:rsidRPr="00D61BDA" w:rsidRDefault="00A16901" w:rsidP="00A16901">
            <w:pPr>
              <w:spacing w:after="0" w:line="240" w:lineRule="auto"/>
              <w:jc w:val="center"/>
              <w:rPr>
                <w:rFonts w:ascii="Times New Roman" w:eastAsia="Times New Roman" w:hAnsi="Times New Roman" w:cs="Times New Roman"/>
                <w:sz w:val="12"/>
                <w:szCs w:val="12"/>
                <w:lang w:eastAsia="pt-BR"/>
              </w:rPr>
            </w:pPr>
          </w:p>
        </w:tc>
        <w:tc>
          <w:tcPr>
            <w:tcW w:w="215" w:type="dxa"/>
            <w:tcBorders>
              <w:top w:val="nil"/>
              <w:left w:val="nil"/>
              <w:bottom w:val="nil"/>
              <w:right w:val="nil"/>
            </w:tcBorders>
            <w:shd w:val="clear" w:color="auto" w:fill="auto"/>
            <w:noWrap/>
            <w:vAlign w:val="bottom"/>
            <w:hideMark/>
          </w:tcPr>
          <w:p w14:paraId="310ED66A" w14:textId="77777777" w:rsidR="00A16901" w:rsidRPr="00D61BDA" w:rsidRDefault="00A16901" w:rsidP="00A16901">
            <w:pPr>
              <w:spacing w:after="0" w:line="240" w:lineRule="auto"/>
              <w:rPr>
                <w:rFonts w:ascii="Times New Roman" w:eastAsia="Times New Roman" w:hAnsi="Times New Roman" w:cs="Times New Roman"/>
                <w:sz w:val="12"/>
                <w:szCs w:val="12"/>
                <w:lang w:eastAsia="pt-BR"/>
              </w:rPr>
            </w:pPr>
          </w:p>
        </w:tc>
        <w:tc>
          <w:tcPr>
            <w:tcW w:w="1787" w:type="dxa"/>
            <w:tcBorders>
              <w:top w:val="nil"/>
              <w:left w:val="nil"/>
              <w:bottom w:val="nil"/>
              <w:right w:val="nil"/>
            </w:tcBorders>
            <w:shd w:val="clear" w:color="auto" w:fill="auto"/>
            <w:noWrap/>
            <w:vAlign w:val="bottom"/>
            <w:hideMark/>
          </w:tcPr>
          <w:p w14:paraId="21447E8C" w14:textId="77777777" w:rsidR="00A16901" w:rsidRPr="00D61BDA" w:rsidRDefault="00A16901" w:rsidP="00A16901">
            <w:pPr>
              <w:spacing w:after="0" w:line="240" w:lineRule="auto"/>
              <w:rPr>
                <w:rFonts w:ascii="Times New Roman" w:eastAsia="Times New Roman" w:hAnsi="Times New Roman" w:cs="Times New Roman"/>
                <w:sz w:val="12"/>
                <w:szCs w:val="12"/>
                <w:lang w:eastAsia="pt-BR"/>
              </w:rPr>
            </w:pPr>
          </w:p>
        </w:tc>
        <w:tc>
          <w:tcPr>
            <w:tcW w:w="219" w:type="dxa"/>
            <w:tcBorders>
              <w:top w:val="nil"/>
              <w:left w:val="nil"/>
              <w:bottom w:val="nil"/>
              <w:right w:val="nil"/>
            </w:tcBorders>
            <w:shd w:val="clear" w:color="auto" w:fill="auto"/>
            <w:noWrap/>
            <w:vAlign w:val="bottom"/>
            <w:hideMark/>
          </w:tcPr>
          <w:p w14:paraId="5BB772C3" w14:textId="77777777" w:rsidR="00A16901" w:rsidRPr="00D61BDA" w:rsidRDefault="00A16901" w:rsidP="00A16901">
            <w:pPr>
              <w:spacing w:after="0" w:line="240" w:lineRule="auto"/>
              <w:rPr>
                <w:rFonts w:ascii="Times New Roman" w:eastAsia="Times New Roman" w:hAnsi="Times New Roman" w:cs="Times New Roman"/>
                <w:sz w:val="12"/>
                <w:szCs w:val="12"/>
                <w:lang w:eastAsia="pt-BR"/>
              </w:rPr>
            </w:pPr>
          </w:p>
        </w:tc>
        <w:tc>
          <w:tcPr>
            <w:tcW w:w="2001" w:type="dxa"/>
            <w:tcBorders>
              <w:top w:val="nil"/>
              <w:left w:val="nil"/>
              <w:bottom w:val="nil"/>
              <w:right w:val="nil"/>
            </w:tcBorders>
            <w:shd w:val="clear" w:color="auto" w:fill="auto"/>
            <w:noWrap/>
            <w:vAlign w:val="bottom"/>
            <w:hideMark/>
          </w:tcPr>
          <w:p w14:paraId="27BA7BA2" w14:textId="77777777" w:rsidR="00A16901" w:rsidRPr="00D61BDA" w:rsidRDefault="00A16901" w:rsidP="00A16901">
            <w:pPr>
              <w:spacing w:after="0" w:line="240" w:lineRule="auto"/>
              <w:rPr>
                <w:rFonts w:ascii="Times New Roman" w:eastAsia="Times New Roman" w:hAnsi="Times New Roman" w:cs="Times New Roman"/>
                <w:sz w:val="12"/>
                <w:szCs w:val="12"/>
                <w:lang w:eastAsia="pt-BR"/>
              </w:rPr>
            </w:pPr>
          </w:p>
        </w:tc>
      </w:tr>
      <w:tr w:rsidR="00A16901" w:rsidRPr="00A16901" w14:paraId="58EF6CAF" w14:textId="77777777" w:rsidTr="00B63957">
        <w:trPr>
          <w:trHeight w:val="33"/>
        </w:trPr>
        <w:tc>
          <w:tcPr>
            <w:tcW w:w="3405" w:type="dxa"/>
            <w:tcBorders>
              <w:top w:val="nil"/>
              <w:left w:val="nil"/>
              <w:bottom w:val="nil"/>
              <w:right w:val="nil"/>
            </w:tcBorders>
            <w:shd w:val="clear" w:color="auto" w:fill="auto"/>
            <w:noWrap/>
            <w:vAlign w:val="bottom"/>
            <w:hideMark/>
          </w:tcPr>
          <w:p w14:paraId="19451D06" w14:textId="77777777" w:rsidR="00A16901" w:rsidRPr="00A16901" w:rsidRDefault="00A16901" w:rsidP="00A16901">
            <w:pPr>
              <w:spacing w:after="0" w:line="240" w:lineRule="auto"/>
              <w:rPr>
                <w:rFonts w:ascii="Verdana" w:eastAsia="Times New Roman" w:hAnsi="Verdana" w:cs="Calibri"/>
                <w:b/>
                <w:bCs/>
                <w:sz w:val="16"/>
                <w:szCs w:val="18"/>
                <w:lang w:eastAsia="pt-BR"/>
              </w:rPr>
            </w:pPr>
            <w:r w:rsidRPr="00A16901">
              <w:rPr>
                <w:rFonts w:ascii="Verdana" w:eastAsia="Times New Roman" w:hAnsi="Verdana" w:cs="Calibri"/>
                <w:b/>
                <w:bCs/>
                <w:sz w:val="16"/>
                <w:szCs w:val="18"/>
                <w:lang w:eastAsia="pt-BR"/>
              </w:rPr>
              <w:t>Riscos nucleares:</w:t>
            </w:r>
          </w:p>
        </w:tc>
        <w:tc>
          <w:tcPr>
            <w:tcW w:w="1561" w:type="dxa"/>
            <w:tcBorders>
              <w:top w:val="nil"/>
              <w:left w:val="nil"/>
              <w:bottom w:val="nil"/>
              <w:right w:val="nil"/>
            </w:tcBorders>
            <w:shd w:val="clear" w:color="auto" w:fill="auto"/>
            <w:noWrap/>
            <w:vAlign w:val="bottom"/>
            <w:hideMark/>
          </w:tcPr>
          <w:p w14:paraId="0B77382A" w14:textId="77777777" w:rsidR="00A16901" w:rsidRPr="00667591" w:rsidRDefault="00A16901" w:rsidP="00A16901">
            <w:pPr>
              <w:spacing w:after="0" w:line="240" w:lineRule="auto"/>
              <w:jc w:val="center"/>
              <w:rPr>
                <w:rFonts w:ascii="Verdana" w:eastAsia="Times New Roman" w:hAnsi="Verdana" w:cs="Calibri"/>
                <w:b/>
                <w:bCs/>
                <w:sz w:val="15"/>
                <w:szCs w:val="15"/>
                <w:lang w:eastAsia="pt-BR"/>
              </w:rPr>
            </w:pPr>
            <w:r w:rsidRPr="00667591">
              <w:rPr>
                <w:rFonts w:ascii="Verdana" w:eastAsia="Times New Roman" w:hAnsi="Verdana" w:cs="Calibri"/>
                <w:b/>
                <w:bCs/>
                <w:sz w:val="15"/>
                <w:szCs w:val="15"/>
                <w:lang w:eastAsia="pt-BR"/>
              </w:rPr>
              <w:t>31/10/2022</w:t>
            </w:r>
          </w:p>
        </w:tc>
        <w:tc>
          <w:tcPr>
            <w:tcW w:w="215" w:type="dxa"/>
            <w:tcBorders>
              <w:top w:val="nil"/>
              <w:left w:val="nil"/>
              <w:bottom w:val="nil"/>
              <w:right w:val="nil"/>
            </w:tcBorders>
            <w:shd w:val="clear" w:color="auto" w:fill="auto"/>
            <w:noWrap/>
            <w:vAlign w:val="bottom"/>
            <w:hideMark/>
          </w:tcPr>
          <w:p w14:paraId="77B25395" w14:textId="77777777" w:rsidR="00A16901" w:rsidRPr="00A16901" w:rsidRDefault="00A16901" w:rsidP="00A16901">
            <w:pPr>
              <w:spacing w:after="0" w:line="240" w:lineRule="auto"/>
              <w:jc w:val="right"/>
              <w:rPr>
                <w:rFonts w:ascii="Verdana" w:eastAsia="Times New Roman" w:hAnsi="Verdana" w:cs="Calibri"/>
                <w:b/>
                <w:bCs/>
                <w:sz w:val="16"/>
                <w:szCs w:val="18"/>
                <w:lang w:eastAsia="pt-BR"/>
              </w:rPr>
            </w:pPr>
          </w:p>
        </w:tc>
        <w:tc>
          <w:tcPr>
            <w:tcW w:w="1787" w:type="dxa"/>
            <w:tcBorders>
              <w:top w:val="single" w:sz="4" w:space="0" w:color="auto"/>
              <w:left w:val="nil"/>
              <w:bottom w:val="single" w:sz="4" w:space="0" w:color="auto"/>
              <w:right w:val="nil"/>
            </w:tcBorders>
            <w:shd w:val="clear" w:color="auto" w:fill="auto"/>
            <w:noWrap/>
            <w:vAlign w:val="bottom"/>
            <w:hideMark/>
          </w:tcPr>
          <w:p w14:paraId="0F3D8167" w14:textId="77777777" w:rsidR="00A16901" w:rsidRPr="00A16901" w:rsidRDefault="00A16901" w:rsidP="00A16901">
            <w:pPr>
              <w:spacing w:after="0" w:line="240" w:lineRule="auto"/>
              <w:rPr>
                <w:rFonts w:ascii="Verdana" w:eastAsia="Times New Roman" w:hAnsi="Verdana" w:cs="Calibri"/>
                <w:b/>
                <w:bCs/>
                <w:sz w:val="16"/>
                <w:szCs w:val="18"/>
                <w:lang w:eastAsia="pt-BR"/>
              </w:rPr>
            </w:pPr>
            <w:r w:rsidRPr="00A16901">
              <w:rPr>
                <w:rFonts w:ascii="Verdana" w:eastAsia="Times New Roman" w:hAnsi="Verdana" w:cs="Calibri"/>
                <w:b/>
                <w:bCs/>
                <w:sz w:val="16"/>
                <w:szCs w:val="18"/>
                <w:lang w:eastAsia="pt-BR"/>
              </w:rPr>
              <w:t xml:space="preserve">        20.930.000 </w:t>
            </w:r>
          </w:p>
        </w:tc>
        <w:tc>
          <w:tcPr>
            <w:tcW w:w="219" w:type="dxa"/>
            <w:tcBorders>
              <w:top w:val="nil"/>
              <w:left w:val="nil"/>
              <w:bottom w:val="nil"/>
              <w:right w:val="nil"/>
            </w:tcBorders>
            <w:shd w:val="clear" w:color="auto" w:fill="auto"/>
            <w:noWrap/>
            <w:vAlign w:val="bottom"/>
            <w:hideMark/>
          </w:tcPr>
          <w:p w14:paraId="459A1313" w14:textId="77777777" w:rsidR="00A16901" w:rsidRPr="00A16901" w:rsidRDefault="00A16901" w:rsidP="00A16901">
            <w:pPr>
              <w:spacing w:after="0" w:line="240" w:lineRule="auto"/>
              <w:rPr>
                <w:rFonts w:ascii="Verdana" w:eastAsia="Times New Roman" w:hAnsi="Verdana" w:cs="Calibri"/>
                <w:b/>
                <w:bCs/>
                <w:sz w:val="16"/>
                <w:szCs w:val="18"/>
                <w:lang w:eastAsia="pt-BR"/>
              </w:rPr>
            </w:pPr>
          </w:p>
        </w:tc>
        <w:tc>
          <w:tcPr>
            <w:tcW w:w="2001" w:type="dxa"/>
            <w:tcBorders>
              <w:top w:val="single" w:sz="4" w:space="0" w:color="auto"/>
              <w:left w:val="nil"/>
              <w:bottom w:val="single" w:sz="4" w:space="0" w:color="auto"/>
              <w:right w:val="nil"/>
            </w:tcBorders>
            <w:shd w:val="clear" w:color="auto" w:fill="auto"/>
            <w:noWrap/>
            <w:vAlign w:val="bottom"/>
            <w:hideMark/>
          </w:tcPr>
          <w:p w14:paraId="42DAA4C2" w14:textId="77777777" w:rsidR="00A16901" w:rsidRPr="00A16901" w:rsidRDefault="00A16901" w:rsidP="00A16901">
            <w:pPr>
              <w:spacing w:after="0" w:line="240" w:lineRule="auto"/>
              <w:rPr>
                <w:rFonts w:ascii="Verdana" w:eastAsia="Times New Roman" w:hAnsi="Verdana" w:cs="Calibri"/>
                <w:b/>
                <w:bCs/>
                <w:sz w:val="16"/>
                <w:szCs w:val="18"/>
                <w:lang w:eastAsia="pt-BR"/>
              </w:rPr>
            </w:pPr>
            <w:r w:rsidRPr="00A16901">
              <w:rPr>
                <w:rFonts w:ascii="Verdana" w:eastAsia="Times New Roman" w:hAnsi="Verdana" w:cs="Calibri"/>
                <w:b/>
                <w:bCs/>
                <w:sz w:val="16"/>
                <w:szCs w:val="18"/>
                <w:lang w:eastAsia="pt-BR"/>
              </w:rPr>
              <w:t xml:space="preserve">                  30.119 </w:t>
            </w:r>
          </w:p>
        </w:tc>
      </w:tr>
      <w:tr w:rsidR="00A16901" w:rsidRPr="00A16901" w14:paraId="6790E0C4" w14:textId="77777777" w:rsidTr="00B63957">
        <w:trPr>
          <w:trHeight w:val="33"/>
        </w:trPr>
        <w:tc>
          <w:tcPr>
            <w:tcW w:w="3405" w:type="dxa"/>
            <w:tcBorders>
              <w:top w:val="nil"/>
              <w:left w:val="nil"/>
              <w:bottom w:val="nil"/>
              <w:right w:val="nil"/>
            </w:tcBorders>
            <w:shd w:val="clear" w:color="auto" w:fill="auto"/>
            <w:noWrap/>
            <w:vAlign w:val="bottom"/>
            <w:hideMark/>
          </w:tcPr>
          <w:p w14:paraId="742956FA" w14:textId="77777777" w:rsidR="00A16901" w:rsidRPr="00A16901" w:rsidRDefault="00A16901" w:rsidP="00A16901">
            <w:pPr>
              <w:spacing w:after="0" w:line="240" w:lineRule="auto"/>
              <w:ind w:firstLineChars="100" w:firstLine="160"/>
              <w:rPr>
                <w:rFonts w:ascii="Verdana" w:eastAsia="Times New Roman" w:hAnsi="Verdana" w:cs="Calibri"/>
                <w:sz w:val="16"/>
                <w:szCs w:val="18"/>
                <w:lang w:eastAsia="pt-BR"/>
              </w:rPr>
            </w:pPr>
            <w:r w:rsidRPr="00A16901">
              <w:rPr>
                <w:rFonts w:ascii="Verdana" w:eastAsia="Times New Roman" w:hAnsi="Verdana" w:cs="Calibri"/>
                <w:sz w:val="16"/>
                <w:szCs w:val="18"/>
                <w:lang w:eastAsia="pt-BR"/>
              </w:rPr>
              <w:t>Danos materiais</w:t>
            </w:r>
          </w:p>
        </w:tc>
        <w:tc>
          <w:tcPr>
            <w:tcW w:w="1561" w:type="dxa"/>
            <w:tcBorders>
              <w:top w:val="nil"/>
              <w:left w:val="nil"/>
              <w:bottom w:val="nil"/>
              <w:right w:val="nil"/>
            </w:tcBorders>
            <w:shd w:val="clear" w:color="auto" w:fill="auto"/>
            <w:noWrap/>
            <w:vAlign w:val="bottom"/>
            <w:hideMark/>
          </w:tcPr>
          <w:p w14:paraId="70FABA1D" w14:textId="77777777" w:rsidR="00A16901" w:rsidRPr="00667591" w:rsidRDefault="00A16901" w:rsidP="00A16901">
            <w:pPr>
              <w:spacing w:after="0" w:line="240" w:lineRule="auto"/>
              <w:ind w:firstLineChars="100" w:firstLine="150"/>
              <w:jc w:val="center"/>
              <w:rPr>
                <w:rFonts w:ascii="Verdana" w:eastAsia="Times New Roman" w:hAnsi="Verdana" w:cs="Calibri"/>
                <w:sz w:val="15"/>
                <w:szCs w:val="15"/>
                <w:lang w:eastAsia="pt-BR"/>
              </w:rPr>
            </w:pPr>
          </w:p>
        </w:tc>
        <w:tc>
          <w:tcPr>
            <w:tcW w:w="215" w:type="dxa"/>
            <w:tcBorders>
              <w:top w:val="nil"/>
              <w:left w:val="nil"/>
              <w:bottom w:val="nil"/>
              <w:right w:val="nil"/>
            </w:tcBorders>
            <w:shd w:val="clear" w:color="auto" w:fill="auto"/>
            <w:noWrap/>
            <w:vAlign w:val="bottom"/>
            <w:hideMark/>
          </w:tcPr>
          <w:p w14:paraId="5DC2F021" w14:textId="77777777" w:rsidR="00A16901" w:rsidRPr="00A16901" w:rsidRDefault="00A16901" w:rsidP="00A16901">
            <w:pPr>
              <w:spacing w:after="0" w:line="240" w:lineRule="auto"/>
              <w:rPr>
                <w:rFonts w:ascii="Times New Roman" w:eastAsia="Times New Roman" w:hAnsi="Times New Roman" w:cs="Times New Roman"/>
                <w:sz w:val="16"/>
                <w:szCs w:val="20"/>
                <w:lang w:eastAsia="pt-BR"/>
              </w:rPr>
            </w:pPr>
          </w:p>
        </w:tc>
        <w:tc>
          <w:tcPr>
            <w:tcW w:w="1787" w:type="dxa"/>
            <w:tcBorders>
              <w:top w:val="nil"/>
              <w:left w:val="nil"/>
              <w:bottom w:val="nil"/>
              <w:right w:val="nil"/>
            </w:tcBorders>
            <w:shd w:val="clear" w:color="auto" w:fill="auto"/>
            <w:noWrap/>
            <w:vAlign w:val="bottom"/>
            <w:hideMark/>
          </w:tcPr>
          <w:p w14:paraId="1A831D19" w14:textId="77777777" w:rsidR="00A16901" w:rsidRPr="00A16901" w:rsidRDefault="00A16901" w:rsidP="00A16901">
            <w:pPr>
              <w:spacing w:after="0" w:line="240" w:lineRule="auto"/>
              <w:rPr>
                <w:rFonts w:ascii="Verdana" w:eastAsia="Times New Roman" w:hAnsi="Verdana" w:cs="Calibri"/>
                <w:sz w:val="16"/>
                <w:szCs w:val="18"/>
                <w:lang w:eastAsia="pt-BR"/>
              </w:rPr>
            </w:pPr>
            <w:r w:rsidRPr="00A16901">
              <w:rPr>
                <w:rFonts w:ascii="Verdana" w:eastAsia="Times New Roman" w:hAnsi="Verdana" w:cs="Calibri"/>
                <w:sz w:val="16"/>
                <w:szCs w:val="18"/>
                <w:lang w:eastAsia="pt-BR"/>
              </w:rPr>
              <w:t xml:space="preserve">          19.118.700 </w:t>
            </w:r>
          </w:p>
        </w:tc>
        <w:tc>
          <w:tcPr>
            <w:tcW w:w="219" w:type="dxa"/>
            <w:tcBorders>
              <w:top w:val="nil"/>
              <w:left w:val="nil"/>
              <w:bottom w:val="nil"/>
              <w:right w:val="nil"/>
            </w:tcBorders>
            <w:shd w:val="clear" w:color="auto" w:fill="auto"/>
            <w:noWrap/>
            <w:vAlign w:val="bottom"/>
            <w:hideMark/>
          </w:tcPr>
          <w:p w14:paraId="33000C45" w14:textId="77777777" w:rsidR="00A16901" w:rsidRPr="00A16901" w:rsidRDefault="00A16901" w:rsidP="00A16901">
            <w:pPr>
              <w:spacing w:after="0" w:line="240" w:lineRule="auto"/>
              <w:rPr>
                <w:rFonts w:ascii="Verdana" w:eastAsia="Times New Roman" w:hAnsi="Verdana" w:cs="Calibri"/>
                <w:sz w:val="16"/>
                <w:szCs w:val="18"/>
                <w:lang w:eastAsia="pt-BR"/>
              </w:rPr>
            </w:pPr>
          </w:p>
        </w:tc>
        <w:tc>
          <w:tcPr>
            <w:tcW w:w="2001" w:type="dxa"/>
            <w:tcBorders>
              <w:top w:val="nil"/>
              <w:left w:val="nil"/>
              <w:bottom w:val="nil"/>
              <w:right w:val="nil"/>
            </w:tcBorders>
            <w:shd w:val="clear" w:color="auto" w:fill="auto"/>
            <w:noWrap/>
            <w:vAlign w:val="bottom"/>
            <w:hideMark/>
          </w:tcPr>
          <w:p w14:paraId="23E371C9" w14:textId="77777777" w:rsidR="00A16901" w:rsidRPr="00A16901" w:rsidRDefault="00A16901" w:rsidP="00A16901">
            <w:pPr>
              <w:spacing w:after="0" w:line="240" w:lineRule="auto"/>
              <w:rPr>
                <w:rFonts w:ascii="Verdana" w:eastAsia="Times New Roman" w:hAnsi="Verdana" w:cs="Calibri"/>
                <w:sz w:val="16"/>
                <w:szCs w:val="18"/>
                <w:lang w:eastAsia="pt-BR"/>
              </w:rPr>
            </w:pPr>
            <w:r w:rsidRPr="00A16901">
              <w:rPr>
                <w:rFonts w:ascii="Verdana" w:eastAsia="Times New Roman" w:hAnsi="Verdana" w:cs="Calibri"/>
                <w:sz w:val="16"/>
                <w:szCs w:val="18"/>
                <w:lang w:eastAsia="pt-BR"/>
              </w:rPr>
              <w:t xml:space="preserve">                   21.979 </w:t>
            </w:r>
          </w:p>
        </w:tc>
      </w:tr>
      <w:tr w:rsidR="00A16901" w:rsidRPr="00A16901" w14:paraId="20580F64" w14:textId="77777777" w:rsidTr="00B63957">
        <w:trPr>
          <w:trHeight w:val="33"/>
        </w:trPr>
        <w:tc>
          <w:tcPr>
            <w:tcW w:w="3405" w:type="dxa"/>
            <w:tcBorders>
              <w:top w:val="nil"/>
              <w:left w:val="nil"/>
              <w:bottom w:val="nil"/>
              <w:right w:val="nil"/>
            </w:tcBorders>
            <w:shd w:val="clear" w:color="auto" w:fill="auto"/>
            <w:noWrap/>
            <w:vAlign w:val="bottom"/>
            <w:hideMark/>
          </w:tcPr>
          <w:p w14:paraId="3C0BBA9C" w14:textId="77777777" w:rsidR="00A16901" w:rsidRPr="00A16901" w:rsidRDefault="00A16901" w:rsidP="00A16901">
            <w:pPr>
              <w:spacing w:after="0" w:line="240" w:lineRule="auto"/>
              <w:ind w:firstLineChars="100" w:firstLine="160"/>
              <w:rPr>
                <w:rFonts w:ascii="Verdana" w:eastAsia="Times New Roman" w:hAnsi="Verdana" w:cs="Calibri"/>
                <w:sz w:val="16"/>
                <w:szCs w:val="18"/>
                <w:lang w:eastAsia="pt-BR"/>
              </w:rPr>
            </w:pPr>
            <w:r w:rsidRPr="00A16901">
              <w:rPr>
                <w:rFonts w:ascii="Verdana" w:eastAsia="Times New Roman" w:hAnsi="Verdana" w:cs="Calibri"/>
                <w:sz w:val="16"/>
                <w:szCs w:val="18"/>
                <w:lang w:eastAsia="pt-BR"/>
              </w:rPr>
              <w:t>Responsabilidade civil</w:t>
            </w:r>
          </w:p>
        </w:tc>
        <w:tc>
          <w:tcPr>
            <w:tcW w:w="1561" w:type="dxa"/>
            <w:tcBorders>
              <w:top w:val="nil"/>
              <w:left w:val="nil"/>
              <w:bottom w:val="nil"/>
              <w:right w:val="nil"/>
            </w:tcBorders>
            <w:shd w:val="clear" w:color="auto" w:fill="auto"/>
            <w:noWrap/>
            <w:vAlign w:val="bottom"/>
            <w:hideMark/>
          </w:tcPr>
          <w:p w14:paraId="2902D2BB" w14:textId="77777777" w:rsidR="00A16901" w:rsidRPr="00667591" w:rsidRDefault="00A16901" w:rsidP="00A16901">
            <w:pPr>
              <w:spacing w:after="0" w:line="240" w:lineRule="auto"/>
              <w:ind w:firstLineChars="100" w:firstLine="150"/>
              <w:jc w:val="center"/>
              <w:rPr>
                <w:rFonts w:ascii="Verdana" w:eastAsia="Times New Roman" w:hAnsi="Verdana" w:cs="Calibri"/>
                <w:sz w:val="15"/>
                <w:szCs w:val="15"/>
                <w:lang w:eastAsia="pt-BR"/>
              </w:rPr>
            </w:pPr>
          </w:p>
        </w:tc>
        <w:tc>
          <w:tcPr>
            <w:tcW w:w="215" w:type="dxa"/>
            <w:tcBorders>
              <w:top w:val="nil"/>
              <w:left w:val="nil"/>
              <w:bottom w:val="nil"/>
              <w:right w:val="nil"/>
            </w:tcBorders>
            <w:shd w:val="clear" w:color="auto" w:fill="auto"/>
            <w:noWrap/>
            <w:vAlign w:val="bottom"/>
            <w:hideMark/>
          </w:tcPr>
          <w:p w14:paraId="6C5B2486" w14:textId="77777777" w:rsidR="00A16901" w:rsidRPr="00A16901" w:rsidRDefault="00A16901" w:rsidP="00A16901">
            <w:pPr>
              <w:spacing w:after="0" w:line="240" w:lineRule="auto"/>
              <w:rPr>
                <w:rFonts w:ascii="Times New Roman" w:eastAsia="Times New Roman" w:hAnsi="Times New Roman" w:cs="Times New Roman"/>
                <w:sz w:val="16"/>
                <w:szCs w:val="20"/>
                <w:lang w:eastAsia="pt-BR"/>
              </w:rPr>
            </w:pPr>
          </w:p>
        </w:tc>
        <w:tc>
          <w:tcPr>
            <w:tcW w:w="1787" w:type="dxa"/>
            <w:tcBorders>
              <w:top w:val="nil"/>
              <w:left w:val="nil"/>
              <w:bottom w:val="nil"/>
              <w:right w:val="nil"/>
            </w:tcBorders>
            <w:shd w:val="clear" w:color="auto" w:fill="auto"/>
            <w:noWrap/>
            <w:vAlign w:val="bottom"/>
            <w:hideMark/>
          </w:tcPr>
          <w:p w14:paraId="7F952BA7" w14:textId="77777777" w:rsidR="00A16901" w:rsidRPr="00A16901" w:rsidRDefault="00A16901" w:rsidP="00A16901">
            <w:pPr>
              <w:spacing w:after="0" w:line="240" w:lineRule="auto"/>
              <w:rPr>
                <w:rFonts w:ascii="Verdana" w:eastAsia="Times New Roman" w:hAnsi="Verdana" w:cs="Calibri"/>
                <w:sz w:val="16"/>
                <w:szCs w:val="18"/>
                <w:lang w:eastAsia="pt-BR"/>
              </w:rPr>
            </w:pPr>
            <w:r w:rsidRPr="00A16901">
              <w:rPr>
                <w:rFonts w:ascii="Verdana" w:eastAsia="Times New Roman" w:hAnsi="Verdana" w:cs="Calibri"/>
                <w:sz w:val="16"/>
                <w:szCs w:val="18"/>
                <w:lang w:eastAsia="pt-BR"/>
              </w:rPr>
              <w:t xml:space="preserve">            1.811.300 </w:t>
            </w:r>
          </w:p>
        </w:tc>
        <w:tc>
          <w:tcPr>
            <w:tcW w:w="219" w:type="dxa"/>
            <w:tcBorders>
              <w:top w:val="nil"/>
              <w:left w:val="nil"/>
              <w:bottom w:val="nil"/>
              <w:right w:val="nil"/>
            </w:tcBorders>
            <w:shd w:val="clear" w:color="auto" w:fill="auto"/>
            <w:noWrap/>
            <w:vAlign w:val="bottom"/>
            <w:hideMark/>
          </w:tcPr>
          <w:p w14:paraId="18B892FE" w14:textId="77777777" w:rsidR="00A16901" w:rsidRPr="00A16901" w:rsidRDefault="00A16901" w:rsidP="00A16901">
            <w:pPr>
              <w:spacing w:after="0" w:line="240" w:lineRule="auto"/>
              <w:rPr>
                <w:rFonts w:ascii="Verdana" w:eastAsia="Times New Roman" w:hAnsi="Verdana" w:cs="Calibri"/>
                <w:sz w:val="16"/>
                <w:szCs w:val="18"/>
                <w:lang w:eastAsia="pt-BR"/>
              </w:rPr>
            </w:pPr>
          </w:p>
        </w:tc>
        <w:tc>
          <w:tcPr>
            <w:tcW w:w="2001" w:type="dxa"/>
            <w:tcBorders>
              <w:top w:val="nil"/>
              <w:left w:val="nil"/>
              <w:bottom w:val="nil"/>
              <w:right w:val="nil"/>
            </w:tcBorders>
            <w:shd w:val="clear" w:color="auto" w:fill="auto"/>
            <w:noWrap/>
            <w:vAlign w:val="bottom"/>
            <w:hideMark/>
          </w:tcPr>
          <w:p w14:paraId="7BEBCE58" w14:textId="77777777" w:rsidR="00A16901" w:rsidRPr="00A16901" w:rsidRDefault="00A16901" w:rsidP="00A16901">
            <w:pPr>
              <w:spacing w:after="0" w:line="240" w:lineRule="auto"/>
              <w:rPr>
                <w:rFonts w:ascii="Verdana" w:eastAsia="Times New Roman" w:hAnsi="Verdana" w:cs="Calibri"/>
                <w:sz w:val="16"/>
                <w:szCs w:val="18"/>
                <w:lang w:eastAsia="pt-BR"/>
              </w:rPr>
            </w:pPr>
            <w:r w:rsidRPr="00A16901">
              <w:rPr>
                <w:rFonts w:ascii="Verdana" w:eastAsia="Times New Roman" w:hAnsi="Verdana" w:cs="Calibri"/>
                <w:sz w:val="16"/>
                <w:szCs w:val="18"/>
                <w:lang w:eastAsia="pt-BR"/>
              </w:rPr>
              <w:t xml:space="preserve">                     8.140 </w:t>
            </w:r>
          </w:p>
        </w:tc>
      </w:tr>
      <w:tr w:rsidR="00A16901" w:rsidRPr="00D61BDA" w14:paraId="6103879A" w14:textId="77777777" w:rsidTr="00B63957">
        <w:trPr>
          <w:trHeight w:val="33"/>
        </w:trPr>
        <w:tc>
          <w:tcPr>
            <w:tcW w:w="3405" w:type="dxa"/>
            <w:tcBorders>
              <w:top w:val="nil"/>
              <w:left w:val="nil"/>
              <w:bottom w:val="nil"/>
              <w:right w:val="nil"/>
            </w:tcBorders>
            <w:shd w:val="clear" w:color="auto" w:fill="auto"/>
            <w:noWrap/>
            <w:vAlign w:val="bottom"/>
            <w:hideMark/>
          </w:tcPr>
          <w:p w14:paraId="6D5327E6" w14:textId="77777777" w:rsidR="00A16901" w:rsidRPr="00D61BDA" w:rsidRDefault="00A16901" w:rsidP="00A16901">
            <w:pPr>
              <w:spacing w:after="0" w:line="240" w:lineRule="auto"/>
              <w:rPr>
                <w:rFonts w:ascii="Verdana" w:eastAsia="Times New Roman" w:hAnsi="Verdana" w:cs="Calibri"/>
                <w:sz w:val="10"/>
                <w:szCs w:val="10"/>
                <w:lang w:eastAsia="pt-BR"/>
              </w:rPr>
            </w:pPr>
          </w:p>
        </w:tc>
        <w:tc>
          <w:tcPr>
            <w:tcW w:w="1561" w:type="dxa"/>
            <w:tcBorders>
              <w:top w:val="nil"/>
              <w:left w:val="nil"/>
              <w:bottom w:val="nil"/>
              <w:right w:val="nil"/>
            </w:tcBorders>
            <w:shd w:val="clear" w:color="auto" w:fill="auto"/>
            <w:noWrap/>
            <w:vAlign w:val="bottom"/>
            <w:hideMark/>
          </w:tcPr>
          <w:p w14:paraId="2A2E81B7" w14:textId="77777777" w:rsidR="00A16901" w:rsidRPr="00667591" w:rsidRDefault="00A16901" w:rsidP="00A16901">
            <w:pPr>
              <w:spacing w:after="0" w:line="240" w:lineRule="auto"/>
              <w:jc w:val="center"/>
              <w:rPr>
                <w:rFonts w:ascii="Times New Roman" w:eastAsia="Times New Roman" w:hAnsi="Times New Roman" w:cs="Times New Roman"/>
                <w:sz w:val="15"/>
                <w:szCs w:val="15"/>
                <w:lang w:eastAsia="pt-BR"/>
              </w:rPr>
            </w:pPr>
          </w:p>
        </w:tc>
        <w:tc>
          <w:tcPr>
            <w:tcW w:w="215" w:type="dxa"/>
            <w:tcBorders>
              <w:top w:val="nil"/>
              <w:left w:val="nil"/>
              <w:bottom w:val="nil"/>
              <w:right w:val="nil"/>
            </w:tcBorders>
            <w:shd w:val="clear" w:color="auto" w:fill="auto"/>
            <w:noWrap/>
            <w:vAlign w:val="bottom"/>
            <w:hideMark/>
          </w:tcPr>
          <w:p w14:paraId="55331754" w14:textId="77777777" w:rsidR="00A16901" w:rsidRPr="00D61BDA" w:rsidRDefault="00A16901" w:rsidP="00A16901">
            <w:pPr>
              <w:spacing w:after="0" w:line="240" w:lineRule="auto"/>
              <w:rPr>
                <w:rFonts w:ascii="Times New Roman" w:eastAsia="Times New Roman" w:hAnsi="Times New Roman" w:cs="Times New Roman"/>
                <w:sz w:val="10"/>
                <w:szCs w:val="10"/>
                <w:lang w:eastAsia="pt-BR"/>
              </w:rPr>
            </w:pPr>
          </w:p>
        </w:tc>
        <w:tc>
          <w:tcPr>
            <w:tcW w:w="1787" w:type="dxa"/>
            <w:tcBorders>
              <w:top w:val="nil"/>
              <w:left w:val="nil"/>
              <w:bottom w:val="nil"/>
              <w:right w:val="nil"/>
            </w:tcBorders>
            <w:shd w:val="clear" w:color="auto" w:fill="auto"/>
            <w:noWrap/>
            <w:vAlign w:val="bottom"/>
            <w:hideMark/>
          </w:tcPr>
          <w:p w14:paraId="2412E728" w14:textId="77777777" w:rsidR="00A16901" w:rsidRPr="00D61BDA" w:rsidRDefault="00A16901" w:rsidP="00A16901">
            <w:pPr>
              <w:spacing w:after="0" w:line="240" w:lineRule="auto"/>
              <w:rPr>
                <w:rFonts w:ascii="Times New Roman" w:eastAsia="Times New Roman" w:hAnsi="Times New Roman" w:cs="Times New Roman"/>
                <w:sz w:val="10"/>
                <w:szCs w:val="10"/>
                <w:lang w:eastAsia="pt-BR"/>
              </w:rPr>
            </w:pPr>
          </w:p>
        </w:tc>
        <w:tc>
          <w:tcPr>
            <w:tcW w:w="219" w:type="dxa"/>
            <w:tcBorders>
              <w:top w:val="nil"/>
              <w:left w:val="nil"/>
              <w:bottom w:val="nil"/>
              <w:right w:val="nil"/>
            </w:tcBorders>
            <w:shd w:val="clear" w:color="auto" w:fill="auto"/>
            <w:noWrap/>
            <w:vAlign w:val="bottom"/>
            <w:hideMark/>
          </w:tcPr>
          <w:p w14:paraId="043AA3C1" w14:textId="77777777" w:rsidR="00A16901" w:rsidRPr="00D61BDA" w:rsidRDefault="00A16901" w:rsidP="00A16901">
            <w:pPr>
              <w:spacing w:after="0" w:line="240" w:lineRule="auto"/>
              <w:rPr>
                <w:rFonts w:ascii="Times New Roman" w:eastAsia="Times New Roman" w:hAnsi="Times New Roman" w:cs="Times New Roman"/>
                <w:sz w:val="10"/>
                <w:szCs w:val="10"/>
                <w:lang w:eastAsia="pt-BR"/>
              </w:rPr>
            </w:pPr>
          </w:p>
        </w:tc>
        <w:tc>
          <w:tcPr>
            <w:tcW w:w="2001" w:type="dxa"/>
            <w:tcBorders>
              <w:top w:val="nil"/>
              <w:left w:val="nil"/>
              <w:bottom w:val="nil"/>
              <w:right w:val="nil"/>
            </w:tcBorders>
            <w:shd w:val="clear" w:color="auto" w:fill="auto"/>
            <w:noWrap/>
            <w:vAlign w:val="bottom"/>
            <w:hideMark/>
          </w:tcPr>
          <w:p w14:paraId="58A8DBC2" w14:textId="77777777" w:rsidR="00A16901" w:rsidRPr="00D61BDA" w:rsidRDefault="00A16901" w:rsidP="00A16901">
            <w:pPr>
              <w:spacing w:after="0" w:line="240" w:lineRule="auto"/>
              <w:rPr>
                <w:rFonts w:ascii="Times New Roman" w:eastAsia="Times New Roman" w:hAnsi="Times New Roman" w:cs="Times New Roman"/>
                <w:sz w:val="10"/>
                <w:szCs w:val="10"/>
                <w:lang w:eastAsia="pt-BR"/>
              </w:rPr>
            </w:pPr>
          </w:p>
        </w:tc>
      </w:tr>
      <w:tr w:rsidR="00A16901" w:rsidRPr="00A16901" w14:paraId="1BF9F8B0" w14:textId="77777777" w:rsidTr="00B63957">
        <w:trPr>
          <w:trHeight w:val="33"/>
        </w:trPr>
        <w:tc>
          <w:tcPr>
            <w:tcW w:w="3405" w:type="dxa"/>
            <w:tcBorders>
              <w:top w:val="nil"/>
              <w:left w:val="nil"/>
              <w:bottom w:val="nil"/>
              <w:right w:val="nil"/>
            </w:tcBorders>
            <w:shd w:val="clear" w:color="auto" w:fill="auto"/>
            <w:noWrap/>
            <w:vAlign w:val="bottom"/>
            <w:hideMark/>
          </w:tcPr>
          <w:p w14:paraId="5F760EE3" w14:textId="77777777" w:rsidR="00A16901" w:rsidRPr="00A16901" w:rsidRDefault="00A16901" w:rsidP="00A16901">
            <w:pPr>
              <w:spacing w:after="0" w:line="240" w:lineRule="auto"/>
              <w:rPr>
                <w:rFonts w:ascii="Verdana" w:eastAsia="Times New Roman" w:hAnsi="Verdana" w:cs="Calibri"/>
                <w:b/>
                <w:bCs/>
                <w:sz w:val="16"/>
                <w:szCs w:val="18"/>
                <w:lang w:eastAsia="pt-BR"/>
              </w:rPr>
            </w:pPr>
            <w:r w:rsidRPr="00A16901">
              <w:rPr>
                <w:rFonts w:ascii="Verdana" w:eastAsia="Times New Roman" w:hAnsi="Verdana" w:cs="Calibri"/>
                <w:b/>
                <w:bCs/>
                <w:sz w:val="16"/>
                <w:szCs w:val="18"/>
                <w:lang w:eastAsia="pt-BR"/>
              </w:rPr>
              <w:t>Riscos de Engenharia:</w:t>
            </w:r>
          </w:p>
        </w:tc>
        <w:tc>
          <w:tcPr>
            <w:tcW w:w="1561" w:type="dxa"/>
            <w:tcBorders>
              <w:top w:val="nil"/>
              <w:left w:val="nil"/>
              <w:bottom w:val="nil"/>
              <w:right w:val="nil"/>
            </w:tcBorders>
            <w:shd w:val="clear" w:color="auto" w:fill="auto"/>
            <w:noWrap/>
            <w:vAlign w:val="bottom"/>
            <w:hideMark/>
          </w:tcPr>
          <w:p w14:paraId="4F26028A" w14:textId="77777777" w:rsidR="00A16901" w:rsidRPr="00667591" w:rsidRDefault="00A16901" w:rsidP="00A16901">
            <w:pPr>
              <w:spacing w:after="0" w:line="240" w:lineRule="auto"/>
              <w:jc w:val="center"/>
              <w:rPr>
                <w:rFonts w:ascii="Verdana" w:eastAsia="Times New Roman" w:hAnsi="Verdana" w:cs="Calibri"/>
                <w:b/>
                <w:bCs/>
                <w:sz w:val="15"/>
                <w:szCs w:val="15"/>
                <w:lang w:eastAsia="pt-BR"/>
              </w:rPr>
            </w:pPr>
            <w:r w:rsidRPr="00667591">
              <w:rPr>
                <w:rFonts w:ascii="Verdana" w:eastAsia="Times New Roman" w:hAnsi="Verdana" w:cs="Calibri"/>
                <w:b/>
                <w:bCs/>
                <w:sz w:val="15"/>
                <w:szCs w:val="15"/>
                <w:lang w:eastAsia="pt-BR"/>
              </w:rPr>
              <w:t>26/08/2022</w:t>
            </w:r>
          </w:p>
        </w:tc>
        <w:tc>
          <w:tcPr>
            <w:tcW w:w="215" w:type="dxa"/>
            <w:tcBorders>
              <w:top w:val="nil"/>
              <w:left w:val="nil"/>
              <w:bottom w:val="nil"/>
              <w:right w:val="nil"/>
            </w:tcBorders>
            <w:shd w:val="clear" w:color="auto" w:fill="auto"/>
            <w:noWrap/>
            <w:vAlign w:val="bottom"/>
            <w:hideMark/>
          </w:tcPr>
          <w:p w14:paraId="003C4D71" w14:textId="77777777" w:rsidR="00A16901" w:rsidRPr="00A16901" w:rsidRDefault="00A16901" w:rsidP="00A16901">
            <w:pPr>
              <w:spacing w:after="0" w:line="240" w:lineRule="auto"/>
              <w:jc w:val="right"/>
              <w:rPr>
                <w:rFonts w:ascii="Verdana" w:eastAsia="Times New Roman" w:hAnsi="Verdana" w:cs="Calibri"/>
                <w:b/>
                <w:bCs/>
                <w:sz w:val="16"/>
                <w:szCs w:val="18"/>
                <w:lang w:eastAsia="pt-BR"/>
              </w:rPr>
            </w:pPr>
          </w:p>
        </w:tc>
        <w:tc>
          <w:tcPr>
            <w:tcW w:w="1787" w:type="dxa"/>
            <w:tcBorders>
              <w:top w:val="single" w:sz="4" w:space="0" w:color="auto"/>
              <w:left w:val="nil"/>
              <w:bottom w:val="single" w:sz="4" w:space="0" w:color="auto"/>
              <w:right w:val="nil"/>
            </w:tcBorders>
            <w:shd w:val="clear" w:color="auto" w:fill="auto"/>
            <w:noWrap/>
            <w:vAlign w:val="bottom"/>
            <w:hideMark/>
          </w:tcPr>
          <w:p w14:paraId="24738B58" w14:textId="77777777" w:rsidR="00A16901" w:rsidRPr="00A16901" w:rsidRDefault="00A16901" w:rsidP="00A16901">
            <w:pPr>
              <w:spacing w:after="0" w:line="240" w:lineRule="auto"/>
              <w:rPr>
                <w:rFonts w:ascii="Verdana" w:eastAsia="Times New Roman" w:hAnsi="Verdana" w:cs="Calibri"/>
                <w:b/>
                <w:bCs/>
                <w:sz w:val="16"/>
                <w:szCs w:val="18"/>
                <w:lang w:eastAsia="pt-BR"/>
              </w:rPr>
            </w:pPr>
            <w:r w:rsidRPr="00A16901">
              <w:rPr>
                <w:rFonts w:ascii="Verdana" w:eastAsia="Times New Roman" w:hAnsi="Verdana" w:cs="Calibri"/>
                <w:b/>
                <w:bCs/>
                <w:sz w:val="16"/>
                <w:szCs w:val="18"/>
                <w:lang w:eastAsia="pt-BR"/>
              </w:rPr>
              <w:t xml:space="preserve">        12.033.377 </w:t>
            </w:r>
          </w:p>
        </w:tc>
        <w:tc>
          <w:tcPr>
            <w:tcW w:w="219" w:type="dxa"/>
            <w:tcBorders>
              <w:top w:val="nil"/>
              <w:left w:val="nil"/>
              <w:bottom w:val="nil"/>
              <w:right w:val="nil"/>
            </w:tcBorders>
            <w:shd w:val="clear" w:color="auto" w:fill="auto"/>
            <w:noWrap/>
            <w:vAlign w:val="bottom"/>
            <w:hideMark/>
          </w:tcPr>
          <w:p w14:paraId="7FB577A6" w14:textId="77777777" w:rsidR="00A16901" w:rsidRPr="00A16901" w:rsidRDefault="00A16901" w:rsidP="00A16901">
            <w:pPr>
              <w:spacing w:after="0" w:line="240" w:lineRule="auto"/>
              <w:rPr>
                <w:rFonts w:ascii="Verdana" w:eastAsia="Times New Roman" w:hAnsi="Verdana" w:cs="Calibri"/>
                <w:b/>
                <w:bCs/>
                <w:sz w:val="16"/>
                <w:szCs w:val="18"/>
                <w:lang w:eastAsia="pt-BR"/>
              </w:rPr>
            </w:pPr>
          </w:p>
        </w:tc>
        <w:tc>
          <w:tcPr>
            <w:tcW w:w="2001" w:type="dxa"/>
            <w:tcBorders>
              <w:top w:val="single" w:sz="4" w:space="0" w:color="auto"/>
              <w:left w:val="nil"/>
              <w:bottom w:val="single" w:sz="4" w:space="0" w:color="auto"/>
              <w:right w:val="nil"/>
            </w:tcBorders>
            <w:shd w:val="clear" w:color="auto" w:fill="auto"/>
            <w:noWrap/>
            <w:vAlign w:val="bottom"/>
            <w:hideMark/>
          </w:tcPr>
          <w:p w14:paraId="6FBC0ADF" w14:textId="77777777" w:rsidR="00A16901" w:rsidRPr="00A16901" w:rsidRDefault="00A16901" w:rsidP="00A16901">
            <w:pPr>
              <w:spacing w:after="0" w:line="240" w:lineRule="auto"/>
              <w:rPr>
                <w:rFonts w:ascii="Verdana" w:eastAsia="Times New Roman" w:hAnsi="Verdana" w:cs="Calibri"/>
                <w:b/>
                <w:bCs/>
                <w:sz w:val="16"/>
                <w:szCs w:val="18"/>
                <w:lang w:eastAsia="pt-BR"/>
              </w:rPr>
            </w:pPr>
            <w:r w:rsidRPr="00A16901">
              <w:rPr>
                <w:rFonts w:ascii="Verdana" w:eastAsia="Times New Roman" w:hAnsi="Verdana" w:cs="Calibri"/>
                <w:b/>
                <w:bCs/>
                <w:sz w:val="16"/>
                <w:szCs w:val="18"/>
                <w:lang w:eastAsia="pt-BR"/>
              </w:rPr>
              <w:t xml:space="preserve">                    9.200 </w:t>
            </w:r>
          </w:p>
        </w:tc>
      </w:tr>
      <w:tr w:rsidR="00A16901" w:rsidRPr="00A16901" w14:paraId="5E54E724" w14:textId="77777777" w:rsidTr="00B63957">
        <w:trPr>
          <w:trHeight w:val="33"/>
        </w:trPr>
        <w:tc>
          <w:tcPr>
            <w:tcW w:w="3405" w:type="dxa"/>
            <w:tcBorders>
              <w:top w:val="nil"/>
              <w:left w:val="nil"/>
              <w:bottom w:val="nil"/>
              <w:right w:val="nil"/>
            </w:tcBorders>
            <w:shd w:val="clear" w:color="auto" w:fill="auto"/>
            <w:noWrap/>
            <w:vAlign w:val="bottom"/>
            <w:hideMark/>
          </w:tcPr>
          <w:p w14:paraId="5FC62C29" w14:textId="77777777" w:rsidR="00A16901" w:rsidRPr="00A16901" w:rsidRDefault="00A16901" w:rsidP="00A16901">
            <w:pPr>
              <w:spacing w:after="0" w:line="240" w:lineRule="auto"/>
              <w:ind w:firstLineChars="100" w:firstLine="160"/>
              <w:rPr>
                <w:rFonts w:ascii="Verdana" w:eastAsia="Times New Roman" w:hAnsi="Verdana" w:cs="Calibri"/>
                <w:sz w:val="16"/>
                <w:szCs w:val="18"/>
                <w:lang w:eastAsia="pt-BR"/>
              </w:rPr>
            </w:pPr>
            <w:r w:rsidRPr="00A16901">
              <w:rPr>
                <w:rFonts w:ascii="Verdana" w:eastAsia="Times New Roman" w:hAnsi="Verdana" w:cs="Calibri"/>
                <w:sz w:val="16"/>
                <w:szCs w:val="18"/>
                <w:lang w:eastAsia="pt-BR"/>
              </w:rPr>
              <w:t>Construção</w:t>
            </w:r>
          </w:p>
        </w:tc>
        <w:tc>
          <w:tcPr>
            <w:tcW w:w="1561" w:type="dxa"/>
            <w:tcBorders>
              <w:top w:val="nil"/>
              <w:left w:val="nil"/>
              <w:bottom w:val="nil"/>
              <w:right w:val="nil"/>
            </w:tcBorders>
            <w:shd w:val="clear" w:color="auto" w:fill="auto"/>
            <w:noWrap/>
            <w:vAlign w:val="bottom"/>
            <w:hideMark/>
          </w:tcPr>
          <w:p w14:paraId="509911E3" w14:textId="77777777" w:rsidR="00A16901" w:rsidRPr="00667591" w:rsidRDefault="00A16901" w:rsidP="00A16901">
            <w:pPr>
              <w:spacing w:after="0" w:line="240" w:lineRule="auto"/>
              <w:ind w:firstLineChars="100" w:firstLine="150"/>
              <w:jc w:val="center"/>
              <w:rPr>
                <w:rFonts w:ascii="Verdana" w:eastAsia="Times New Roman" w:hAnsi="Verdana" w:cs="Calibri"/>
                <w:sz w:val="15"/>
                <w:szCs w:val="15"/>
                <w:lang w:eastAsia="pt-BR"/>
              </w:rPr>
            </w:pPr>
          </w:p>
        </w:tc>
        <w:tc>
          <w:tcPr>
            <w:tcW w:w="215" w:type="dxa"/>
            <w:tcBorders>
              <w:top w:val="nil"/>
              <w:left w:val="nil"/>
              <w:bottom w:val="nil"/>
              <w:right w:val="nil"/>
            </w:tcBorders>
            <w:shd w:val="clear" w:color="auto" w:fill="auto"/>
            <w:noWrap/>
            <w:vAlign w:val="bottom"/>
            <w:hideMark/>
          </w:tcPr>
          <w:p w14:paraId="1B500802" w14:textId="77777777" w:rsidR="00A16901" w:rsidRPr="00A16901" w:rsidRDefault="00A16901" w:rsidP="00A16901">
            <w:pPr>
              <w:spacing w:after="0" w:line="240" w:lineRule="auto"/>
              <w:rPr>
                <w:rFonts w:ascii="Times New Roman" w:eastAsia="Times New Roman" w:hAnsi="Times New Roman" w:cs="Times New Roman"/>
                <w:sz w:val="16"/>
                <w:szCs w:val="20"/>
                <w:lang w:eastAsia="pt-BR"/>
              </w:rPr>
            </w:pPr>
          </w:p>
        </w:tc>
        <w:tc>
          <w:tcPr>
            <w:tcW w:w="1787" w:type="dxa"/>
            <w:tcBorders>
              <w:top w:val="nil"/>
              <w:left w:val="nil"/>
              <w:bottom w:val="nil"/>
              <w:right w:val="nil"/>
            </w:tcBorders>
            <w:shd w:val="clear" w:color="auto" w:fill="auto"/>
            <w:noWrap/>
            <w:vAlign w:val="bottom"/>
            <w:hideMark/>
          </w:tcPr>
          <w:p w14:paraId="685006B2" w14:textId="77777777" w:rsidR="00A16901" w:rsidRPr="00A16901" w:rsidRDefault="00A16901" w:rsidP="00A16901">
            <w:pPr>
              <w:spacing w:after="0" w:line="240" w:lineRule="auto"/>
              <w:rPr>
                <w:rFonts w:ascii="Verdana" w:eastAsia="Times New Roman" w:hAnsi="Verdana" w:cs="Calibri"/>
                <w:sz w:val="16"/>
                <w:szCs w:val="18"/>
                <w:lang w:eastAsia="pt-BR"/>
              </w:rPr>
            </w:pPr>
            <w:r w:rsidRPr="00A16901">
              <w:rPr>
                <w:rFonts w:ascii="Verdana" w:eastAsia="Times New Roman" w:hAnsi="Verdana" w:cs="Calibri"/>
                <w:sz w:val="16"/>
                <w:szCs w:val="18"/>
                <w:lang w:eastAsia="pt-BR"/>
              </w:rPr>
              <w:t xml:space="preserve">            3.293.773 </w:t>
            </w:r>
          </w:p>
        </w:tc>
        <w:tc>
          <w:tcPr>
            <w:tcW w:w="219" w:type="dxa"/>
            <w:tcBorders>
              <w:top w:val="nil"/>
              <w:left w:val="nil"/>
              <w:bottom w:val="nil"/>
              <w:right w:val="nil"/>
            </w:tcBorders>
            <w:shd w:val="clear" w:color="auto" w:fill="auto"/>
            <w:noWrap/>
            <w:vAlign w:val="bottom"/>
            <w:hideMark/>
          </w:tcPr>
          <w:p w14:paraId="611DCFED" w14:textId="77777777" w:rsidR="00A16901" w:rsidRPr="00A16901" w:rsidRDefault="00A16901" w:rsidP="00A16901">
            <w:pPr>
              <w:spacing w:after="0" w:line="240" w:lineRule="auto"/>
              <w:rPr>
                <w:rFonts w:ascii="Verdana" w:eastAsia="Times New Roman" w:hAnsi="Verdana" w:cs="Calibri"/>
                <w:sz w:val="16"/>
                <w:szCs w:val="18"/>
                <w:lang w:eastAsia="pt-BR"/>
              </w:rPr>
            </w:pPr>
          </w:p>
        </w:tc>
        <w:tc>
          <w:tcPr>
            <w:tcW w:w="2001" w:type="dxa"/>
            <w:tcBorders>
              <w:top w:val="nil"/>
              <w:left w:val="nil"/>
              <w:bottom w:val="nil"/>
              <w:right w:val="nil"/>
            </w:tcBorders>
            <w:shd w:val="clear" w:color="auto" w:fill="auto"/>
            <w:noWrap/>
            <w:vAlign w:val="bottom"/>
            <w:hideMark/>
          </w:tcPr>
          <w:p w14:paraId="4FBE9B34" w14:textId="77777777" w:rsidR="00A16901" w:rsidRPr="00A16901" w:rsidRDefault="00A16901" w:rsidP="00A16901">
            <w:pPr>
              <w:spacing w:after="0" w:line="240" w:lineRule="auto"/>
              <w:rPr>
                <w:rFonts w:ascii="Verdana" w:eastAsia="Times New Roman" w:hAnsi="Verdana" w:cs="Calibri"/>
                <w:sz w:val="16"/>
                <w:szCs w:val="18"/>
                <w:lang w:eastAsia="pt-BR"/>
              </w:rPr>
            </w:pPr>
            <w:r w:rsidRPr="00A16901">
              <w:rPr>
                <w:rFonts w:ascii="Verdana" w:eastAsia="Times New Roman" w:hAnsi="Verdana" w:cs="Calibri"/>
                <w:sz w:val="16"/>
                <w:szCs w:val="18"/>
                <w:lang w:eastAsia="pt-BR"/>
              </w:rPr>
              <w:t xml:space="preserve">                     2.441 </w:t>
            </w:r>
          </w:p>
        </w:tc>
      </w:tr>
      <w:tr w:rsidR="00A16901" w:rsidRPr="00A16901" w14:paraId="62F63D08" w14:textId="77777777" w:rsidTr="00B63957">
        <w:trPr>
          <w:trHeight w:val="33"/>
        </w:trPr>
        <w:tc>
          <w:tcPr>
            <w:tcW w:w="3405" w:type="dxa"/>
            <w:tcBorders>
              <w:top w:val="nil"/>
              <w:left w:val="nil"/>
              <w:bottom w:val="nil"/>
              <w:right w:val="nil"/>
            </w:tcBorders>
            <w:shd w:val="clear" w:color="auto" w:fill="auto"/>
            <w:noWrap/>
            <w:vAlign w:val="bottom"/>
            <w:hideMark/>
          </w:tcPr>
          <w:p w14:paraId="7A343454" w14:textId="77777777" w:rsidR="00A16901" w:rsidRPr="00A16901" w:rsidRDefault="00A16901" w:rsidP="00A16901">
            <w:pPr>
              <w:spacing w:after="0" w:line="240" w:lineRule="auto"/>
              <w:ind w:firstLineChars="100" w:firstLine="160"/>
              <w:rPr>
                <w:rFonts w:ascii="Verdana" w:eastAsia="Times New Roman" w:hAnsi="Verdana" w:cs="Calibri"/>
                <w:sz w:val="16"/>
                <w:szCs w:val="18"/>
                <w:lang w:eastAsia="pt-BR"/>
              </w:rPr>
            </w:pPr>
            <w:r w:rsidRPr="00A16901">
              <w:rPr>
                <w:rFonts w:ascii="Verdana" w:eastAsia="Times New Roman" w:hAnsi="Verdana" w:cs="Calibri"/>
                <w:sz w:val="16"/>
                <w:szCs w:val="18"/>
                <w:lang w:eastAsia="pt-BR"/>
              </w:rPr>
              <w:t>Responsabilidade civil</w:t>
            </w:r>
          </w:p>
        </w:tc>
        <w:tc>
          <w:tcPr>
            <w:tcW w:w="1561" w:type="dxa"/>
            <w:tcBorders>
              <w:top w:val="nil"/>
              <w:left w:val="nil"/>
              <w:bottom w:val="nil"/>
              <w:right w:val="nil"/>
            </w:tcBorders>
            <w:shd w:val="clear" w:color="auto" w:fill="auto"/>
            <w:noWrap/>
            <w:vAlign w:val="bottom"/>
            <w:hideMark/>
          </w:tcPr>
          <w:p w14:paraId="3FC87C11" w14:textId="77777777" w:rsidR="00A16901" w:rsidRPr="00667591" w:rsidRDefault="00A16901" w:rsidP="00A16901">
            <w:pPr>
              <w:spacing w:after="0" w:line="240" w:lineRule="auto"/>
              <w:ind w:firstLineChars="100" w:firstLine="150"/>
              <w:jc w:val="center"/>
              <w:rPr>
                <w:rFonts w:ascii="Verdana" w:eastAsia="Times New Roman" w:hAnsi="Verdana" w:cs="Calibri"/>
                <w:sz w:val="15"/>
                <w:szCs w:val="15"/>
                <w:lang w:eastAsia="pt-BR"/>
              </w:rPr>
            </w:pPr>
          </w:p>
        </w:tc>
        <w:tc>
          <w:tcPr>
            <w:tcW w:w="215" w:type="dxa"/>
            <w:tcBorders>
              <w:top w:val="nil"/>
              <w:left w:val="nil"/>
              <w:bottom w:val="nil"/>
              <w:right w:val="nil"/>
            </w:tcBorders>
            <w:shd w:val="clear" w:color="auto" w:fill="auto"/>
            <w:noWrap/>
            <w:vAlign w:val="bottom"/>
            <w:hideMark/>
          </w:tcPr>
          <w:p w14:paraId="094C7444" w14:textId="77777777" w:rsidR="00A16901" w:rsidRPr="00A16901" w:rsidRDefault="00A16901" w:rsidP="00A16901">
            <w:pPr>
              <w:spacing w:after="0" w:line="240" w:lineRule="auto"/>
              <w:rPr>
                <w:rFonts w:ascii="Times New Roman" w:eastAsia="Times New Roman" w:hAnsi="Times New Roman" w:cs="Times New Roman"/>
                <w:sz w:val="16"/>
                <w:szCs w:val="20"/>
                <w:lang w:eastAsia="pt-BR"/>
              </w:rPr>
            </w:pPr>
          </w:p>
        </w:tc>
        <w:tc>
          <w:tcPr>
            <w:tcW w:w="1787" w:type="dxa"/>
            <w:tcBorders>
              <w:top w:val="nil"/>
              <w:left w:val="nil"/>
              <w:bottom w:val="nil"/>
              <w:right w:val="nil"/>
            </w:tcBorders>
            <w:shd w:val="clear" w:color="auto" w:fill="auto"/>
            <w:noWrap/>
            <w:vAlign w:val="bottom"/>
            <w:hideMark/>
          </w:tcPr>
          <w:p w14:paraId="5515113F" w14:textId="77777777" w:rsidR="00A16901" w:rsidRPr="00A16901" w:rsidRDefault="00A16901" w:rsidP="00A16901">
            <w:pPr>
              <w:spacing w:after="0" w:line="240" w:lineRule="auto"/>
              <w:rPr>
                <w:rFonts w:ascii="Verdana" w:eastAsia="Times New Roman" w:hAnsi="Verdana" w:cs="Calibri"/>
                <w:sz w:val="16"/>
                <w:szCs w:val="18"/>
                <w:lang w:eastAsia="pt-BR"/>
              </w:rPr>
            </w:pPr>
            <w:r w:rsidRPr="00A16901">
              <w:rPr>
                <w:rFonts w:ascii="Verdana" w:eastAsia="Times New Roman" w:hAnsi="Verdana" w:cs="Calibri"/>
                <w:sz w:val="16"/>
                <w:szCs w:val="18"/>
                <w:lang w:eastAsia="pt-BR"/>
              </w:rPr>
              <w:t xml:space="preserve">                 30.000 </w:t>
            </w:r>
          </w:p>
        </w:tc>
        <w:tc>
          <w:tcPr>
            <w:tcW w:w="219" w:type="dxa"/>
            <w:tcBorders>
              <w:top w:val="nil"/>
              <w:left w:val="nil"/>
              <w:bottom w:val="nil"/>
              <w:right w:val="nil"/>
            </w:tcBorders>
            <w:shd w:val="clear" w:color="auto" w:fill="auto"/>
            <w:noWrap/>
            <w:vAlign w:val="bottom"/>
            <w:hideMark/>
          </w:tcPr>
          <w:p w14:paraId="24436EBD" w14:textId="77777777" w:rsidR="00A16901" w:rsidRPr="00A16901" w:rsidRDefault="00A16901" w:rsidP="00A16901">
            <w:pPr>
              <w:spacing w:after="0" w:line="240" w:lineRule="auto"/>
              <w:rPr>
                <w:rFonts w:ascii="Verdana" w:eastAsia="Times New Roman" w:hAnsi="Verdana" w:cs="Calibri"/>
                <w:sz w:val="16"/>
                <w:szCs w:val="18"/>
                <w:lang w:eastAsia="pt-BR"/>
              </w:rPr>
            </w:pPr>
          </w:p>
        </w:tc>
        <w:tc>
          <w:tcPr>
            <w:tcW w:w="2001" w:type="dxa"/>
            <w:tcBorders>
              <w:top w:val="nil"/>
              <w:left w:val="nil"/>
              <w:bottom w:val="nil"/>
              <w:right w:val="nil"/>
            </w:tcBorders>
            <w:shd w:val="clear" w:color="auto" w:fill="auto"/>
            <w:noWrap/>
            <w:vAlign w:val="bottom"/>
            <w:hideMark/>
          </w:tcPr>
          <w:p w14:paraId="49FBFBC3" w14:textId="77777777" w:rsidR="00A16901" w:rsidRPr="00A16901" w:rsidRDefault="00A16901" w:rsidP="00A16901">
            <w:pPr>
              <w:spacing w:after="0" w:line="240" w:lineRule="auto"/>
              <w:rPr>
                <w:rFonts w:ascii="Verdana" w:eastAsia="Times New Roman" w:hAnsi="Verdana" w:cs="Calibri"/>
                <w:sz w:val="16"/>
                <w:szCs w:val="18"/>
                <w:lang w:eastAsia="pt-BR"/>
              </w:rPr>
            </w:pPr>
            <w:r w:rsidRPr="00A16901">
              <w:rPr>
                <w:rFonts w:ascii="Verdana" w:eastAsia="Times New Roman" w:hAnsi="Verdana" w:cs="Calibri"/>
                <w:sz w:val="16"/>
                <w:szCs w:val="18"/>
                <w:lang w:eastAsia="pt-BR"/>
              </w:rPr>
              <w:t xml:space="preserve">                        200 </w:t>
            </w:r>
          </w:p>
        </w:tc>
      </w:tr>
      <w:tr w:rsidR="00A16901" w:rsidRPr="00A16901" w14:paraId="7D9C6172" w14:textId="77777777" w:rsidTr="00B63957">
        <w:trPr>
          <w:trHeight w:val="33"/>
        </w:trPr>
        <w:tc>
          <w:tcPr>
            <w:tcW w:w="3405" w:type="dxa"/>
            <w:tcBorders>
              <w:top w:val="nil"/>
              <w:left w:val="nil"/>
              <w:bottom w:val="nil"/>
              <w:right w:val="nil"/>
            </w:tcBorders>
            <w:shd w:val="clear" w:color="auto" w:fill="auto"/>
            <w:noWrap/>
            <w:vAlign w:val="bottom"/>
            <w:hideMark/>
          </w:tcPr>
          <w:p w14:paraId="1B9049E7" w14:textId="77777777" w:rsidR="00A16901" w:rsidRPr="00A16901" w:rsidRDefault="00A16901" w:rsidP="00A16901">
            <w:pPr>
              <w:spacing w:after="0" w:line="240" w:lineRule="auto"/>
              <w:ind w:firstLineChars="100" w:firstLine="160"/>
              <w:rPr>
                <w:rFonts w:ascii="Verdana" w:eastAsia="Times New Roman" w:hAnsi="Verdana" w:cs="Calibri"/>
                <w:sz w:val="16"/>
                <w:szCs w:val="18"/>
                <w:lang w:eastAsia="pt-BR"/>
              </w:rPr>
            </w:pPr>
            <w:r w:rsidRPr="00A16901">
              <w:rPr>
                <w:rFonts w:ascii="Verdana" w:eastAsia="Times New Roman" w:hAnsi="Verdana" w:cs="Calibri"/>
                <w:sz w:val="16"/>
                <w:szCs w:val="18"/>
                <w:lang w:eastAsia="pt-BR"/>
              </w:rPr>
              <w:t>Armazenamento de equipamentos</w:t>
            </w:r>
          </w:p>
        </w:tc>
        <w:tc>
          <w:tcPr>
            <w:tcW w:w="1561" w:type="dxa"/>
            <w:tcBorders>
              <w:top w:val="nil"/>
              <w:left w:val="nil"/>
              <w:bottom w:val="nil"/>
              <w:right w:val="nil"/>
            </w:tcBorders>
            <w:shd w:val="clear" w:color="auto" w:fill="auto"/>
            <w:noWrap/>
            <w:vAlign w:val="bottom"/>
            <w:hideMark/>
          </w:tcPr>
          <w:p w14:paraId="096FEF46" w14:textId="77777777" w:rsidR="00A16901" w:rsidRPr="00667591" w:rsidRDefault="00A16901" w:rsidP="00A16901">
            <w:pPr>
              <w:spacing w:after="0" w:line="240" w:lineRule="auto"/>
              <w:ind w:firstLineChars="100" w:firstLine="150"/>
              <w:jc w:val="center"/>
              <w:rPr>
                <w:rFonts w:ascii="Verdana" w:eastAsia="Times New Roman" w:hAnsi="Verdana" w:cs="Calibri"/>
                <w:sz w:val="15"/>
                <w:szCs w:val="15"/>
                <w:lang w:eastAsia="pt-BR"/>
              </w:rPr>
            </w:pPr>
          </w:p>
        </w:tc>
        <w:tc>
          <w:tcPr>
            <w:tcW w:w="215" w:type="dxa"/>
            <w:tcBorders>
              <w:top w:val="nil"/>
              <w:left w:val="nil"/>
              <w:bottom w:val="nil"/>
              <w:right w:val="nil"/>
            </w:tcBorders>
            <w:shd w:val="clear" w:color="auto" w:fill="auto"/>
            <w:noWrap/>
            <w:vAlign w:val="bottom"/>
            <w:hideMark/>
          </w:tcPr>
          <w:p w14:paraId="263B076E" w14:textId="77777777" w:rsidR="00A16901" w:rsidRPr="00A16901" w:rsidRDefault="00A16901" w:rsidP="00A16901">
            <w:pPr>
              <w:spacing w:after="0" w:line="240" w:lineRule="auto"/>
              <w:rPr>
                <w:rFonts w:ascii="Times New Roman" w:eastAsia="Times New Roman" w:hAnsi="Times New Roman" w:cs="Times New Roman"/>
                <w:sz w:val="16"/>
                <w:szCs w:val="20"/>
                <w:lang w:eastAsia="pt-BR"/>
              </w:rPr>
            </w:pPr>
          </w:p>
        </w:tc>
        <w:tc>
          <w:tcPr>
            <w:tcW w:w="1787" w:type="dxa"/>
            <w:tcBorders>
              <w:top w:val="nil"/>
              <w:left w:val="nil"/>
              <w:bottom w:val="nil"/>
              <w:right w:val="nil"/>
            </w:tcBorders>
            <w:shd w:val="clear" w:color="auto" w:fill="auto"/>
            <w:noWrap/>
            <w:vAlign w:val="bottom"/>
            <w:hideMark/>
          </w:tcPr>
          <w:p w14:paraId="4198C6E0" w14:textId="77777777" w:rsidR="00A16901" w:rsidRPr="00A16901" w:rsidRDefault="00A16901" w:rsidP="00A16901">
            <w:pPr>
              <w:spacing w:after="0" w:line="240" w:lineRule="auto"/>
              <w:rPr>
                <w:rFonts w:ascii="Verdana" w:eastAsia="Times New Roman" w:hAnsi="Verdana" w:cs="Calibri"/>
                <w:sz w:val="16"/>
                <w:szCs w:val="18"/>
                <w:lang w:eastAsia="pt-BR"/>
              </w:rPr>
            </w:pPr>
            <w:r w:rsidRPr="00A16901">
              <w:rPr>
                <w:rFonts w:ascii="Verdana" w:eastAsia="Times New Roman" w:hAnsi="Verdana" w:cs="Calibri"/>
                <w:sz w:val="16"/>
                <w:szCs w:val="18"/>
                <w:lang w:eastAsia="pt-BR"/>
              </w:rPr>
              <w:t xml:space="preserve">            8.709.604 </w:t>
            </w:r>
          </w:p>
        </w:tc>
        <w:tc>
          <w:tcPr>
            <w:tcW w:w="219" w:type="dxa"/>
            <w:tcBorders>
              <w:top w:val="nil"/>
              <w:left w:val="nil"/>
              <w:bottom w:val="nil"/>
              <w:right w:val="nil"/>
            </w:tcBorders>
            <w:shd w:val="clear" w:color="auto" w:fill="auto"/>
            <w:noWrap/>
            <w:vAlign w:val="bottom"/>
            <w:hideMark/>
          </w:tcPr>
          <w:p w14:paraId="1D1256E5" w14:textId="77777777" w:rsidR="00A16901" w:rsidRPr="00A16901" w:rsidRDefault="00A16901" w:rsidP="00A16901">
            <w:pPr>
              <w:spacing w:after="0" w:line="240" w:lineRule="auto"/>
              <w:rPr>
                <w:rFonts w:ascii="Verdana" w:eastAsia="Times New Roman" w:hAnsi="Verdana" w:cs="Calibri"/>
                <w:sz w:val="16"/>
                <w:szCs w:val="18"/>
                <w:lang w:eastAsia="pt-BR"/>
              </w:rPr>
            </w:pPr>
          </w:p>
        </w:tc>
        <w:tc>
          <w:tcPr>
            <w:tcW w:w="2001" w:type="dxa"/>
            <w:tcBorders>
              <w:top w:val="nil"/>
              <w:left w:val="nil"/>
              <w:bottom w:val="nil"/>
              <w:right w:val="nil"/>
            </w:tcBorders>
            <w:shd w:val="clear" w:color="auto" w:fill="auto"/>
            <w:noWrap/>
            <w:vAlign w:val="bottom"/>
            <w:hideMark/>
          </w:tcPr>
          <w:p w14:paraId="639C48A9" w14:textId="77777777" w:rsidR="00A16901" w:rsidRPr="00A16901" w:rsidRDefault="00A16901" w:rsidP="00A16901">
            <w:pPr>
              <w:spacing w:after="0" w:line="240" w:lineRule="auto"/>
              <w:rPr>
                <w:rFonts w:ascii="Verdana" w:eastAsia="Times New Roman" w:hAnsi="Verdana" w:cs="Calibri"/>
                <w:sz w:val="16"/>
                <w:szCs w:val="18"/>
                <w:lang w:eastAsia="pt-BR"/>
              </w:rPr>
            </w:pPr>
            <w:r w:rsidRPr="00A16901">
              <w:rPr>
                <w:rFonts w:ascii="Verdana" w:eastAsia="Times New Roman" w:hAnsi="Verdana" w:cs="Calibri"/>
                <w:sz w:val="16"/>
                <w:szCs w:val="18"/>
                <w:lang w:eastAsia="pt-BR"/>
              </w:rPr>
              <w:t xml:space="preserve">                     6.559 </w:t>
            </w:r>
          </w:p>
        </w:tc>
      </w:tr>
      <w:tr w:rsidR="00A16901" w:rsidRPr="00D61BDA" w14:paraId="3A12E412" w14:textId="77777777" w:rsidTr="00B63957">
        <w:trPr>
          <w:trHeight w:val="33"/>
        </w:trPr>
        <w:tc>
          <w:tcPr>
            <w:tcW w:w="3405" w:type="dxa"/>
            <w:tcBorders>
              <w:top w:val="nil"/>
              <w:left w:val="nil"/>
              <w:bottom w:val="nil"/>
              <w:right w:val="nil"/>
            </w:tcBorders>
            <w:shd w:val="clear" w:color="auto" w:fill="auto"/>
            <w:noWrap/>
            <w:vAlign w:val="bottom"/>
            <w:hideMark/>
          </w:tcPr>
          <w:p w14:paraId="73533B63" w14:textId="77777777" w:rsidR="00A16901" w:rsidRPr="00D61BDA" w:rsidRDefault="00A16901" w:rsidP="00A16901">
            <w:pPr>
              <w:spacing w:after="0" w:line="240" w:lineRule="auto"/>
              <w:rPr>
                <w:rFonts w:ascii="Verdana" w:eastAsia="Times New Roman" w:hAnsi="Verdana" w:cs="Calibri"/>
                <w:sz w:val="10"/>
                <w:szCs w:val="10"/>
                <w:lang w:eastAsia="pt-BR"/>
              </w:rPr>
            </w:pPr>
          </w:p>
        </w:tc>
        <w:tc>
          <w:tcPr>
            <w:tcW w:w="1561" w:type="dxa"/>
            <w:tcBorders>
              <w:top w:val="nil"/>
              <w:left w:val="nil"/>
              <w:bottom w:val="nil"/>
              <w:right w:val="nil"/>
            </w:tcBorders>
            <w:shd w:val="clear" w:color="auto" w:fill="auto"/>
            <w:noWrap/>
            <w:vAlign w:val="bottom"/>
            <w:hideMark/>
          </w:tcPr>
          <w:p w14:paraId="5B1A313C" w14:textId="77777777" w:rsidR="00A16901" w:rsidRPr="00667591" w:rsidRDefault="00A16901" w:rsidP="00A16901">
            <w:pPr>
              <w:spacing w:after="0" w:line="240" w:lineRule="auto"/>
              <w:jc w:val="center"/>
              <w:rPr>
                <w:rFonts w:ascii="Times New Roman" w:eastAsia="Times New Roman" w:hAnsi="Times New Roman" w:cs="Times New Roman"/>
                <w:sz w:val="15"/>
                <w:szCs w:val="15"/>
                <w:lang w:eastAsia="pt-BR"/>
              </w:rPr>
            </w:pPr>
          </w:p>
        </w:tc>
        <w:tc>
          <w:tcPr>
            <w:tcW w:w="215" w:type="dxa"/>
            <w:tcBorders>
              <w:top w:val="nil"/>
              <w:left w:val="nil"/>
              <w:bottom w:val="nil"/>
              <w:right w:val="nil"/>
            </w:tcBorders>
            <w:shd w:val="clear" w:color="auto" w:fill="auto"/>
            <w:noWrap/>
            <w:vAlign w:val="bottom"/>
            <w:hideMark/>
          </w:tcPr>
          <w:p w14:paraId="16DFB6C5" w14:textId="77777777" w:rsidR="00A16901" w:rsidRPr="00D61BDA" w:rsidRDefault="00A16901" w:rsidP="00A16901">
            <w:pPr>
              <w:spacing w:after="0" w:line="240" w:lineRule="auto"/>
              <w:rPr>
                <w:rFonts w:ascii="Times New Roman" w:eastAsia="Times New Roman" w:hAnsi="Times New Roman" w:cs="Times New Roman"/>
                <w:sz w:val="10"/>
                <w:szCs w:val="10"/>
                <w:lang w:eastAsia="pt-BR"/>
              </w:rPr>
            </w:pPr>
          </w:p>
        </w:tc>
        <w:tc>
          <w:tcPr>
            <w:tcW w:w="1787" w:type="dxa"/>
            <w:tcBorders>
              <w:top w:val="nil"/>
              <w:left w:val="nil"/>
              <w:bottom w:val="nil"/>
              <w:right w:val="nil"/>
            </w:tcBorders>
            <w:shd w:val="clear" w:color="auto" w:fill="auto"/>
            <w:noWrap/>
            <w:vAlign w:val="bottom"/>
            <w:hideMark/>
          </w:tcPr>
          <w:p w14:paraId="1F737398" w14:textId="77777777" w:rsidR="00A16901" w:rsidRPr="00D61BDA" w:rsidRDefault="00A16901" w:rsidP="00A16901">
            <w:pPr>
              <w:spacing w:after="0" w:line="240" w:lineRule="auto"/>
              <w:rPr>
                <w:rFonts w:ascii="Times New Roman" w:eastAsia="Times New Roman" w:hAnsi="Times New Roman" w:cs="Times New Roman"/>
                <w:sz w:val="10"/>
                <w:szCs w:val="10"/>
                <w:lang w:eastAsia="pt-BR"/>
              </w:rPr>
            </w:pPr>
          </w:p>
        </w:tc>
        <w:tc>
          <w:tcPr>
            <w:tcW w:w="219" w:type="dxa"/>
            <w:tcBorders>
              <w:top w:val="nil"/>
              <w:left w:val="nil"/>
              <w:bottom w:val="nil"/>
              <w:right w:val="nil"/>
            </w:tcBorders>
            <w:shd w:val="clear" w:color="auto" w:fill="auto"/>
            <w:noWrap/>
            <w:vAlign w:val="bottom"/>
            <w:hideMark/>
          </w:tcPr>
          <w:p w14:paraId="2B264165" w14:textId="77777777" w:rsidR="00A16901" w:rsidRPr="00D61BDA" w:rsidRDefault="00A16901" w:rsidP="00A16901">
            <w:pPr>
              <w:spacing w:after="0" w:line="240" w:lineRule="auto"/>
              <w:rPr>
                <w:rFonts w:ascii="Times New Roman" w:eastAsia="Times New Roman" w:hAnsi="Times New Roman" w:cs="Times New Roman"/>
                <w:sz w:val="10"/>
                <w:szCs w:val="10"/>
                <w:lang w:eastAsia="pt-BR"/>
              </w:rPr>
            </w:pPr>
          </w:p>
        </w:tc>
        <w:tc>
          <w:tcPr>
            <w:tcW w:w="2001" w:type="dxa"/>
            <w:tcBorders>
              <w:top w:val="nil"/>
              <w:left w:val="nil"/>
              <w:bottom w:val="nil"/>
              <w:right w:val="nil"/>
            </w:tcBorders>
            <w:shd w:val="clear" w:color="auto" w:fill="auto"/>
            <w:noWrap/>
            <w:vAlign w:val="bottom"/>
            <w:hideMark/>
          </w:tcPr>
          <w:p w14:paraId="75A79BDA" w14:textId="77777777" w:rsidR="00A16901" w:rsidRPr="00D61BDA" w:rsidRDefault="00A16901" w:rsidP="00A16901">
            <w:pPr>
              <w:spacing w:after="0" w:line="240" w:lineRule="auto"/>
              <w:rPr>
                <w:rFonts w:ascii="Times New Roman" w:eastAsia="Times New Roman" w:hAnsi="Times New Roman" w:cs="Times New Roman"/>
                <w:sz w:val="10"/>
                <w:szCs w:val="10"/>
                <w:lang w:eastAsia="pt-BR"/>
              </w:rPr>
            </w:pPr>
          </w:p>
        </w:tc>
      </w:tr>
      <w:tr w:rsidR="00A16901" w:rsidRPr="00A16901" w14:paraId="111DD52C" w14:textId="77777777" w:rsidTr="00B63957">
        <w:trPr>
          <w:trHeight w:val="33"/>
        </w:trPr>
        <w:tc>
          <w:tcPr>
            <w:tcW w:w="3405" w:type="dxa"/>
            <w:tcBorders>
              <w:top w:val="nil"/>
              <w:left w:val="nil"/>
              <w:bottom w:val="nil"/>
              <w:right w:val="nil"/>
            </w:tcBorders>
            <w:shd w:val="clear" w:color="auto" w:fill="auto"/>
            <w:noWrap/>
            <w:vAlign w:val="bottom"/>
            <w:hideMark/>
          </w:tcPr>
          <w:p w14:paraId="01C45358" w14:textId="77777777" w:rsidR="00A16901" w:rsidRPr="00A16901" w:rsidRDefault="00A16901" w:rsidP="00A16901">
            <w:pPr>
              <w:spacing w:after="0" w:line="240" w:lineRule="auto"/>
              <w:rPr>
                <w:rFonts w:ascii="Verdana" w:eastAsia="Times New Roman" w:hAnsi="Verdana" w:cs="Calibri"/>
                <w:b/>
                <w:bCs/>
                <w:sz w:val="16"/>
                <w:szCs w:val="18"/>
                <w:lang w:eastAsia="pt-BR"/>
              </w:rPr>
            </w:pPr>
            <w:r w:rsidRPr="00A16901">
              <w:rPr>
                <w:rFonts w:ascii="Verdana" w:eastAsia="Times New Roman" w:hAnsi="Verdana" w:cs="Calibri"/>
                <w:b/>
                <w:bCs/>
                <w:sz w:val="16"/>
                <w:szCs w:val="18"/>
                <w:lang w:eastAsia="pt-BR"/>
              </w:rPr>
              <w:t>Diversos</w:t>
            </w:r>
          </w:p>
        </w:tc>
        <w:tc>
          <w:tcPr>
            <w:tcW w:w="1561" w:type="dxa"/>
            <w:tcBorders>
              <w:top w:val="nil"/>
              <w:left w:val="nil"/>
              <w:bottom w:val="nil"/>
              <w:right w:val="nil"/>
            </w:tcBorders>
            <w:shd w:val="clear" w:color="auto" w:fill="auto"/>
            <w:noWrap/>
            <w:vAlign w:val="bottom"/>
            <w:hideMark/>
          </w:tcPr>
          <w:p w14:paraId="63BE1169" w14:textId="77777777" w:rsidR="00A16901" w:rsidRPr="00667591" w:rsidRDefault="00A16901" w:rsidP="00A16901">
            <w:pPr>
              <w:spacing w:after="0" w:line="240" w:lineRule="auto"/>
              <w:jc w:val="center"/>
              <w:rPr>
                <w:rFonts w:ascii="Verdana" w:eastAsia="Times New Roman" w:hAnsi="Verdana" w:cs="Calibri"/>
                <w:b/>
                <w:bCs/>
                <w:sz w:val="15"/>
                <w:szCs w:val="15"/>
                <w:lang w:eastAsia="pt-BR"/>
              </w:rPr>
            </w:pPr>
            <w:r w:rsidRPr="00667591">
              <w:rPr>
                <w:rFonts w:ascii="Verdana" w:eastAsia="Times New Roman" w:hAnsi="Verdana" w:cs="Calibri"/>
                <w:b/>
                <w:bCs/>
                <w:sz w:val="15"/>
                <w:szCs w:val="15"/>
                <w:lang w:eastAsia="pt-BR"/>
              </w:rPr>
              <w:t>Diversas</w:t>
            </w:r>
          </w:p>
        </w:tc>
        <w:tc>
          <w:tcPr>
            <w:tcW w:w="215" w:type="dxa"/>
            <w:tcBorders>
              <w:top w:val="nil"/>
              <w:left w:val="nil"/>
              <w:bottom w:val="nil"/>
              <w:right w:val="nil"/>
            </w:tcBorders>
            <w:shd w:val="clear" w:color="auto" w:fill="auto"/>
            <w:noWrap/>
            <w:vAlign w:val="bottom"/>
            <w:hideMark/>
          </w:tcPr>
          <w:p w14:paraId="0DAEDD10" w14:textId="77777777" w:rsidR="00A16901" w:rsidRPr="00A16901" w:rsidRDefault="00A16901" w:rsidP="00A16901">
            <w:pPr>
              <w:spacing w:after="0" w:line="240" w:lineRule="auto"/>
              <w:rPr>
                <w:rFonts w:ascii="Verdana" w:eastAsia="Times New Roman" w:hAnsi="Verdana" w:cs="Calibri"/>
                <w:b/>
                <w:bCs/>
                <w:sz w:val="16"/>
                <w:szCs w:val="18"/>
                <w:lang w:eastAsia="pt-BR"/>
              </w:rPr>
            </w:pPr>
          </w:p>
        </w:tc>
        <w:tc>
          <w:tcPr>
            <w:tcW w:w="1787" w:type="dxa"/>
            <w:tcBorders>
              <w:top w:val="single" w:sz="4" w:space="0" w:color="auto"/>
              <w:left w:val="nil"/>
              <w:bottom w:val="single" w:sz="4" w:space="0" w:color="auto"/>
              <w:right w:val="nil"/>
            </w:tcBorders>
            <w:shd w:val="clear" w:color="auto" w:fill="auto"/>
            <w:noWrap/>
            <w:vAlign w:val="bottom"/>
            <w:hideMark/>
          </w:tcPr>
          <w:p w14:paraId="08637938" w14:textId="77777777" w:rsidR="00A16901" w:rsidRPr="00A16901" w:rsidRDefault="00A16901" w:rsidP="00A16901">
            <w:pPr>
              <w:spacing w:after="0" w:line="240" w:lineRule="auto"/>
              <w:rPr>
                <w:rFonts w:ascii="Verdana" w:eastAsia="Times New Roman" w:hAnsi="Verdana" w:cs="Calibri"/>
                <w:b/>
                <w:bCs/>
                <w:sz w:val="16"/>
                <w:szCs w:val="18"/>
                <w:lang w:eastAsia="pt-BR"/>
              </w:rPr>
            </w:pPr>
            <w:r w:rsidRPr="00A16901">
              <w:rPr>
                <w:rFonts w:ascii="Verdana" w:eastAsia="Times New Roman" w:hAnsi="Verdana" w:cs="Calibri"/>
                <w:b/>
                <w:bCs/>
                <w:sz w:val="16"/>
                <w:szCs w:val="18"/>
                <w:lang w:eastAsia="pt-BR"/>
              </w:rPr>
              <w:t xml:space="preserve">             581.405 </w:t>
            </w:r>
          </w:p>
        </w:tc>
        <w:tc>
          <w:tcPr>
            <w:tcW w:w="219" w:type="dxa"/>
            <w:tcBorders>
              <w:top w:val="nil"/>
              <w:left w:val="nil"/>
              <w:bottom w:val="nil"/>
              <w:right w:val="nil"/>
            </w:tcBorders>
            <w:shd w:val="clear" w:color="auto" w:fill="auto"/>
            <w:noWrap/>
            <w:vAlign w:val="bottom"/>
            <w:hideMark/>
          </w:tcPr>
          <w:p w14:paraId="6B2E1AFB" w14:textId="77777777" w:rsidR="00A16901" w:rsidRPr="00A16901" w:rsidRDefault="00A16901" w:rsidP="00A16901">
            <w:pPr>
              <w:spacing w:after="0" w:line="240" w:lineRule="auto"/>
              <w:rPr>
                <w:rFonts w:ascii="Verdana" w:eastAsia="Times New Roman" w:hAnsi="Verdana" w:cs="Calibri"/>
                <w:b/>
                <w:bCs/>
                <w:sz w:val="16"/>
                <w:szCs w:val="18"/>
                <w:lang w:eastAsia="pt-BR"/>
              </w:rPr>
            </w:pPr>
          </w:p>
        </w:tc>
        <w:tc>
          <w:tcPr>
            <w:tcW w:w="2001" w:type="dxa"/>
            <w:tcBorders>
              <w:top w:val="single" w:sz="4" w:space="0" w:color="auto"/>
              <w:left w:val="nil"/>
              <w:bottom w:val="single" w:sz="4" w:space="0" w:color="auto"/>
              <w:right w:val="nil"/>
            </w:tcBorders>
            <w:shd w:val="clear" w:color="auto" w:fill="auto"/>
            <w:noWrap/>
            <w:vAlign w:val="bottom"/>
            <w:hideMark/>
          </w:tcPr>
          <w:p w14:paraId="62CDED84" w14:textId="77777777" w:rsidR="00A16901" w:rsidRPr="00A16901" w:rsidRDefault="00A16901" w:rsidP="00A16901">
            <w:pPr>
              <w:spacing w:after="0" w:line="240" w:lineRule="auto"/>
              <w:rPr>
                <w:rFonts w:ascii="Verdana" w:eastAsia="Times New Roman" w:hAnsi="Verdana" w:cs="Calibri"/>
                <w:b/>
                <w:bCs/>
                <w:sz w:val="16"/>
                <w:szCs w:val="18"/>
                <w:lang w:eastAsia="pt-BR"/>
              </w:rPr>
            </w:pPr>
            <w:r w:rsidRPr="00A16901">
              <w:rPr>
                <w:rFonts w:ascii="Verdana" w:eastAsia="Times New Roman" w:hAnsi="Verdana" w:cs="Calibri"/>
                <w:b/>
                <w:bCs/>
                <w:sz w:val="16"/>
                <w:szCs w:val="18"/>
                <w:lang w:eastAsia="pt-BR"/>
              </w:rPr>
              <w:t xml:space="preserve">                    2.587 </w:t>
            </w:r>
          </w:p>
        </w:tc>
      </w:tr>
      <w:tr w:rsidR="00A16901" w:rsidRPr="00D61BDA" w14:paraId="0C18A9BC" w14:textId="77777777" w:rsidTr="00B63957">
        <w:trPr>
          <w:trHeight w:val="33"/>
        </w:trPr>
        <w:tc>
          <w:tcPr>
            <w:tcW w:w="3405" w:type="dxa"/>
            <w:tcBorders>
              <w:top w:val="nil"/>
              <w:left w:val="nil"/>
              <w:bottom w:val="nil"/>
              <w:right w:val="nil"/>
            </w:tcBorders>
            <w:shd w:val="clear" w:color="auto" w:fill="auto"/>
            <w:noWrap/>
            <w:vAlign w:val="bottom"/>
            <w:hideMark/>
          </w:tcPr>
          <w:p w14:paraId="4087A1E5" w14:textId="77777777" w:rsidR="00A16901" w:rsidRPr="00D61BDA" w:rsidRDefault="00A16901" w:rsidP="00A16901">
            <w:pPr>
              <w:spacing w:after="0" w:line="240" w:lineRule="auto"/>
              <w:rPr>
                <w:rFonts w:ascii="Verdana" w:eastAsia="Times New Roman" w:hAnsi="Verdana" w:cs="Calibri"/>
                <w:b/>
                <w:bCs/>
                <w:sz w:val="10"/>
                <w:szCs w:val="10"/>
                <w:lang w:eastAsia="pt-BR"/>
              </w:rPr>
            </w:pPr>
          </w:p>
        </w:tc>
        <w:tc>
          <w:tcPr>
            <w:tcW w:w="1561" w:type="dxa"/>
            <w:tcBorders>
              <w:top w:val="nil"/>
              <w:left w:val="nil"/>
              <w:bottom w:val="nil"/>
              <w:right w:val="nil"/>
            </w:tcBorders>
            <w:shd w:val="clear" w:color="auto" w:fill="auto"/>
            <w:noWrap/>
            <w:vAlign w:val="bottom"/>
            <w:hideMark/>
          </w:tcPr>
          <w:p w14:paraId="2E5AAEC6" w14:textId="77777777" w:rsidR="00A16901" w:rsidRPr="00D61BDA" w:rsidRDefault="00A16901" w:rsidP="00A16901">
            <w:pPr>
              <w:spacing w:after="0" w:line="240" w:lineRule="auto"/>
              <w:rPr>
                <w:rFonts w:ascii="Times New Roman" w:eastAsia="Times New Roman" w:hAnsi="Times New Roman" w:cs="Times New Roman"/>
                <w:sz w:val="10"/>
                <w:szCs w:val="10"/>
                <w:lang w:eastAsia="pt-BR"/>
              </w:rPr>
            </w:pPr>
          </w:p>
        </w:tc>
        <w:tc>
          <w:tcPr>
            <w:tcW w:w="215" w:type="dxa"/>
            <w:tcBorders>
              <w:top w:val="nil"/>
              <w:left w:val="nil"/>
              <w:bottom w:val="nil"/>
              <w:right w:val="nil"/>
            </w:tcBorders>
            <w:shd w:val="clear" w:color="auto" w:fill="auto"/>
            <w:noWrap/>
            <w:vAlign w:val="bottom"/>
            <w:hideMark/>
          </w:tcPr>
          <w:p w14:paraId="67EFC0F0" w14:textId="77777777" w:rsidR="00A16901" w:rsidRPr="00D61BDA" w:rsidRDefault="00A16901" w:rsidP="00A16901">
            <w:pPr>
              <w:spacing w:after="0" w:line="240" w:lineRule="auto"/>
              <w:rPr>
                <w:rFonts w:ascii="Times New Roman" w:eastAsia="Times New Roman" w:hAnsi="Times New Roman" w:cs="Times New Roman"/>
                <w:sz w:val="10"/>
                <w:szCs w:val="10"/>
                <w:lang w:eastAsia="pt-BR"/>
              </w:rPr>
            </w:pPr>
          </w:p>
        </w:tc>
        <w:tc>
          <w:tcPr>
            <w:tcW w:w="1787" w:type="dxa"/>
            <w:tcBorders>
              <w:top w:val="nil"/>
              <w:left w:val="nil"/>
              <w:bottom w:val="nil"/>
              <w:right w:val="nil"/>
            </w:tcBorders>
            <w:shd w:val="clear" w:color="auto" w:fill="auto"/>
            <w:noWrap/>
            <w:vAlign w:val="bottom"/>
            <w:hideMark/>
          </w:tcPr>
          <w:p w14:paraId="73C99D50" w14:textId="77777777" w:rsidR="00A16901" w:rsidRPr="00D61BDA" w:rsidRDefault="00A16901" w:rsidP="00A16901">
            <w:pPr>
              <w:spacing w:after="0" w:line="240" w:lineRule="auto"/>
              <w:rPr>
                <w:rFonts w:ascii="Times New Roman" w:eastAsia="Times New Roman" w:hAnsi="Times New Roman" w:cs="Times New Roman"/>
                <w:sz w:val="10"/>
                <w:szCs w:val="10"/>
                <w:lang w:eastAsia="pt-BR"/>
              </w:rPr>
            </w:pPr>
          </w:p>
        </w:tc>
        <w:tc>
          <w:tcPr>
            <w:tcW w:w="219" w:type="dxa"/>
            <w:tcBorders>
              <w:top w:val="nil"/>
              <w:left w:val="nil"/>
              <w:bottom w:val="nil"/>
              <w:right w:val="nil"/>
            </w:tcBorders>
            <w:shd w:val="clear" w:color="auto" w:fill="auto"/>
            <w:noWrap/>
            <w:vAlign w:val="bottom"/>
            <w:hideMark/>
          </w:tcPr>
          <w:p w14:paraId="18A4F602" w14:textId="77777777" w:rsidR="00A16901" w:rsidRPr="00D61BDA" w:rsidRDefault="00A16901" w:rsidP="00A16901">
            <w:pPr>
              <w:spacing w:after="0" w:line="240" w:lineRule="auto"/>
              <w:rPr>
                <w:rFonts w:ascii="Times New Roman" w:eastAsia="Times New Roman" w:hAnsi="Times New Roman" w:cs="Times New Roman"/>
                <w:sz w:val="10"/>
                <w:szCs w:val="10"/>
                <w:lang w:eastAsia="pt-BR"/>
              </w:rPr>
            </w:pPr>
          </w:p>
        </w:tc>
        <w:tc>
          <w:tcPr>
            <w:tcW w:w="2001" w:type="dxa"/>
            <w:tcBorders>
              <w:top w:val="nil"/>
              <w:left w:val="nil"/>
              <w:bottom w:val="nil"/>
              <w:right w:val="nil"/>
            </w:tcBorders>
            <w:shd w:val="clear" w:color="auto" w:fill="auto"/>
            <w:noWrap/>
            <w:vAlign w:val="bottom"/>
            <w:hideMark/>
          </w:tcPr>
          <w:p w14:paraId="0B7E6C98" w14:textId="77777777" w:rsidR="00A16901" w:rsidRPr="00D61BDA" w:rsidRDefault="00A16901" w:rsidP="00A16901">
            <w:pPr>
              <w:spacing w:after="0" w:line="240" w:lineRule="auto"/>
              <w:rPr>
                <w:rFonts w:ascii="Times New Roman" w:eastAsia="Times New Roman" w:hAnsi="Times New Roman" w:cs="Times New Roman"/>
                <w:sz w:val="10"/>
                <w:szCs w:val="10"/>
                <w:lang w:eastAsia="pt-BR"/>
              </w:rPr>
            </w:pPr>
          </w:p>
        </w:tc>
      </w:tr>
      <w:tr w:rsidR="00A16901" w:rsidRPr="00A16901" w14:paraId="19C03C50" w14:textId="77777777" w:rsidTr="00B63957">
        <w:trPr>
          <w:trHeight w:val="33"/>
        </w:trPr>
        <w:tc>
          <w:tcPr>
            <w:tcW w:w="3405" w:type="dxa"/>
            <w:tcBorders>
              <w:top w:val="single" w:sz="4" w:space="0" w:color="auto"/>
              <w:left w:val="nil"/>
              <w:bottom w:val="double" w:sz="6" w:space="0" w:color="auto"/>
              <w:right w:val="nil"/>
            </w:tcBorders>
            <w:shd w:val="clear" w:color="auto" w:fill="auto"/>
            <w:noWrap/>
            <w:vAlign w:val="center"/>
            <w:hideMark/>
          </w:tcPr>
          <w:p w14:paraId="293452B6" w14:textId="77777777" w:rsidR="00A16901" w:rsidRPr="00A16901" w:rsidRDefault="00A16901" w:rsidP="00A16901">
            <w:pPr>
              <w:spacing w:after="0" w:line="240" w:lineRule="auto"/>
              <w:rPr>
                <w:rFonts w:ascii="Verdana" w:eastAsia="Times New Roman" w:hAnsi="Verdana" w:cs="Calibri"/>
                <w:b/>
                <w:bCs/>
                <w:sz w:val="16"/>
                <w:szCs w:val="18"/>
                <w:lang w:eastAsia="pt-BR"/>
              </w:rPr>
            </w:pPr>
            <w:r w:rsidRPr="00A16901">
              <w:rPr>
                <w:rFonts w:ascii="Verdana" w:eastAsia="Times New Roman" w:hAnsi="Verdana" w:cs="Calibri"/>
                <w:b/>
                <w:bCs/>
                <w:sz w:val="16"/>
                <w:szCs w:val="18"/>
                <w:lang w:eastAsia="pt-BR"/>
              </w:rPr>
              <w:t>TOTAL</w:t>
            </w:r>
          </w:p>
        </w:tc>
        <w:tc>
          <w:tcPr>
            <w:tcW w:w="1561" w:type="dxa"/>
            <w:tcBorders>
              <w:top w:val="nil"/>
              <w:left w:val="nil"/>
              <w:bottom w:val="nil"/>
              <w:right w:val="nil"/>
            </w:tcBorders>
            <w:shd w:val="clear" w:color="auto" w:fill="auto"/>
            <w:noWrap/>
            <w:vAlign w:val="center"/>
            <w:hideMark/>
          </w:tcPr>
          <w:p w14:paraId="5755D98C" w14:textId="77777777" w:rsidR="00A16901" w:rsidRPr="00A16901" w:rsidRDefault="00A16901" w:rsidP="00A16901">
            <w:pPr>
              <w:spacing w:after="0" w:line="240" w:lineRule="auto"/>
              <w:rPr>
                <w:rFonts w:ascii="Verdana" w:eastAsia="Times New Roman" w:hAnsi="Verdana" w:cs="Calibri"/>
                <w:b/>
                <w:bCs/>
                <w:sz w:val="16"/>
                <w:szCs w:val="18"/>
                <w:lang w:eastAsia="pt-BR"/>
              </w:rPr>
            </w:pPr>
          </w:p>
        </w:tc>
        <w:tc>
          <w:tcPr>
            <w:tcW w:w="215" w:type="dxa"/>
            <w:tcBorders>
              <w:top w:val="nil"/>
              <w:left w:val="nil"/>
              <w:bottom w:val="nil"/>
              <w:right w:val="nil"/>
            </w:tcBorders>
            <w:shd w:val="clear" w:color="auto" w:fill="auto"/>
            <w:noWrap/>
            <w:vAlign w:val="center"/>
            <w:hideMark/>
          </w:tcPr>
          <w:p w14:paraId="1387AA00" w14:textId="77777777" w:rsidR="00A16901" w:rsidRPr="00A16901" w:rsidRDefault="00A16901" w:rsidP="00A16901">
            <w:pPr>
              <w:spacing w:after="0" w:line="240" w:lineRule="auto"/>
              <w:rPr>
                <w:rFonts w:ascii="Times New Roman" w:eastAsia="Times New Roman" w:hAnsi="Times New Roman" w:cs="Times New Roman"/>
                <w:sz w:val="16"/>
                <w:szCs w:val="20"/>
                <w:lang w:eastAsia="pt-BR"/>
              </w:rPr>
            </w:pPr>
          </w:p>
        </w:tc>
        <w:tc>
          <w:tcPr>
            <w:tcW w:w="1787" w:type="dxa"/>
            <w:tcBorders>
              <w:top w:val="single" w:sz="4" w:space="0" w:color="auto"/>
              <w:left w:val="nil"/>
              <w:bottom w:val="double" w:sz="6" w:space="0" w:color="auto"/>
              <w:right w:val="nil"/>
            </w:tcBorders>
            <w:shd w:val="clear" w:color="auto" w:fill="auto"/>
            <w:noWrap/>
            <w:vAlign w:val="center"/>
            <w:hideMark/>
          </w:tcPr>
          <w:p w14:paraId="5691892E" w14:textId="77777777" w:rsidR="00A16901" w:rsidRPr="00A16901" w:rsidRDefault="00A16901" w:rsidP="00A16901">
            <w:pPr>
              <w:spacing w:after="0" w:line="240" w:lineRule="auto"/>
              <w:rPr>
                <w:rFonts w:ascii="Verdana" w:eastAsia="Times New Roman" w:hAnsi="Verdana" w:cs="Calibri"/>
                <w:b/>
                <w:bCs/>
                <w:sz w:val="16"/>
                <w:szCs w:val="18"/>
                <w:lang w:eastAsia="pt-BR"/>
              </w:rPr>
            </w:pPr>
            <w:r w:rsidRPr="00A16901">
              <w:rPr>
                <w:rFonts w:ascii="Verdana" w:eastAsia="Times New Roman" w:hAnsi="Verdana" w:cs="Calibri"/>
                <w:b/>
                <w:bCs/>
                <w:sz w:val="16"/>
                <w:szCs w:val="18"/>
                <w:lang w:eastAsia="pt-BR"/>
              </w:rPr>
              <w:t xml:space="preserve">        33.544.782 </w:t>
            </w:r>
          </w:p>
        </w:tc>
        <w:tc>
          <w:tcPr>
            <w:tcW w:w="219" w:type="dxa"/>
            <w:tcBorders>
              <w:top w:val="nil"/>
              <w:left w:val="nil"/>
              <w:bottom w:val="nil"/>
              <w:right w:val="nil"/>
            </w:tcBorders>
            <w:shd w:val="clear" w:color="auto" w:fill="auto"/>
            <w:noWrap/>
            <w:vAlign w:val="center"/>
            <w:hideMark/>
          </w:tcPr>
          <w:p w14:paraId="284898FB" w14:textId="77777777" w:rsidR="00A16901" w:rsidRPr="00A16901" w:rsidRDefault="00A16901" w:rsidP="00A16901">
            <w:pPr>
              <w:spacing w:after="0" w:line="240" w:lineRule="auto"/>
              <w:rPr>
                <w:rFonts w:ascii="Verdana" w:eastAsia="Times New Roman" w:hAnsi="Verdana" w:cs="Calibri"/>
                <w:b/>
                <w:bCs/>
                <w:sz w:val="16"/>
                <w:szCs w:val="18"/>
                <w:lang w:eastAsia="pt-BR"/>
              </w:rPr>
            </w:pPr>
          </w:p>
        </w:tc>
        <w:tc>
          <w:tcPr>
            <w:tcW w:w="2001" w:type="dxa"/>
            <w:tcBorders>
              <w:top w:val="single" w:sz="4" w:space="0" w:color="auto"/>
              <w:left w:val="nil"/>
              <w:bottom w:val="double" w:sz="6" w:space="0" w:color="auto"/>
              <w:right w:val="nil"/>
            </w:tcBorders>
            <w:shd w:val="clear" w:color="auto" w:fill="auto"/>
            <w:noWrap/>
            <w:vAlign w:val="center"/>
            <w:hideMark/>
          </w:tcPr>
          <w:p w14:paraId="0421A4E9" w14:textId="77777777" w:rsidR="00A16901" w:rsidRPr="00A16901" w:rsidRDefault="00A16901" w:rsidP="00A16901">
            <w:pPr>
              <w:spacing w:after="0" w:line="240" w:lineRule="auto"/>
              <w:rPr>
                <w:rFonts w:ascii="Verdana" w:eastAsia="Times New Roman" w:hAnsi="Verdana" w:cs="Calibri"/>
                <w:b/>
                <w:bCs/>
                <w:sz w:val="16"/>
                <w:szCs w:val="18"/>
                <w:lang w:eastAsia="pt-BR"/>
              </w:rPr>
            </w:pPr>
            <w:r w:rsidRPr="00A16901">
              <w:rPr>
                <w:rFonts w:ascii="Verdana" w:eastAsia="Times New Roman" w:hAnsi="Verdana" w:cs="Calibri"/>
                <w:b/>
                <w:bCs/>
                <w:sz w:val="16"/>
                <w:szCs w:val="18"/>
                <w:lang w:eastAsia="pt-BR"/>
              </w:rPr>
              <w:t xml:space="preserve">                  41.906 </w:t>
            </w:r>
          </w:p>
        </w:tc>
      </w:tr>
    </w:tbl>
    <w:p w14:paraId="7ED68F57" w14:textId="77777777" w:rsidR="00B53E3D" w:rsidRPr="00116729" w:rsidRDefault="00B53E3D" w:rsidP="004A1E74">
      <w:pPr>
        <w:jc w:val="both"/>
        <w:rPr>
          <w:rFonts w:ascii="Verdana" w:hAnsi="Verdana" w:cstheme="minorHAnsi"/>
          <w:noProof/>
          <w:lang w:eastAsia="pt-BR"/>
        </w:rPr>
      </w:pPr>
    </w:p>
    <w:p w14:paraId="08460B59" w14:textId="77777777" w:rsidR="002B1787" w:rsidRPr="00F7132F" w:rsidRDefault="005B6BD5" w:rsidP="00FE3E72">
      <w:pPr>
        <w:tabs>
          <w:tab w:val="left" w:pos="567"/>
          <w:tab w:val="left" w:pos="1134"/>
          <w:tab w:val="left" w:pos="1701"/>
          <w:tab w:val="left" w:pos="2268"/>
          <w:tab w:val="left" w:pos="2835"/>
        </w:tabs>
        <w:jc w:val="both"/>
        <w:outlineLvl w:val="0"/>
        <w:rPr>
          <w:rFonts w:ascii="Verdana" w:hAnsi="Verdana" w:cstheme="minorHAnsi"/>
          <w:b/>
        </w:rPr>
      </w:pPr>
      <w:r w:rsidRPr="00F7132F">
        <w:rPr>
          <w:rFonts w:ascii="Verdana" w:hAnsi="Verdana" w:cstheme="minorHAnsi"/>
          <w:b/>
        </w:rPr>
        <w:lastRenderedPageBreak/>
        <w:t xml:space="preserve">33 </w:t>
      </w:r>
      <w:r w:rsidR="002B1787" w:rsidRPr="00F7132F">
        <w:rPr>
          <w:rFonts w:ascii="Verdana" w:hAnsi="Verdana" w:cstheme="minorHAnsi"/>
          <w:b/>
        </w:rPr>
        <w:t xml:space="preserve">– COMPROMISSOS OPERACIONAIS DE LONGO PRAZO </w:t>
      </w:r>
    </w:p>
    <w:p w14:paraId="022E09DC" w14:textId="77777777" w:rsidR="00AA27EF" w:rsidRDefault="00AA27EF" w:rsidP="00AA27EF">
      <w:pPr>
        <w:jc w:val="both"/>
        <w:rPr>
          <w:rFonts w:ascii="Verdana" w:hAnsi="Verdana" w:cstheme="minorHAnsi"/>
        </w:rPr>
      </w:pPr>
      <w:r w:rsidRPr="00116729">
        <w:rPr>
          <w:rFonts w:ascii="Verdana" w:hAnsi="Verdana" w:cstheme="minorHAnsi"/>
        </w:rPr>
        <w:t>Além das obrigações registradas no presente balanço, a Companhia</w:t>
      </w:r>
      <w:r w:rsidR="002C6122" w:rsidRPr="00116729">
        <w:rPr>
          <w:rFonts w:ascii="Verdana" w:hAnsi="Verdana" w:cstheme="minorHAnsi"/>
        </w:rPr>
        <w:t xml:space="preserve"> e sua controlada</w:t>
      </w:r>
      <w:r w:rsidRPr="00116729">
        <w:rPr>
          <w:rFonts w:ascii="Verdana" w:hAnsi="Verdana" w:cstheme="minorHAnsi"/>
        </w:rPr>
        <w:t xml:space="preserve"> possu</w:t>
      </w:r>
      <w:r w:rsidR="002C6122" w:rsidRPr="00116729">
        <w:rPr>
          <w:rFonts w:ascii="Verdana" w:hAnsi="Verdana" w:cstheme="minorHAnsi"/>
        </w:rPr>
        <w:t>em</w:t>
      </w:r>
      <w:r w:rsidRPr="00116729">
        <w:rPr>
          <w:rFonts w:ascii="Verdana" w:hAnsi="Verdana" w:cstheme="minorHAnsi"/>
        </w:rPr>
        <w:t xml:space="preserve"> outros compromissos contratados até a data do balanço, mas ainda não incorridos e cujas realizações ocorrerão nos próximos exercícios, portanto </w:t>
      </w:r>
      <w:r w:rsidR="002C6122" w:rsidRPr="00116729">
        <w:rPr>
          <w:rFonts w:ascii="Verdana" w:hAnsi="Verdana" w:cstheme="minorHAnsi"/>
        </w:rPr>
        <w:t>sem registros patrimoniais em 30</w:t>
      </w:r>
      <w:r w:rsidRPr="00116729">
        <w:rPr>
          <w:rFonts w:ascii="Verdana" w:hAnsi="Verdana" w:cstheme="minorHAnsi"/>
        </w:rPr>
        <w:t xml:space="preserve"> de </w:t>
      </w:r>
      <w:r w:rsidR="002C6122" w:rsidRPr="00116729">
        <w:rPr>
          <w:rFonts w:ascii="Verdana" w:hAnsi="Verdana" w:cstheme="minorHAnsi"/>
        </w:rPr>
        <w:t xml:space="preserve">junho </w:t>
      </w:r>
      <w:r w:rsidRPr="00116729">
        <w:rPr>
          <w:rFonts w:ascii="Verdana" w:hAnsi="Verdana" w:cstheme="minorHAnsi"/>
        </w:rPr>
        <w:t xml:space="preserve">de 2022. Trata-se de contratos e termos de compromissos referentes: à venda de energia elétrica, à aquisição de matéria-prima - combustível nuclear - para produção de energia elétrica, aos compromissos socioambientais vinculados ao empreendimento Angra 3 e à aquisição de bens e serviços para substituições em seu ativo imobilizado, a saber: </w:t>
      </w:r>
    </w:p>
    <w:p w14:paraId="3B3CFD10" w14:textId="77777777" w:rsidR="00AA27EF" w:rsidRPr="00F7132F" w:rsidRDefault="005B6BD5" w:rsidP="00A01E65">
      <w:pPr>
        <w:widowControl w:val="0"/>
        <w:autoSpaceDE w:val="0"/>
        <w:autoSpaceDN w:val="0"/>
        <w:jc w:val="both"/>
        <w:rPr>
          <w:rFonts w:ascii="Verdana" w:hAnsi="Verdana" w:cstheme="minorHAnsi"/>
          <w:b/>
          <w:bCs/>
        </w:rPr>
      </w:pPr>
      <w:r w:rsidRPr="00F7132F">
        <w:rPr>
          <w:rFonts w:ascii="Verdana" w:hAnsi="Verdana" w:cstheme="minorHAnsi"/>
          <w:b/>
          <w:bCs/>
        </w:rPr>
        <w:t>33</w:t>
      </w:r>
      <w:r w:rsidR="00AA27EF" w:rsidRPr="00F7132F">
        <w:rPr>
          <w:rFonts w:ascii="Verdana" w:hAnsi="Verdana" w:cstheme="minorHAnsi"/>
          <w:b/>
          <w:bCs/>
        </w:rPr>
        <w:t>.1 – Venda de energia elétrica</w:t>
      </w:r>
    </w:p>
    <w:p w14:paraId="2DC514E0" w14:textId="77777777" w:rsidR="00AA27EF" w:rsidRPr="00C11BC9" w:rsidRDefault="00AA27EF" w:rsidP="00AA27EF">
      <w:pPr>
        <w:jc w:val="both"/>
        <w:rPr>
          <w:rFonts w:ascii="Verdana" w:hAnsi="Verdana" w:cstheme="minorHAnsi"/>
        </w:rPr>
      </w:pPr>
      <w:r w:rsidRPr="00116729">
        <w:rPr>
          <w:rFonts w:ascii="Verdana" w:hAnsi="Verdana" w:cstheme="minorHAnsi"/>
        </w:rPr>
        <w:t xml:space="preserve">Com a regulamentação da Aneel para o dispositivo do art.11, da Lei 12.111/2009 e mediante a edição da Resolução Normativa nº 1.009, de 22 de março de 2022, toda a receita decorrente da geração das Usinas Angra 1 e 2 será rateada entre todas as concessionárias, permissionárias ou autorizadas de serviço público de distribuição do Sistema Interligado Nacional – SIN, de acordo com as cotas-partes estabelecidas pela Aneel para o período de 2022 a 2029. A Resolução Homologatória Aneel nº </w:t>
      </w:r>
      <w:r w:rsidRPr="00C11BC9">
        <w:rPr>
          <w:rFonts w:ascii="Verdana" w:hAnsi="Verdana" w:cstheme="minorHAnsi"/>
          <w:iCs/>
        </w:rPr>
        <w:t>3.002</w:t>
      </w:r>
      <w:r w:rsidRPr="00C11BC9">
        <w:rPr>
          <w:rFonts w:ascii="Verdana" w:hAnsi="Verdana" w:cstheme="minorHAnsi"/>
        </w:rPr>
        <w:t xml:space="preserve">/2021 estabeleceu a receita fixa de R$ </w:t>
      </w:r>
      <w:r w:rsidRPr="00C11BC9">
        <w:rPr>
          <w:rFonts w:ascii="Verdana" w:hAnsi="Verdana" w:cstheme="minorHAnsi"/>
          <w:iCs/>
        </w:rPr>
        <w:t xml:space="preserve">4.672.327 </w:t>
      </w:r>
      <w:r w:rsidRPr="00C11BC9">
        <w:rPr>
          <w:rFonts w:ascii="Verdana" w:hAnsi="Verdana" w:cstheme="minorHAnsi"/>
        </w:rPr>
        <w:t xml:space="preserve">para o ano de 2022, relativa às Centrais de Geração Angra 1 e 2. </w:t>
      </w:r>
    </w:p>
    <w:p w14:paraId="7CBE997B" w14:textId="77777777" w:rsidR="00AA27EF" w:rsidRPr="00C11BC9" w:rsidRDefault="00AA27EF" w:rsidP="00AA27EF">
      <w:pPr>
        <w:pStyle w:val="Default"/>
        <w:spacing w:line="264" w:lineRule="auto"/>
        <w:jc w:val="both"/>
        <w:rPr>
          <w:rFonts w:cstheme="minorHAnsi"/>
          <w:color w:val="auto"/>
          <w:sz w:val="22"/>
          <w:szCs w:val="22"/>
        </w:rPr>
      </w:pPr>
      <w:r w:rsidRPr="00C11BC9">
        <w:rPr>
          <w:rFonts w:cstheme="minorHAnsi"/>
          <w:color w:val="auto"/>
          <w:sz w:val="22"/>
          <w:szCs w:val="22"/>
        </w:rPr>
        <w:t>Conforme está previsto nos procedimentos estabelecidos pela Aneel, as atualizações da receita fixa das Usinas Angra 1 e 2 ocorrerão nas seguintes condições:</w:t>
      </w:r>
    </w:p>
    <w:p w14:paraId="37130828" w14:textId="77777777" w:rsidR="00AA27EF" w:rsidRPr="00C11BC9" w:rsidRDefault="00AA27EF" w:rsidP="00AA27EF">
      <w:pPr>
        <w:pStyle w:val="Default"/>
        <w:spacing w:line="264" w:lineRule="auto"/>
        <w:jc w:val="both"/>
        <w:rPr>
          <w:rFonts w:cstheme="minorHAnsi"/>
          <w:color w:val="auto"/>
          <w:sz w:val="22"/>
          <w:szCs w:val="22"/>
          <w:highlight w:val="yellow"/>
        </w:rPr>
      </w:pPr>
    </w:p>
    <w:p w14:paraId="702CC5C3" w14:textId="77777777" w:rsidR="00AA27EF" w:rsidRPr="00C11BC9" w:rsidRDefault="00AA27EF" w:rsidP="00AA27EF">
      <w:pPr>
        <w:pStyle w:val="Default"/>
        <w:numPr>
          <w:ilvl w:val="0"/>
          <w:numId w:val="11"/>
        </w:numPr>
        <w:adjustRightInd/>
        <w:spacing w:line="264" w:lineRule="auto"/>
        <w:ind w:left="1418" w:hanging="425"/>
        <w:jc w:val="both"/>
        <w:rPr>
          <w:rFonts w:cstheme="minorHAnsi"/>
          <w:color w:val="auto"/>
          <w:sz w:val="22"/>
          <w:szCs w:val="22"/>
        </w:rPr>
      </w:pPr>
      <w:r w:rsidRPr="00C11BC9">
        <w:rPr>
          <w:rFonts w:cstheme="minorHAnsi"/>
          <w:color w:val="auto"/>
          <w:sz w:val="22"/>
          <w:szCs w:val="22"/>
        </w:rPr>
        <w:t>Reajustes tarifários anuais, representados pela atualização inflacionária dos valores do período;</w:t>
      </w:r>
    </w:p>
    <w:p w14:paraId="00ABC4E0" w14:textId="77777777" w:rsidR="00AA27EF" w:rsidRPr="00C11BC9" w:rsidRDefault="00AA27EF" w:rsidP="00AA27EF">
      <w:pPr>
        <w:pStyle w:val="Default"/>
        <w:numPr>
          <w:ilvl w:val="0"/>
          <w:numId w:val="11"/>
        </w:numPr>
        <w:adjustRightInd/>
        <w:spacing w:line="264" w:lineRule="auto"/>
        <w:ind w:left="1418" w:hanging="425"/>
        <w:jc w:val="both"/>
        <w:rPr>
          <w:rFonts w:cstheme="minorHAnsi"/>
          <w:color w:val="auto"/>
          <w:sz w:val="22"/>
          <w:szCs w:val="22"/>
        </w:rPr>
      </w:pPr>
      <w:r w:rsidRPr="00C11BC9">
        <w:rPr>
          <w:rFonts w:cstheme="minorHAnsi"/>
          <w:color w:val="auto"/>
          <w:sz w:val="22"/>
          <w:szCs w:val="22"/>
        </w:rPr>
        <w:t>Revisões tarifárias a cada intervalo de três anos;</w:t>
      </w:r>
    </w:p>
    <w:p w14:paraId="58AC82BD" w14:textId="77777777" w:rsidR="00BD50AB" w:rsidRPr="004A1E74" w:rsidRDefault="00AA27EF" w:rsidP="004A1E74">
      <w:pPr>
        <w:pStyle w:val="PargrafodaLista"/>
        <w:numPr>
          <w:ilvl w:val="0"/>
          <w:numId w:val="11"/>
        </w:numPr>
        <w:autoSpaceDE w:val="0"/>
        <w:autoSpaceDN w:val="0"/>
        <w:spacing w:line="264" w:lineRule="auto"/>
        <w:ind w:left="1418" w:hanging="425"/>
        <w:contextualSpacing/>
        <w:rPr>
          <w:rFonts w:ascii="Verdana" w:hAnsi="Verdana" w:cstheme="minorHAnsi"/>
          <w:szCs w:val="22"/>
        </w:rPr>
      </w:pPr>
      <w:r w:rsidRPr="00C11BC9">
        <w:rPr>
          <w:rFonts w:ascii="Verdana" w:hAnsi="Verdana" w:cstheme="minorHAnsi"/>
          <w:szCs w:val="22"/>
        </w:rPr>
        <w:t xml:space="preserve">Revisões extraordinárias poderão ser realizadas por solicitação da </w:t>
      </w:r>
      <w:r w:rsidR="00397D36" w:rsidRPr="00C11BC9">
        <w:rPr>
          <w:rFonts w:ascii="Verdana" w:hAnsi="Verdana" w:cstheme="minorHAnsi"/>
          <w:szCs w:val="22"/>
        </w:rPr>
        <w:t>controlada Eletronuclear</w:t>
      </w:r>
      <w:r w:rsidRPr="00C11BC9">
        <w:rPr>
          <w:rFonts w:ascii="Verdana" w:hAnsi="Verdana" w:cstheme="minorHAnsi"/>
          <w:szCs w:val="22"/>
        </w:rPr>
        <w:t xml:space="preserve"> ou por iniciativa da Aneel, para cobertura de custos excepcionais, visando restabelecer o equilíbrio econômico-financeiro dos empreendimentos. </w:t>
      </w:r>
    </w:p>
    <w:p w14:paraId="6D2083CB" w14:textId="77777777" w:rsidR="003C63A3" w:rsidRPr="00D61BDA" w:rsidRDefault="003C63A3" w:rsidP="004A1E74">
      <w:pPr>
        <w:jc w:val="both"/>
        <w:rPr>
          <w:rFonts w:ascii="Verdana" w:hAnsi="Verdana" w:cstheme="minorHAnsi"/>
          <w:noProof/>
          <w:sz w:val="16"/>
          <w:szCs w:val="16"/>
          <w:lang w:eastAsia="pt-BR"/>
        </w:rPr>
      </w:pPr>
    </w:p>
    <w:tbl>
      <w:tblPr>
        <w:tblW w:w="9438" w:type="dxa"/>
        <w:tblCellMar>
          <w:left w:w="70" w:type="dxa"/>
          <w:right w:w="70" w:type="dxa"/>
        </w:tblCellMar>
        <w:tblLook w:val="04A0" w:firstRow="1" w:lastRow="0" w:firstColumn="1" w:lastColumn="0" w:noHBand="0" w:noVBand="1"/>
      </w:tblPr>
      <w:tblGrid>
        <w:gridCol w:w="1040"/>
        <w:gridCol w:w="146"/>
        <w:gridCol w:w="1040"/>
        <w:gridCol w:w="146"/>
        <w:gridCol w:w="1031"/>
        <w:gridCol w:w="146"/>
        <w:gridCol w:w="1041"/>
        <w:gridCol w:w="146"/>
        <w:gridCol w:w="1041"/>
        <w:gridCol w:w="146"/>
        <w:gridCol w:w="1026"/>
        <w:gridCol w:w="146"/>
        <w:gridCol w:w="1099"/>
        <w:gridCol w:w="146"/>
        <w:gridCol w:w="1099"/>
      </w:tblGrid>
      <w:tr w:rsidR="00D61BDA" w:rsidRPr="00D61BDA" w14:paraId="4A26C092" w14:textId="77777777" w:rsidTr="00D61BDA">
        <w:trPr>
          <w:trHeight w:val="20"/>
        </w:trPr>
        <w:tc>
          <w:tcPr>
            <w:tcW w:w="1040" w:type="dxa"/>
            <w:tcBorders>
              <w:top w:val="single" w:sz="4" w:space="0" w:color="auto"/>
              <w:left w:val="nil"/>
              <w:bottom w:val="single" w:sz="4" w:space="0" w:color="auto"/>
              <w:right w:val="nil"/>
            </w:tcBorders>
            <w:shd w:val="clear" w:color="auto" w:fill="auto"/>
            <w:noWrap/>
            <w:vAlign w:val="bottom"/>
            <w:hideMark/>
          </w:tcPr>
          <w:p w14:paraId="136D0713" w14:textId="77777777" w:rsidR="00D61BDA" w:rsidRPr="00D61BDA" w:rsidRDefault="00D61BDA" w:rsidP="00D61BDA">
            <w:pPr>
              <w:spacing w:after="0" w:line="240" w:lineRule="auto"/>
              <w:rPr>
                <w:rFonts w:ascii="Verdana" w:eastAsia="Times New Roman" w:hAnsi="Verdana" w:cs="Calibri"/>
                <w:b/>
                <w:bCs/>
                <w:sz w:val="16"/>
                <w:szCs w:val="16"/>
                <w:lang w:eastAsia="pt-BR"/>
              </w:rPr>
            </w:pPr>
            <w:r w:rsidRPr="00D61BDA">
              <w:rPr>
                <w:rFonts w:ascii="Verdana" w:eastAsia="Times New Roman" w:hAnsi="Verdana" w:cs="Calibri"/>
                <w:b/>
                <w:bCs/>
                <w:sz w:val="16"/>
                <w:szCs w:val="16"/>
                <w:lang w:eastAsia="pt-BR"/>
              </w:rPr>
              <w:t>Ano</w:t>
            </w:r>
          </w:p>
        </w:tc>
        <w:tc>
          <w:tcPr>
            <w:tcW w:w="145" w:type="dxa"/>
            <w:tcBorders>
              <w:top w:val="nil"/>
              <w:left w:val="nil"/>
              <w:bottom w:val="nil"/>
              <w:right w:val="nil"/>
            </w:tcBorders>
            <w:shd w:val="clear" w:color="auto" w:fill="auto"/>
            <w:noWrap/>
            <w:vAlign w:val="bottom"/>
            <w:hideMark/>
          </w:tcPr>
          <w:p w14:paraId="58B50EFC" w14:textId="77777777" w:rsidR="00D61BDA" w:rsidRPr="00D61BDA" w:rsidRDefault="00D61BDA" w:rsidP="00D61BDA">
            <w:pPr>
              <w:spacing w:after="0" w:line="240" w:lineRule="auto"/>
              <w:rPr>
                <w:rFonts w:ascii="Verdana" w:eastAsia="Times New Roman" w:hAnsi="Verdana" w:cs="Calibri"/>
                <w:b/>
                <w:bCs/>
                <w:sz w:val="16"/>
                <w:szCs w:val="16"/>
                <w:lang w:eastAsia="pt-BR"/>
              </w:rPr>
            </w:pPr>
          </w:p>
        </w:tc>
        <w:tc>
          <w:tcPr>
            <w:tcW w:w="1040" w:type="dxa"/>
            <w:tcBorders>
              <w:top w:val="single" w:sz="4" w:space="0" w:color="auto"/>
              <w:left w:val="nil"/>
              <w:bottom w:val="single" w:sz="4" w:space="0" w:color="auto"/>
              <w:right w:val="nil"/>
            </w:tcBorders>
            <w:shd w:val="clear" w:color="auto" w:fill="auto"/>
            <w:noWrap/>
            <w:vAlign w:val="center"/>
            <w:hideMark/>
          </w:tcPr>
          <w:p w14:paraId="350CC465" w14:textId="77777777" w:rsidR="00D61BDA" w:rsidRPr="00D61BDA" w:rsidRDefault="00D61BDA" w:rsidP="00D61BDA">
            <w:pPr>
              <w:spacing w:after="0" w:line="240" w:lineRule="auto"/>
              <w:jc w:val="right"/>
              <w:rPr>
                <w:rFonts w:ascii="Verdana" w:eastAsia="Times New Roman" w:hAnsi="Verdana" w:cs="Calibri"/>
                <w:b/>
                <w:bCs/>
                <w:sz w:val="16"/>
                <w:szCs w:val="16"/>
                <w:lang w:eastAsia="pt-BR"/>
              </w:rPr>
            </w:pPr>
            <w:r w:rsidRPr="00D61BDA">
              <w:rPr>
                <w:rFonts w:ascii="Verdana" w:eastAsia="Times New Roman" w:hAnsi="Verdana" w:cs="Calibri"/>
                <w:b/>
                <w:bCs/>
                <w:sz w:val="16"/>
                <w:szCs w:val="16"/>
                <w:lang w:eastAsia="pt-BR"/>
              </w:rPr>
              <w:t>2022</w:t>
            </w:r>
          </w:p>
        </w:tc>
        <w:tc>
          <w:tcPr>
            <w:tcW w:w="146" w:type="dxa"/>
            <w:tcBorders>
              <w:top w:val="nil"/>
              <w:left w:val="nil"/>
              <w:bottom w:val="nil"/>
              <w:right w:val="nil"/>
            </w:tcBorders>
            <w:shd w:val="clear" w:color="auto" w:fill="auto"/>
            <w:noWrap/>
            <w:vAlign w:val="center"/>
            <w:hideMark/>
          </w:tcPr>
          <w:p w14:paraId="45D73148" w14:textId="77777777" w:rsidR="00D61BDA" w:rsidRPr="00D61BDA" w:rsidRDefault="00D61BDA" w:rsidP="00D61BDA">
            <w:pPr>
              <w:spacing w:after="0" w:line="240" w:lineRule="auto"/>
              <w:jc w:val="right"/>
              <w:rPr>
                <w:rFonts w:ascii="Verdana" w:eastAsia="Times New Roman" w:hAnsi="Verdana" w:cs="Calibri"/>
                <w:b/>
                <w:bCs/>
                <w:sz w:val="16"/>
                <w:szCs w:val="16"/>
                <w:lang w:eastAsia="pt-BR"/>
              </w:rPr>
            </w:pPr>
          </w:p>
        </w:tc>
        <w:tc>
          <w:tcPr>
            <w:tcW w:w="1031" w:type="dxa"/>
            <w:tcBorders>
              <w:top w:val="single" w:sz="4" w:space="0" w:color="auto"/>
              <w:left w:val="nil"/>
              <w:bottom w:val="single" w:sz="4" w:space="0" w:color="auto"/>
              <w:right w:val="nil"/>
            </w:tcBorders>
            <w:shd w:val="clear" w:color="auto" w:fill="auto"/>
            <w:noWrap/>
            <w:vAlign w:val="center"/>
            <w:hideMark/>
          </w:tcPr>
          <w:p w14:paraId="6B8A61C8" w14:textId="77777777" w:rsidR="00D61BDA" w:rsidRPr="00D61BDA" w:rsidRDefault="00D61BDA" w:rsidP="00D61BDA">
            <w:pPr>
              <w:spacing w:after="0" w:line="240" w:lineRule="auto"/>
              <w:jc w:val="right"/>
              <w:rPr>
                <w:rFonts w:ascii="Verdana" w:eastAsia="Times New Roman" w:hAnsi="Verdana" w:cs="Calibri"/>
                <w:b/>
                <w:bCs/>
                <w:sz w:val="16"/>
                <w:szCs w:val="16"/>
                <w:lang w:eastAsia="pt-BR"/>
              </w:rPr>
            </w:pPr>
            <w:r w:rsidRPr="00D61BDA">
              <w:rPr>
                <w:rFonts w:ascii="Verdana" w:eastAsia="Times New Roman" w:hAnsi="Verdana" w:cs="Calibri"/>
                <w:b/>
                <w:bCs/>
                <w:sz w:val="16"/>
                <w:szCs w:val="16"/>
                <w:lang w:eastAsia="pt-BR"/>
              </w:rPr>
              <w:t>2023</w:t>
            </w:r>
          </w:p>
        </w:tc>
        <w:tc>
          <w:tcPr>
            <w:tcW w:w="146" w:type="dxa"/>
            <w:tcBorders>
              <w:top w:val="nil"/>
              <w:left w:val="nil"/>
              <w:bottom w:val="nil"/>
              <w:right w:val="nil"/>
            </w:tcBorders>
            <w:shd w:val="clear" w:color="auto" w:fill="auto"/>
            <w:noWrap/>
            <w:vAlign w:val="center"/>
            <w:hideMark/>
          </w:tcPr>
          <w:p w14:paraId="36D63290" w14:textId="77777777" w:rsidR="00D61BDA" w:rsidRPr="00D61BDA" w:rsidRDefault="00D61BDA" w:rsidP="00D61BDA">
            <w:pPr>
              <w:spacing w:after="0" w:line="240" w:lineRule="auto"/>
              <w:jc w:val="right"/>
              <w:rPr>
                <w:rFonts w:ascii="Verdana" w:eastAsia="Times New Roman" w:hAnsi="Verdana" w:cs="Calibri"/>
                <w:b/>
                <w:bCs/>
                <w:sz w:val="16"/>
                <w:szCs w:val="16"/>
                <w:lang w:eastAsia="pt-BR"/>
              </w:rPr>
            </w:pPr>
          </w:p>
        </w:tc>
        <w:tc>
          <w:tcPr>
            <w:tcW w:w="1041" w:type="dxa"/>
            <w:tcBorders>
              <w:top w:val="single" w:sz="4" w:space="0" w:color="auto"/>
              <w:left w:val="nil"/>
              <w:bottom w:val="single" w:sz="4" w:space="0" w:color="auto"/>
              <w:right w:val="nil"/>
            </w:tcBorders>
            <w:shd w:val="clear" w:color="auto" w:fill="auto"/>
            <w:noWrap/>
            <w:vAlign w:val="center"/>
            <w:hideMark/>
          </w:tcPr>
          <w:p w14:paraId="525E905C" w14:textId="77777777" w:rsidR="00D61BDA" w:rsidRPr="00D61BDA" w:rsidRDefault="00D61BDA" w:rsidP="00D61BDA">
            <w:pPr>
              <w:spacing w:after="0" w:line="240" w:lineRule="auto"/>
              <w:jc w:val="right"/>
              <w:rPr>
                <w:rFonts w:ascii="Verdana" w:eastAsia="Times New Roman" w:hAnsi="Verdana" w:cs="Calibri"/>
                <w:b/>
                <w:bCs/>
                <w:sz w:val="16"/>
                <w:szCs w:val="16"/>
                <w:lang w:eastAsia="pt-BR"/>
              </w:rPr>
            </w:pPr>
            <w:r w:rsidRPr="00D61BDA">
              <w:rPr>
                <w:rFonts w:ascii="Verdana" w:eastAsia="Times New Roman" w:hAnsi="Verdana" w:cs="Calibri"/>
                <w:b/>
                <w:bCs/>
                <w:sz w:val="16"/>
                <w:szCs w:val="16"/>
                <w:lang w:eastAsia="pt-BR"/>
              </w:rPr>
              <w:t>2024</w:t>
            </w:r>
          </w:p>
        </w:tc>
        <w:tc>
          <w:tcPr>
            <w:tcW w:w="146" w:type="dxa"/>
            <w:tcBorders>
              <w:top w:val="nil"/>
              <w:left w:val="nil"/>
              <w:bottom w:val="nil"/>
              <w:right w:val="nil"/>
            </w:tcBorders>
            <w:shd w:val="clear" w:color="auto" w:fill="auto"/>
            <w:noWrap/>
            <w:vAlign w:val="center"/>
            <w:hideMark/>
          </w:tcPr>
          <w:p w14:paraId="10D4EF4B" w14:textId="77777777" w:rsidR="00D61BDA" w:rsidRPr="00D61BDA" w:rsidRDefault="00D61BDA" w:rsidP="00D61BDA">
            <w:pPr>
              <w:spacing w:after="0" w:line="240" w:lineRule="auto"/>
              <w:jc w:val="right"/>
              <w:rPr>
                <w:rFonts w:ascii="Verdana" w:eastAsia="Times New Roman" w:hAnsi="Verdana" w:cs="Calibri"/>
                <w:b/>
                <w:bCs/>
                <w:sz w:val="16"/>
                <w:szCs w:val="16"/>
                <w:lang w:eastAsia="pt-BR"/>
              </w:rPr>
            </w:pPr>
          </w:p>
        </w:tc>
        <w:tc>
          <w:tcPr>
            <w:tcW w:w="1041" w:type="dxa"/>
            <w:tcBorders>
              <w:top w:val="single" w:sz="4" w:space="0" w:color="auto"/>
              <w:left w:val="nil"/>
              <w:bottom w:val="single" w:sz="4" w:space="0" w:color="auto"/>
              <w:right w:val="nil"/>
            </w:tcBorders>
            <w:shd w:val="clear" w:color="auto" w:fill="auto"/>
            <w:noWrap/>
            <w:vAlign w:val="center"/>
            <w:hideMark/>
          </w:tcPr>
          <w:p w14:paraId="53ECC9DD" w14:textId="77777777" w:rsidR="00D61BDA" w:rsidRPr="00D61BDA" w:rsidRDefault="00D61BDA" w:rsidP="00D61BDA">
            <w:pPr>
              <w:spacing w:after="0" w:line="240" w:lineRule="auto"/>
              <w:jc w:val="right"/>
              <w:rPr>
                <w:rFonts w:ascii="Verdana" w:eastAsia="Times New Roman" w:hAnsi="Verdana" w:cs="Calibri"/>
                <w:b/>
                <w:bCs/>
                <w:sz w:val="16"/>
                <w:szCs w:val="16"/>
                <w:lang w:eastAsia="pt-BR"/>
              </w:rPr>
            </w:pPr>
            <w:r w:rsidRPr="00D61BDA">
              <w:rPr>
                <w:rFonts w:ascii="Verdana" w:eastAsia="Times New Roman" w:hAnsi="Verdana" w:cs="Calibri"/>
                <w:b/>
                <w:bCs/>
                <w:sz w:val="16"/>
                <w:szCs w:val="16"/>
                <w:lang w:eastAsia="pt-BR"/>
              </w:rPr>
              <w:t>2025</w:t>
            </w:r>
          </w:p>
        </w:tc>
        <w:tc>
          <w:tcPr>
            <w:tcW w:w="146" w:type="dxa"/>
            <w:tcBorders>
              <w:top w:val="nil"/>
              <w:left w:val="nil"/>
              <w:bottom w:val="nil"/>
              <w:right w:val="nil"/>
            </w:tcBorders>
            <w:shd w:val="clear" w:color="auto" w:fill="auto"/>
            <w:noWrap/>
            <w:vAlign w:val="center"/>
            <w:hideMark/>
          </w:tcPr>
          <w:p w14:paraId="3E091746" w14:textId="77777777" w:rsidR="00D61BDA" w:rsidRPr="00D61BDA" w:rsidRDefault="00D61BDA" w:rsidP="00D61BDA">
            <w:pPr>
              <w:spacing w:after="0" w:line="240" w:lineRule="auto"/>
              <w:jc w:val="right"/>
              <w:rPr>
                <w:rFonts w:ascii="Verdana" w:eastAsia="Times New Roman" w:hAnsi="Verdana" w:cs="Calibri"/>
                <w:b/>
                <w:bCs/>
                <w:sz w:val="16"/>
                <w:szCs w:val="16"/>
                <w:lang w:eastAsia="pt-BR"/>
              </w:rPr>
            </w:pPr>
          </w:p>
        </w:tc>
        <w:tc>
          <w:tcPr>
            <w:tcW w:w="1026" w:type="dxa"/>
            <w:tcBorders>
              <w:top w:val="single" w:sz="4" w:space="0" w:color="auto"/>
              <w:left w:val="nil"/>
              <w:bottom w:val="single" w:sz="4" w:space="0" w:color="auto"/>
              <w:right w:val="nil"/>
            </w:tcBorders>
            <w:shd w:val="clear" w:color="auto" w:fill="auto"/>
            <w:noWrap/>
            <w:vAlign w:val="center"/>
            <w:hideMark/>
          </w:tcPr>
          <w:p w14:paraId="7DCEB929" w14:textId="77777777" w:rsidR="00D61BDA" w:rsidRPr="00D61BDA" w:rsidRDefault="00D61BDA" w:rsidP="00D61BDA">
            <w:pPr>
              <w:spacing w:after="0" w:line="240" w:lineRule="auto"/>
              <w:jc w:val="right"/>
              <w:rPr>
                <w:rFonts w:ascii="Verdana" w:eastAsia="Times New Roman" w:hAnsi="Verdana" w:cs="Calibri"/>
                <w:b/>
                <w:bCs/>
                <w:sz w:val="16"/>
                <w:szCs w:val="16"/>
                <w:lang w:eastAsia="pt-BR"/>
              </w:rPr>
            </w:pPr>
            <w:r w:rsidRPr="00D61BDA">
              <w:rPr>
                <w:rFonts w:ascii="Verdana" w:eastAsia="Times New Roman" w:hAnsi="Verdana" w:cs="Calibri"/>
                <w:b/>
                <w:bCs/>
                <w:sz w:val="16"/>
                <w:szCs w:val="16"/>
                <w:lang w:eastAsia="pt-BR"/>
              </w:rPr>
              <w:t>2026</w:t>
            </w:r>
          </w:p>
        </w:tc>
        <w:tc>
          <w:tcPr>
            <w:tcW w:w="146" w:type="dxa"/>
            <w:tcBorders>
              <w:top w:val="nil"/>
              <w:left w:val="nil"/>
              <w:bottom w:val="nil"/>
              <w:right w:val="nil"/>
            </w:tcBorders>
            <w:shd w:val="clear" w:color="auto" w:fill="auto"/>
            <w:noWrap/>
            <w:vAlign w:val="center"/>
            <w:hideMark/>
          </w:tcPr>
          <w:p w14:paraId="7EA246D6" w14:textId="77777777" w:rsidR="00D61BDA" w:rsidRPr="00D61BDA" w:rsidRDefault="00D61BDA" w:rsidP="00D61BDA">
            <w:pPr>
              <w:spacing w:after="0" w:line="240" w:lineRule="auto"/>
              <w:jc w:val="right"/>
              <w:rPr>
                <w:rFonts w:ascii="Verdana" w:eastAsia="Times New Roman" w:hAnsi="Verdana" w:cs="Calibri"/>
                <w:b/>
                <w:bCs/>
                <w:sz w:val="16"/>
                <w:szCs w:val="16"/>
                <w:lang w:eastAsia="pt-BR"/>
              </w:rPr>
            </w:pPr>
          </w:p>
        </w:tc>
        <w:tc>
          <w:tcPr>
            <w:tcW w:w="1099" w:type="dxa"/>
            <w:tcBorders>
              <w:top w:val="single" w:sz="4" w:space="0" w:color="auto"/>
              <w:left w:val="nil"/>
              <w:bottom w:val="single" w:sz="4" w:space="0" w:color="auto"/>
              <w:right w:val="nil"/>
            </w:tcBorders>
            <w:shd w:val="clear" w:color="auto" w:fill="auto"/>
            <w:noWrap/>
            <w:vAlign w:val="center"/>
            <w:hideMark/>
          </w:tcPr>
          <w:p w14:paraId="32848424" w14:textId="77777777" w:rsidR="00D61BDA" w:rsidRPr="00D61BDA" w:rsidRDefault="00D61BDA" w:rsidP="00D61BDA">
            <w:pPr>
              <w:spacing w:after="0" w:line="240" w:lineRule="auto"/>
              <w:jc w:val="right"/>
              <w:rPr>
                <w:rFonts w:ascii="Verdana" w:eastAsia="Times New Roman" w:hAnsi="Verdana" w:cs="Calibri"/>
                <w:b/>
                <w:bCs/>
                <w:sz w:val="16"/>
                <w:szCs w:val="16"/>
                <w:lang w:eastAsia="pt-BR"/>
              </w:rPr>
            </w:pPr>
            <w:r w:rsidRPr="00D61BDA">
              <w:rPr>
                <w:rFonts w:ascii="Verdana" w:eastAsia="Times New Roman" w:hAnsi="Verdana" w:cs="Calibri"/>
                <w:b/>
                <w:bCs/>
                <w:sz w:val="16"/>
                <w:szCs w:val="16"/>
                <w:lang w:eastAsia="pt-BR"/>
              </w:rPr>
              <w:t>Após 202</w:t>
            </w:r>
            <w:r>
              <w:rPr>
                <w:rFonts w:ascii="Verdana" w:eastAsia="Times New Roman" w:hAnsi="Verdana" w:cs="Calibri"/>
                <w:b/>
                <w:bCs/>
                <w:sz w:val="16"/>
                <w:szCs w:val="16"/>
                <w:lang w:eastAsia="pt-BR"/>
              </w:rPr>
              <w:t>6</w:t>
            </w:r>
          </w:p>
        </w:tc>
        <w:tc>
          <w:tcPr>
            <w:tcW w:w="146" w:type="dxa"/>
            <w:tcBorders>
              <w:top w:val="nil"/>
              <w:left w:val="nil"/>
              <w:bottom w:val="nil"/>
              <w:right w:val="nil"/>
            </w:tcBorders>
            <w:shd w:val="clear" w:color="auto" w:fill="auto"/>
            <w:noWrap/>
            <w:vAlign w:val="center"/>
            <w:hideMark/>
          </w:tcPr>
          <w:p w14:paraId="20CE316C" w14:textId="77777777" w:rsidR="00D61BDA" w:rsidRPr="00D61BDA" w:rsidRDefault="00D61BDA" w:rsidP="00D61BDA">
            <w:pPr>
              <w:spacing w:after="0" w:line="240" w:lineRule="auto"/>
              <w:jc w:val="right"/>
              <w:rPr>
                <w:rFonts w:ascii="Verdana" w:eastAsia="Times New Roman" w:hAnsi="Verdana" w:cs="Calibri"/>
                <w:b/>
                <w:bCs/>
                <w:sz w:val="16"/>
                <w:szCs w:val="16"/>
                <w:lang w:eastAsia="pt-BR"/>
              </w:rPr>
            </w:pPr>
          </w:p>
        </w:tc>
        <w:tc>
          <w:tcPr>
            <w:tcW w:w="1099" w:type="dxa"/>
            <w:tcBorders>
              <w:top w:val="single" w:sz="4" w:space="0" w:color="auto"/>
              <w:left w:val="nil"/>
              <w:bottom w:val="single" w:sz="4" w:space="0" w:color="auto"/>
              <w:right w:val="nil"/>
            </w:tcBorders>
            <w:shd w:val="clear" w:color="auto" w:fill="auto"/>
            <w:noWrap/>
            <w:vAlign w:val="center"/>
            <w:hideMark/>
          </w:tcPr>
          <w:p w14:paraId="214AB5A2" w14:textId="77777777" w:rsidR="00D61BDA" w:rsidRPr="00D61BDA" w:rsidRDefault="00D61BDA" w:rsidP="00D61BDA">
            <w:pPr>
              <w:spacing w:after="0" w:line="240" w:lineRule="auto"/>
              <w:jc w:val="right"/>
              <w:rPr>
                <w:rFonts w:ascii="Verdana" w:eastAsia="Times New Roman" w:hAnsi="Verdana" w:cs="Calibri"/>
                <w:b/>
                <w:bCs/>
                <w:sz w:val="16"/>
                <w:szCs w:val="16"/>
                <w:lang w:eastAsia="pt-BR"/>
              </w:rPr>
            </w:pPr>
            <w:r w:rsidRPr="00D61BDA">
              <w:rPr>
                <w:rFonts w:ascii="Verdana" w:eastAsia="Times New Roman" w:hAnsi="Verdana" w:cs="Calibri"/>
                <w:b/>
                <w:bCs/>
                <w:sz w:val="16"/>
                <w:szCs w:val="16"/>
                <w:lang w:eastAsia="pt-BR"/>
              </w:rPr>
              <w:t>Total</w:t>
            </w:r>
          </w:p>
        </w:tc>
      </w:tr>
      <w:tr w:rsidR="00D61BDA" w:rsidRPr="00D61BDA" w14:paraId="4BAD32E9" w14:textId="77777777" w:rsidTr="00D61BDA">
        <w:trPr>
          <w:trHeight w:val="20"/>
        </w:trPr>
        <w:tc>
          <w:tcPr>
            <w:tcW w:w="1040" w:type="dxa"/>
            <w:tcBorders>
              <w:top w:val="nil"/>
              <w:left w:val="nil"/>
              <w:bottom w:val="nil"/>
              <w:right w:val="nil"/>
            </w:tcBorders>
            <w:shd w:val="clear" w:color="auto" w:fill="auto"/>
            <w:noWrap/>
            <w:vAlign w:val="bottom"/>
            <w:hideMark/>
          </w:tcPr>
          <w:p w14:paraId="4BB68E22" w14:textId="77777777" w:rsidR="00D61BDA" w:rsidRPr="00D61BDA" w:rsidRDefault="00D61BDA" w:rsidP="00D61BDA">
            <w:pPr>
              <w:spacing w:after="0" w:line="240" w:lineRule="auto"/>
              <w:rPr>
                <w:rFonts w:ascii="Verdana" w:eastAsia="Times New Roman" w:hAnsi="Verdana" w:cs="Calibri"/>
                <w:b/>
                <w:bCs/>
                <w:sz w:val="16"/>
                <w:szCs w:val="16"/>
                <w:lang w:eastAsia="pt-BR"/>
              </w:rPr>
            </w:pPr>
            <w:r w:rsidRPr="00D61BDA">
              <w:rPr>
                <w:rFonts w:ascii="Verdana" w:eastAsia="Times New Roman" w:hAnsi="Verdana" w:cs="Calibri"/>
                <w:b/>
                <w:bCs/>
                <w:sz w:val="16"/>
                <w:szCs w:val="16"/>
                <w:lang w:eastAsia="pt-BR"/>
              </w:rPr>
              <w:t>Valor</w:t>
            </w:r>
          </w:p>
        </w:tc>
        <w:tc>
          <w:tcPr>
            <w:tcW w:w="145" w:type="dxa"/>
            <w:tcBorders>
              <w:top w:val="nil"/>
              <w:left w:val="nil"/>
              <w:bottom w:val="nil"/>
              <w:right w:val="nil"/>
            </w:tcBorders>
            <w:shd w:val="clear" w:color="auto" w:fill="auto"/>
            <w:noWrap/>
            <w:vAlign w:val="bottom"/>
            <w:hideMark/>
          </w:tcPr>
          <w:p w14:paraId="35779A2D" w14:textId="77777777" w:rsidR="00D61BDA" w:rsidRPr="00D61BDA" w:rsidRDefault="00D61BDA" w:rsidP="00D61BDA">
            <w:pPr>
              <w:spacing w:after="0" w:line="240" w:lineRule="auto"/>
              <w:rPr>
                <w:rFonts w:ascii="Verdana" w:eastAsia="Times New Roman" w:hAnsi="Verdana" w:cs="Calibri"/>
                <w:b/>
                <w:bCs/>
                <w:sz w:val="16"/>
                <w:szCs w:val="16"/>
                <w:lang w:eastAsia="pt-BR"/>
              </w:rPr>
            </w:pPr>
          </w:p>
        </w:tc>
        <w:tc>
          <w:tcPr>
            <w:tcW w:w="1040" w:type="dxa"/>
            <w:tcBorders>
              <w:top w:val="nil"/>
              <w:left w:val="nil"/>
              <w:bottom w:val="nil"/>
              <w:right w:val="nil"/>
            </w:tcBorders>
            <w:shd w:val="clear" w:color="auto" w:fill="auto"/>
            <w:noWrap/>
            <w:vAlign w:val="bottom"/>
            <w:hideMark/>
          </w:tcPr>
          <w:p w14:paraId="4862726F" w14:textId="77777777" w:rsidR="00D61BDA" w:rsidRPr="00D61BDA" w:rsidRDefault="00D61BDA" w:rsidP="00D61BDA">
            <w:pPr>
              <w:spacing w:after="0" w:line="240" w:lineRule="auto"/>
              <w:jc w:val="right"/>
              <w:rPr>
                <w:rFonts w:ascii="Verdana" w:eastAsia="Times New Roman" w:hAnsi="Verdana" w:cs="Calibri"/>
                <w:sz w:val="16"/>
                <w:szCs w:val="16"/>
                <w:lang w:eastAsia="pt-BR"/>
              </w:rPr>
            </w:pPr>
            <w:r w:rsidRPr="00D61BDA">
              <w:rPr>
                <w:rFonts w:ascii="Verdana" w:eastAsia="Times New Roman" w:hAnsi="Verdana" w:cs="Calibri"/>
                <w:sz w:val="16"/>
                <w:szCs w:val="16"/>
                <w:lang w:eastAsia="pt-BR"/>
              </w:rPr>
              <w:t>2.336.164</w:t>
            </w:r>
          </w:p>
        </w:tc>
        <w:tc>
          <w:tcPr>
            <w:tcW w:w="146" w:type="dxa"/>
            <w:tcBorders>
              <w:top w:val="nil"/>
              <w:left w:val="nil"/>
              <w:bottom w:val="nil"/>
              <w:right w:val="nil"/>
            </w:tcBorders>
            <w:shd w:val="clear" w:color="auto" w:fill="auto"/>
            <w:noWrap/>
            <w:vAlign w:val="bottom"/>
            <w:hideMark/>
          </w:tcPr>
          <w:p w14:paraId="03CCEE1C" w14:textId="77777777" w:rsidR="00D61BDA" w:rsidRPr="00D61BDA" w:rsidRDefault="00D61BDA" w:rsidP="00D61BDA">
            <w:pPr>
              <w:spacing w:after="0" w:line="240" w:lineRule="auto"/>
              <w:jc w:val="right"/>
              <w:rPr>
                <w:rFonts w:ascii="Verdana" w:eastAsia="Times New Roman" w:hAnsi="Verdana" w:cs="Calibri"/>
                <w:sz w:val="16"/>
                <w:szCs w:val="16"/>
                <w:lang w:eastAsia="pt-BR"/>
              </w:rPr>
            </w:pPr>
          </w:p>
        </w:tc>
        <w:tc>
          <w:tcPr>
            <w:tcW w:w="1031" w:type="dxa"/>
            <w:tcBorders>
              <w:top w:val="nil"/>
              <w:left w:val="nil"/>
              <w:bottom w:val="nil"/>
              <w:right w:val="nil"/>
            </w:tcBorders>
            <w:shd w:val="clear" w:color="auto" w:fill="auto"/>
            <w:noWrap/>
            <w:vAlign w:val="bottom"/>
            <w:hideMark/>
          </w:tcPr>
          <w:p w14:paraId="67D75D38" w14:textId="77777777" w:rsidR="00D61BDA" w:rsidRPr="00D61BDA" w:rsidRDefault="00D61BDA" w:rsidP="00D61BDA">
            <w:pPr>
              <w:spacing w:after="0" w:line="240" w:lineRule="auto"/>
              <w:jc w:val="right"/>
              <w:rPr>
                <w:rFonts w:ascii="Verdana" w:eastAsia="Times New Roman" w:hAnsi="Verdana" w:cs="Calibri"/>
                <w:sz w:val="16"/>
                <w:szCs w:val="16"/>
                <w:lang w:eastAsia="pt-BR"/>
              </w:rPr>
            </w:pPr>
            <w:r w:rsidRPr="00D61BDA">
              <w:rPr>
                <w:rFonts w:ascii="Verdana" w:eastAsia="Times New Roman" w:hAnsi="Verdana" w:cs="Calibri"/>
                <w:sz w:val="16"/>
                <w:szCs w:val="16"/>
                <w:lang w:eastAsia="pt-BR"/>
              </w:rPr>
              <w:t>4.672.327</w:t>
            </w:r>
          </w:p>
        </w:tc>
        <w:tc>
          <w:tcPr>
            <w:tcW w:w="146" w:type="dxa"/>
            <w:tcBorders>
              <w:top w:val="nil"/>
              <w:left w:val="nil"/>
              <w:bottom w:val="nil"/>
              <w:right w:val="nil"/>
            </w:tcBorders>
            <w:shd w:val="clear" w:color="auto" w:fill="auto"/>
            <w:noWrap/>
            <w:vAlign w:val="bottom"/>
            <w:hideMark/>
          </w:tcPr>
          <w:p w14:paraId="4C201E43" w14:textId="77777777" w:rsidR="00D61BDA" w:rsidRPr="00D61BDA" w:rsidRDefault="00D61BDA" w:rsidP="00D61BDA">
            <w:pPr>
              <w:spacing w:after="0" w:line="240" w:lineRule="auto"/>
              <w:jc w:val="right"/>
              <w:rPr>
                <w:rFonts w:ascii="Verdana" w:eastAsia="Times New Roman" w:hAnsi="Verdana" w:cs="Calibri"/>
                <w:sz w:val="16"/>
                <w:szCs w:val="16"/>
                <w:lang w:eastAsia="pt-BR"/>
              </w:rPr>
            </w:pPr>
          </w:p>
        </w:tc>
        <w:tc>
          <w:tcPr>
            <w:tcW w:w="1041" w:type="dxa"/>
            <w:tcBorders>
              <w:top w:val="nil"/>
              <w:left w:val="nil"/>
              <w:bottom w:val="nil"/>
              <w:right w:val="nil"/>
            </w:tcBorders>
            <w:shd w:val="clear" w:color="auto" w:fill="auto"/>
            <w:noWrap/>
            <w:vAlign w:val="bottom"/>
            <w:hideMark/>
          </w:tcPr>
          <w:p w14:paraId="0735BFEB" w14:textId="77777777" w:rsidR="00D61BDA" w:rsidRPr="00D61BDA" w:rsidRDefault="00D61BDA" w:rsidP="00D61BDA">
            <w:pPr>
              <w:spacing w:after="0" w:line="240" w:lineRule="auto"/>
              <w:jc w:val="right"/>
              <w:rPr>
                <w:rFonts w:ascii="Verdana" w:eastAsia="Times New Roman" w:hAnsi="Verdana" w:cs="Calibri"/>
                <w:sz w:val="16"/>
                <w:szCs w:val="16"/>
                <w:lang w:eastAsia="pt-BR"/>
              </w:rPr>
            </w:pPr>
            <w:r w:rsidRPr="00D61BDA">
              <w:rPr>
                <w:rFonts w:ascii="Verdana" w:eastAsia="Times New Roman" w:hAnsi="Verdana" w:cs="Calibri"/>
                <w:sz w:val="16"/>
                <w:szCs w:val="16"/>
                <w:lang w:eastAsia="pt-BR"/>
              </w:rPr>
              <w:t>4.672.327</w:t>
            </w:r>
          </w:p>
        </w:tc>
        <w:tc>
          <w:tcPr>
            <w:tcW w:w="146" w:type="dxa"/>
            <w:tcBorders>
              <w:top w:val="nil"/>
              <w:left w:val="nil"/>
              <w:bottom w:val="nil"/>
              <w:right w:val="nil"/>
            </w:tcBorders>
            <w:shd w:val="clear" w:color="auto" w:fill="auto"/>
            <w:noWrap/>
            <w:vAlign w:val="bottom"/>
            <w:hideMark/>
          </w:tcPr>
          <w:p w14:paraId="34104A1A" w14:textId="77777777" w:rsidR="00D61BDA" w:rsidRPr="00D61BDA" w:rsidRDefault="00D61BDA" w:rsidP="00D61BDA">
            <w:pPr>
              <w:spacing w:after="0" w:line="240" w:lineRule="auto"/>
              <w:jc w:val="right"/>
              <w:rPr>
                <w:rFonts w:ascii="Verdana" w:eastAsia="Times New Roman" w:hAnsi="Verdana" w:cs="Calibri"/>
                <w:sz w:val="16"/>
                <w:szCs w:val="16"/>
                <w:lang w:eastAsia="pt-BR"/>
              </w:rPr>
            </w:pPr>
          </w:p>
        </w:tc>
        <w:tc>
          <w:tcPr>
            <w:tcW w:w="1041" w:type="dxa"/>
            <w:tcBorders>
              <w:top w:val="nil"/>
              <w:left w:val="nil"/>
              <w:bottom w:val="nil"/>
              <w:right w:val="nil"/>
            </w:tcBorders>
            <w:shd w:val="clear" w:color="auto" w:fill="auto"/>
            <w:noWrap/>
            <w:vAlign w:val="bottom"/>
            <w:hideMark/>
          </w:tcPr>
          <w:p w14:paraId="6FF795F8" w14:textId="77777777" w:rsidR="00D61BDA" w:rsidRPr="00D61BDA" w:rsidRDefault="00D61BDA" w:rsidP="00D61BDA">
            <w:pPr>
              <w:spacing w:after="0" w:line="240" w:lineRule="auto"/>
              <w:jc w:val="right"/>
              <w:rPr>
                <w:rFonts w:ascii="Verdana" w:eastAsia="Times New Roman" w:hAnsi="Verdana" w:cs="Calibri"/>
                <w:sz w:val="16"/>
                <w:szCs w:val="16"/>
                <w:lang w:eastAsia="pt-BR"/>
              </w:rPr>
            </w:pPr>
            <w:r w:rsidRPr="00D61BDA">
              <w:rPr>
                <w:rFonts w:ascii="Verdana" w:eastAsia="Times New Roman" w:hAnsi="Verdana" w:cs="Calibri"/>
                <w:sz w:val="16"/>
                <w:szCs w:val="16"/>
                <w:lang w:eastAsia="pt-BR"/>
              </w:rPr>
              <w:t>4.672.327</w:t>
            </w:r>
          </w:p>
        </w:tc>
        <w:tc>
          <w:tcPr>
            <w:tcW w:w="146" w:type="dxa"/>
            <w:tcBorders>
              <w:top w:val="nil"/>
              <w:left w:val="nil"/>
              <w:bottom w:val="nil"/>
              <w:right w:val="nil"/>
            </w:tcBorders>
            <w:shd w:val="clear" w:color="auto" w:fill="auto"/>
            <w:noWrap/>
            <w:vAlign w:val="bottom"/>
            <w:hideMark/>
          </w:tcPr>
          <w:p w14:paraId="084132B9" w14:textId="77777777" w:rsidR="00D61BDA" w:rsidRPr="00D61BDA" w:rsidRDefault="00D61BDA" w:rsidP="00D61BDA">
            <w:pPr>
              <w:spacing w:after="0" w:line="240" w:lineRule="auto"/>
              <w:jc w:val="right"/>
              <w:rPr>
                <w:rFonts w:ascii="Verdana" w:eastAsia="Times New Roman" w:hAnsi="Verdana" w:cs="Calibri"/>
                <w:sz w:val="16"/>
                <w:szCs w:val="16"/>
                <w:lang w:eastAsia="pt-BR"/>
              </w:rPr>
            </w:pPr>
          </w:p>
        </w:tc>
        <w:tc>
          <w:tcPr>
            <w:tcW w:w="1026" w:type="dxa"/>
            <w:tcBorders>
              <w:top w:val="nil"/>
              <w:left w:val="nil"/>
              <w:bottom w:val="nil"/>
              <w:right w:val="nil"/>
            </w:tcBorders>
            <w:shd w:val="clear" w:color="auto" w:fill="auto"/>
            <w:noWrap/>
            <w:vAlign w:val="bottom"/>
            <w:hideMark/>
          </w:tcPr>
          <w:p w14:paraId="48439EC6" w14:textId="77777777" w:rsidR="00D61BDA" w:rsidRPr="00D61BDA" w:rsidRDefault="00D61BDA" w:rsidP="00D61BDA">
            <w:pPr>
              <w:spacing w:after="0" w:line="240" w:lineRule="auto"/>
              <w:jc w:val="right"/>
              <w:rPr>
                <w:rFonts w:ascii="Verdana" w:eastAsia="Times New Roman" w:hAnsi="Verdana" w:cs="Calibri"/>
                <w:sz w:val="16"/>
                <w:szCs w:val="16"/>
                <w:lang w:eastAsia="pt-BR"/>
              </w:rPr>
            </w:pPr>
            <w:r w:rsidRPr="00D61BDA">
              <w:rPr>
                <w:rFonts w:ascii="Verdana" w:eastAsia="Times New Roman" w:hAnsi="Verdana" w:cs="Calibri"/>
                <w:sz w:val="16"/>
                <w:szCs w:val="16"/>
                <w:lang w:eastAsia="pt-BR"/>
              </w:rPr>
              <w:t>4.672.327</w:t>
            </w:r>
          </w:p>
        </w:tc>
        <w:tc>
          <w:tcPr>
            <w:tcW w:w="146" w:type="dxa"/>
            <w:tcBorders>
              <w:top w:val="nil"/>
              <w:left w:val="nil"/>
              <w:bottom w:val="nil"/>
              <w:right w:val="nil"/>
            </w:tcBorders>
            <w:shd w:val="clear" w:color="auto" w:fill="auto"/>
            <w:noWrap/>
            <w:vAlign w:val="bottom"/>
            <w:hideMark/>
          </w:tcPr>
          <w:p w14:paraId="652EFB47" w14:textId="77777777" w:rsidR="00D61BDA" w:rsidRPr="00D61BDA" w:rsidRDefault="00D61BDA" w:rsidP="00D61BDA">
            <w:pPr>
              <w:spacing w:after="0" w:line="240" w:lineRule="auto"/>
              <w:jc w:val="right"/>
              <w:rPr>
                <w:rFonts w:ascii="Verdana" w:eastAsia="Times New Roman" w:hAnsi="Verdana" w:cs="Calibri"/>
                <w:sz w:val="16"/>
                <w:szCs w:val="16"/>
                <w:lang w:eastAsia="pt-BR"/>
              </w:rPr>
            </w:pPr>
          </w:p>
        </w:tc>
        <w:tc>
          <w:tcPr>
            <w:tcW w:w="1099" w:type="dxa"/>
            <w:tcBorders>
              <w:top w:val="nil"/>
              <w:left w:val="nil"/>
              <w:bottom w:val="nil"/>
              <w:right w:val="nil"/>
            </w:tcBorders>
            <w:shd w:val="clear" w:color="auto" w:fill="auto"/>
            <w:noWrap/>
            <w:vAlign w:val="bottom"/>
            <w:hideMark/>
          </w:tcPr>
          <w:p w14:paraId="566ABB77" w14:textId="77777777" w:rsidR="00D61BDA" w:rsidRPr="00D61BDA" w:rsidRDefault="00D61BDA" w:rsidP="00D61BDA">
            <w:pPr>
              <w:spacing w:after="0" w:line="240" w:lineRule="auto"/>
              <w:jc w:val="right"/>
              <w:rPr>
                <w:rFonts w:ascii="Verdana" w:eastAsia="Times New Roman" w:hAnsi="Verdana" w:cs="Calibri"/>
                <w:sz w:val="16"/>
                <w:szCs w:val="16"/>
                <w:lang w:eastAsia="pt-BR"/>
              </w:rPr>
            </w:pPr>
            <w:r w:rsidRPr="00D61BDA">
              <w:rPr>
                <w:rFonts w:ascii="Verdana" w:eastAsia="Times New Roman" w:hAnsi="Verdana" w:cs="Calibri"/>
                <w:sz w:val="16"/>
                <w:szCs w:val="16"/>
                <w:lang w:eastAsia="pt-BR"/>
              </w:rPr>
              <w:t>14.016.981</w:t>
            </w:r>
          </w:p>
        </w:tc>
        <w:tc>
          <w:tcPr>
            <w:tcW w:w="146" w:type="dxa"/>
            <w:tcBorders>
              <w:top w:val="nil"/>
              <w:left w:val="nil"/>
              <w:bottom w:val="nil"/>
              <w:right w:val="nil"/>
            </w:tcBorders>
            <w:shd w:val="clear" w:color="auto" w:fill="auto"/>
            <w:noWrap/>
            <w:vAlign w:val="bottom"/>
            <w:hideMark/>
          </w:tcPr>
          <w:p w14:paraId="57A6BAEA" w14:textId="77777777" w:rsidR="00D61BDA" w:rsidRPr="00D61BDA" w:rsidRDefault="00D61BDA" w:rsidP="00D61BDA">
            <w:pPr>
              <w:spacing w:after="0" w:line="240" w:lineRule="auto"/>
              <w:jc w:val="right"/>
              <w:rPr>
                <w:rFonts w:ascii="Verdana" w:eastAsia="Times New Roman" w:hAnsi="Verdana" w:cs="Calibri"/>
                <w:sz w:val="16"/>
                <w:szCs w:val="16"/>
                <w:lang w:eastAsia="pt-BR"/>
              </w:rPr>
            </w:pPr>
          </w:p>
        </w:tc>
        <w:tc>
          <w:tcPr>
            <w:tcW w:w="1099" w:type="dxa"/>
            <w:tcBorders>
              <w:top w:val="nil"/>
              <w:left w:val="nil"/>
              <w:bottom w:val="nil"/>
              <w:right w:val="nil"/>
            </w:tcBorders>
            <w:shd w:val="clear" w:color="auto" w:fill="auto"/>
            <w:noWrap/>
            <w:vAlign w:val="bottom"/>
            <w:hideMark/>
          </w:tcPr>
          <w:p w14:paraId="325D986C" w14:textId="77777777" w:rsidR="00D61BDA" w:rsidRPr="00D61BDA" w:rsidRDefault="00D61BDA" w:rsidP="00D61BDA">
            <w:pPr>
              <w:spacing w:after="0" w:line="240" w:lineRule="auto"/>
              <w:jc w:val="right"/>
              <w:rPr>
                <w:rFonts w:ascii="Verdana" w:eastAsia="Times New Roman" w:hAnsi="Verdana" w:cs="Calibri"/>
                <w:sz w:val="16"/>
                <w:szCs w:val="16"/>
                <w:lang w:eastAsia="pt-BR"/>
              </w:rPr>
            </w:pPr>
            <w:r w:rsidRPr="00D61BDA">
              <w:rPr>
                <w:rFonts w:ascii="Verdana" w:eastAsia="Times New Roman" w:hAnsi="Verdana" w:cs="Calibri"/>
                <w:sz w:val="16"/>
                <w:szCs w:val="16"/>
                <w:lang w:eastAsia="pt-BR"/>
              </w:rPr>
              <w:t>35.042.453</w:t>
            </w:r>
          </w:p>
        </w:tc>
      </w:tr>
    </w:tbl>
    <w:p w14:paraId="4E870004" w14:textId="77777777" w:rsidR="003C2E07" w:rsidRPr="004A1E74" w:rsidRDefault="003C2E07" w:rsidP="004A1E74">
      <w:pPr>
        <w:jc w:val="both"/>
        <w:rPr>
          <w:rFonts w:ascii="Verdana" w:hAnsi="Verdana" w:cstheme="minorHAnsi"/>
          <w:noProof/>
          <w:lang w:eastAsia="pt-BR"/>
        </w:rPr>
      </w:pPr>
    </w:p>
    <w:p w14:paraId="2C187E75" w14:textId="77777777" w:rsidR="00AA27EF" w:rsidRPr="00F7132F" w:rsidRDefault="005B6BD5" w:rsidP="00A01E65">
      <w:pPr>
        <w:widowControl w:val="0"/>
        <w:autoSpaceDE w:val="0"/>
        <w:autoSpaceDN w:val="0"/>
        <w:jc w:val="both"/>
        <w:rPr>
          <w:rFonts w:ascii="Verdana" w:hAnsi="Verdana" w:cstheme="minorHAnsi"/>
          <w:b/>
          <w:bCs/>
        </w:rPr>
      </w:pPr>
      <w:r w:rsidRPr="00F7132F">
        <w:rPr>
          <w:rFonts w:ascii="Verdana" w:hAnsi="Verdana" w:cstheme="minorHAnsi"/>
          <w:b/>
          <w:bCs/>
        </w:rPr>
        <w:t>33</w:t>
      </w:r>
      <w:r w:rsidR="00AA27EF" w:rsidRPr="00F7132F">
        <w:rPr>
          <w:rFonts w:ascii="Verdana" w:hAnsi="Verdana" w:cstheme="minorHAnsi"/>
          <w:b/>
          <w:bCs/>
        </w:rPr>
        <w:t>.2 – Combustível nuclear</w:t>
      </w:r>
    </w:p>
    <w:p w14:paraId="42B822A6" w14:textId="77777777" w:rsidR="00AA27EF" w:rsidRPr="00116729" w:rsidRDefault="00AA27EF" w:rsidP="00AA27EF">
      <w:pPr>
        <w:tabs>
          <w:tab w:val="center" w:pos="4782"/>
          <w:tab w:val="right" w:pos="9564"/>
        </w:tabs>
        <w:jc w:val="both"/>
        <w:rPr>
          <w:rFonts w:ascii="Verdana" w:hAnsi="Verdana" w:cstheme="minorHAnsi"/>
        </w:rPr>
      </w:pPr>
      <w:r w:rsidRPr="00116729">
        <w:rPr>
          <w:rFonts w:ascii="Verdana" w:hAnsi="Verdana" w:cstheme="minorHAnsi"/>
        </w:rPr>
        <w:t>Contratos assinados com a Indústrias Nucleares Brasileiras - INB, para aquisição de matéria-prima para produção de energia elétrica e combustível nuclear para as próximas recargas das Usinas Angra 1 e Angra 2, bem como a carga inicial e futuras recargas de Angra 3 conforme quadro demonstrativo a seguir:</w:t>
      </w:r>
    </w:p>
    <w:tbl>
      <w:tblPr>
        <w:tblW w:w="9404" w:type="dxa"/>
        <w:tblCellMar>
          <w:left w:w="70" w:type="dxa"/>
          <w:right w:w="70" w:type="dxa"/>
        </w:tblCellMar>
        <w:tblLook w:val="04A0" w:firstRow="1" w:lastRow="0" w:firstColumn="1" w:lastColumn="0" w:noHBand="0" w:noVBand="1"/>
      </w:tblPr>
      <w:tblGrid>
        <w:gridCol w:w="1092"/>
        <w:gridCol w:w="146"/>
        <w:gridCol w:w="889"/>
        <w:gridCol w:w="146"/>
        <w:gridCol w:w="969"/>
        <w:gridCol w:w="146"/>
        <w:gridCol w:w="1092"/>
        <w:gridCol w:w="146"/>
        <w:gridCol w:w="1092"/>
        <w:gridCol w:w="146"/>
        <w:gridCol w:w="969"/>
        <w:gridCol w:w="146"/>
        <w:gridCol w:w="1154"/>
        <w:gridCol w:w="146"/>
        <w:gridCol w:w="1154"/>
      </w:tblGrid>
      <w:tr w:rsidR="00D61BDA" w:rsidRPr="00D61BDA" w14:paraId="7719260A" w14:textId="77777777" w:rsidTr="00E3049D">
        <w:trPr>
          <w:trHeight w:val="251"/>
        </w:trPr>
        <w:tc>
          <w:tcPr>
            <w:tcW w:w="1092" w:type="dxa"/>
            <w:tcBorders>
              <w:top w:val="single" w:sz="8" w:space="0" w:color="auto"/>
              <w:left w:val="nil"/>
              <w:bottom w:val="single" w:sz="8" w:space="0" w:color="auto"/>
              <w:right w:val="nil"/>
            </w:tcBorders>
            <w:shd w:val="clear" w:color="auto" w:fill="auto"/>
            <w:noWrap/>
            <w:vAlign w:val="center"/>
            <w:hideMark/>
          </w:tcPr>
          <w:p w14:paraId="2D161379" w14:textId="77777777" w:rsidR="00D61BDA" w:rsidRPr="00D61BDA" w:rsidRDefault="00D61BDA" w:rsidP="00E3049D">
            <w:pPr>
              <w:spacing w:after="0" w:line="240" w:lineRule="auto"/>
              <w:ind w:left="-154" w:firstLine="154"/>
              <w:rPr>
                <w:rFonts w:ascii="Verdana" w:eastAsia="Times New Roman" w:hAnsi="Verdana" w:cs="Calibri"/>
                <w:b/>
                <w:bCs/>
                <w:sz w:val="16"/>
                <w:szCs w:val="16"/>
                <w:lang w:eastAsia="pt-BR"/>
              </w:rPr>
            </w:pPr>
            <w:r w:rsidRPr="00D61BDA">
              <w:rPr>
                <w:rFonts w:ascii="Verdana" w:eastAsia="Times New Roman" w:hAnsi="Verdana" w:cs="Calibri"/>
                <w:b/>
                <w:bCs/>
                <w:sz w:val="16"/>
                <w:szCs w:val="16"/>
                <w:lang w:eastAsia="pt-BR"/>
              </w:rPr>
              <w:t>Ano</w:t>
            </w:r>
          </w:p>
        </w:tc>
        <w:tc>
          <w:tcPr>
            <w:tcW w:w="146" w:type="dxa"/>
            <w:tcBorders>
              <w:top w:val="nil"/>
              <w:left w:val="nil"/>
              <w:bottom w:val="nil"/>
              <w:right w:val="nil"/>
            </w:tcBorders>
            <w:shd w:val="clear" w:color="auto" w:fill="auto"/>
            <w:noWrap/>
            <w:vAlign w:val="bottom"/>
            <w:hideMark/>
          </w:tcPr>
          <w:p w14:paraId="42F5C247" w14:textId="77777777" w:rsidR="00D61BDA" w:rsidRPr="00D61BDA" w:rsidRDefault="00D61BDA" w:rsidP="00E3049D">
            <w:pPr>
              <w:spacing w:after="0" w:line="240" w:lineRule="auto"/>
              <w:ind w:left="-154" w:firstLine="154"/>
              <w:rPr>
                <w:rFonts w:ascii="Verdana" w:eastAsia="Times New Roman" w:hAnsi="Verdana" w:cs="Calibri"/>
                <w:b/>
                <w:bCs/>
                <w:sz w:val="16"/>
                <w:szCs w:val="16"/>
                <w:lang w:eastAsia="pt-BR"/>
              </w:rPr>
            </w:pPr>
          </w:p>
        </w:tc>
        <w:tc>
          <w:tcPr>
            <w:tcW w:w="889" w:type="dxa"/>
            <w:tcBorders>
              <w:top w:val="single" w:sz="8" w:space="0" w:color="auto"/>
              <w:left w:val="nil"/>
              <w:bottom w:val="single" w:sz="8" w:space="0" w:color="auto"/>
              <w:right w:val="nil"/>
            </w:tcBorders>
            <w:shd w:val="clear" w:color="auto" w:fill="auto"/>
            <w:noWrap/>
            <w:vAlign w:val="center"/>
            <w:hideMark/>
          </w:tcPr>
          <w:p w14:paraId="692AF5E8" w14:textId="77777777" w:rsidR="00D61BDA" w:rsidRPr="00D61BDA" w:rsidRDefault="00D61BDA" w:rsidP="00E3049D">
            <w:pPr>
              <w:spacing w:after="0" w:line="240" w:lineRule="auto"/>
              <w:ind w:left="-154" w:firstLine="154"/>
              <w:jc w:val="right"/>
              <w:rPr>
                <w:rFonts w:ascii="Verdana" w:eastAsia="Times New Roman" w:hAnsi="Verdana" w:cs="Calibri"/>
                <w:b/>
                <w:bCs/>
                <w:sz w:val="16"/>
                <w:szCs w:val="16"/>
                <w:lang w:eastAsia="pt-BR"/>
              </w:rPr>
            </w:pPr>
            <w:r w:rsidRPr="00D61BDA">
              <w:rPr>
                <w:rFonts w:ascii="Verdana" w:eastAsia="Times New Roman" w:hAnsi="Verdana" w:cs="Calibri"/>
                <w:b/>
                <w:bCs/>
                <w:sz w:val="16"/>
                <w:szCs w:val="16"/>
                <w:lang w:eastAsia="pt-BR"/>
              </w:rPr>
              <w:t>2022</w:t>
            </w:r>
          </w:p>
        </w:tc>
        <w:tc>
          <w:tcPr>
            <w:tcW w:w="146" w:type="dxa"/>
            <w:tcBorders>
              <w:top w:val="nil"/>
              <w:left w:val="nil"/>
              <w:bottom w:val="nil"/>
              <w:right w:val="nil"/>
            </w:tcBorders>
            <w:shd w:val="clear" w:color="auto" w:fill="auto"/>
            <w:noWrap/>
            <w:vAlign w:val="center"/>
            <w:hideMark/>
          </w:tcPr>
          <w:p w14:paraId="3028B680" w14:textId="77777777" w:rsidR="00D61BDA" w:rsidRPr="00D61BDA" w:rsidRDefault="00D61BDA" w:rsidP="00E3049D">
            <w:pPr>
              <w:spacing w:after="0" w:line="240" w:lineRule="auto"/>
              <w:ind w:left="-154" w:firstLine="154"/>
              <w:jc w:val="right"/>
              <w:rPr>
                <w:rFonts w:ascii="Verdana" w:eastAsia="Times New Roman" w:hAnsi="Verdana" w:cs="Calibri"/>
                <w:b/>
                <w:bCs/>
                <w:sz w:val="16"/>
                <w:szCs w:val="16"/>
                <w:lang w:eastAsia="pt-BR"/>
              </w:rPr>
            </w:pPr>
          </w:p>
        </w:tc>
        <w:tc>
          <w:tcPr>
            <w:tcW w:w="969" w:type="dxa"/>
            <w:tcBorders>
              <w:top w:val="single" w:sz="8" w:space="0" w:color="auto"/>
              <w:left w:val="nil"/>
              <w:bottom w:val="single" w:sz="8" w:space="0" w:color="auto"/>
              <w:right w:val="nil"/>
            </w:tcBorders>
            <w:shd w:val="clear" w:color="auto" w:fill="auto"/>
            <w:noWrap/>
            <w:vAlign w:val="center"/>
            <w:hideMark/>
          </w:tcPr>
          <w:p w14:paraId="24EE1196" w14:textId="77777777" w:rsidR="00D61BDA" w:rsidRPr="00D61BDA" w:rsidRDefault="00D61BDA" w:rsidP="00E3049D">
            <w:pPr>
              <w:spacing w:after="0" w:line="240" w:lineRule="auto"/>
              <w:ind w:left="-154" w:firstLine="154"/>
              <w:jc w:val="right"/>
              <w:rPr>
                <w:rFonts w:ascii="Verdana" w:eastAsia="Times New Roman" w:hAnsi="Verdana" w:cs="Calibri"/>
                <w:b/>
                <w:bCs/>
                <w:sz w:val="16"/>
                <w:szCs w:val="16"/>
                <w:lang w:eastAsia="pt-BR"/>
              </w:rPr>
            </w:pPr>
            <w:r w:rsidRPr="00D61BDA">
              <w:rPr>
                <w:rFonts w:ascii="Verdana" w:eastAsia="Times New Roman" w:hAnsi="Verdana" w:cs="Calibri"/>
                <w:b/>
                <w:bCs/>
                <w:sz w:val="16"/>
                <w:szCs w:val="16"/>
                <w:lang w:eastAsia="pt-BR"/>
              </w:rPr>
              <w:t>2023</w:t>
            </w:r>
          </w:p>
        </w:tc>
        <w:tc>
          <w:tcPr>
            <w:tcW w:w="146" w:type="dxa"/>
            <w:tcBorders>
              <w:top w:val="nil"/>
              <w:left w:val="nil"/>
              <w:bottom w:val="nil"/>
              <w:right w:val="nil"/>
            </w:tcBorders>
            <w:shd w:val="clear" w:color="auto" w:fill="auto"/>
            <w:noWrap/>
            <w:vAlign w:val="center"/>
            <w:hideMark/>
          </w:tcPr>
          <w:p w14:paraId="5C256D19" w14:textId="77777777" w:rsidR="00D61BDA" w:rsidRPr="00D61BDA" w:rsidRDefault="00D61BDA" w:rsidP="00E3049D">
            <w:pPr>
              <w:spacing w:after="0" w:line="240" w:lineRule="auto"/>
              <w:ind w:left="-154" w:firstLine="154"/>
              <w:jc w:val="right"/>
              <w:rPr>
                <w:rFonts w:ascii="Verdana" w:eastAsia="Times New Roman" w:hAnsi="Verdana" w:cs="Calibri"/>
                <w:b/>
                <w:bCs/>
                <w:sz w:val="16"/>
                <w:szCs w:val="16"/>
                <w:lang w:eastAsia="pt-BR"/>
              </w:rPr>
            </w:pPr>
          </w:p>
        </w:tc>
        <w:tc>
          <w:tcPr>
            <w:tcW w:w="1092" w:type="dxa"/>
            <w:tcBorders>
              <w:top w:val="single" w:sz="8" w:space="0" w:color="auto"/>
              <w:left w:val="nil"/>
              <w:bottom w:val="single" w:sz="8" w:space="0" w:color="auto"/>
              <w:right w:val="nil"/>
            </w:tcBorders>
            <w:shd w:val="clear" w:color="auto" w:fill="auto"/>
            <w:noWrap/>
            <w:vAlign w:val="center"/>
            <w:hideMark/>
          </w:tcPr>
          <w:p w14:paraId="22D74E79" w14:textId="77777777" w:rsidR="00D61BDA" w:rsidRPr="00D61BDA" w:rsidRDefault="00D61BDA" w:rsidP="00E3049D">
            <w:pPr>
              <w:spacing w:after="0" w:line="240" w:lineRule="auto"/>
              <w:ind w:left="-154" w:firstLine="154"/>
              <w:jc w:val="right"/>
              <w:rPr>
                <w:rFonts w:ascii="Verdana" w:eastAsia="Times New Roman" w:hAnsi="Verdana" w:cs="Calibri"/>
                <w:b/>
                <w:bCs/>
                <w:sz w:val="16"/>
                <w:szCs w:val="16"/>
                <w:lang w:eastAsia="pt-BR"/>
              </w:rPr>
            </w:pPr>
            <w:r w:rsidRPr="00D61BDA">
              <w:rPr>
                <w:rFonts w:ascii="Verdana" w:eastAsia="Times New Roman" w:hAnsi="Verdana" w:cs="Calibri"/>
                <w:b/>
                <w:bCs/>
                <w:sz w:val="16"/>
                <w:szCs w:val="16"/>
                <w:lang w:eastAsia="pt-BR"/>
              </w:rPr>
              <w:t>2024</w:t>
            </w:r>
          </w:p>
        </w:tc>
        <w:tc>
          <w:tcPr>
            <w:tcW w:w="146" w:type="dxa"/>
            <w:tcBorders>
              <w:top w:val="nil"/>
              <w:left w:val="nil"/>
              <w:bottom w:val="nil"/>
              <w:right w:val="nil"/>
            </w:tcBorders>
            <w:shd w:val="clear" w:color="auto" w:fill="auto"/>
            <w:noWrap/>
            <w:vAlign w:val="center"/>
            <w:hideMark/>
          </w:tcPr>
          <w:p w14:paraId="38EA2B22" w14:textId="77777777" w:rsidR="00D61BDA" w:rsidRPr="00D61BDA" w:rsidRDefault="00D61BDA" w:rsidP="00E3049D">
            <w:pPr>
              <w:spacing w:after="0" w:line="240" w:lineRule="auto"/>
              <w:ind w:left="-154" w:firstLine="154"/>
              <w:jc w:val="right"/>
              <w:rPr>
                <w:rFonts w:ascii="Verdana" w:eastAsia="Times New Roman" w:hAnsi="Verdana" w:cs="Calibri"/>
                <w:b/>
                <w:bCs/>
                <w:sz w:val="16"/>
                <w:szCs w:val="16"/>
                <w:lang w:eastAsia="pt-BR"/>
              </w:rPr>
            </w:pPr>
          </w:p>
        </w:tc>
        <w:tc>
          <w:tcPr>
            <w:tcW w:w="1092" w:type="dxa"/>
            <w:tcBorders>
              <w:top w:val="single" w:sz="8" w:space="0" w:color="auto"/>
              <w:left w:val="nil"/>
              <w:bottom w:val="single" w:sz="8" w:space="0" w:color="auto"/>
              <w:right w:val="nil"/>
            </w:tcBorders>
            <w:shd w:val="clear" w:color="auto" w:fill="auto"/>
            <w:noWrap/>
            <w:vAlign w:val="center"/>
            <w:hideMark/>
          </w:tcPr>
          <w:p w14:paraId="0A859384" w14:textId="77777777" w:rsidR="00D61BDA" w:rsidRPr="00D61BDA" w:rsidRDefault="00D61BDA" w:rsidP="00E3049D">
            <w:pPr>
              <w:spacing w:after="0" w:line="240" w:lineRule="auto"/>
              <w:ind w:left="-154" w:firstLine="154"/>
              <w:jc w:val="right"/>
              <w:rPr>
                <w:rFonts w:ascii="Verdana" w:eastAsia="Times New Roman" w:hAnsi="Verdana" w:cs="Calibri"/>
                <w:b/>
                <w:bCs/>
                <w:sz w:val="16"/>
                <w:szCs w:val="16"/>
                <w:lang w:eastAsia="pt-BR"/>
              </w:rPr>
            </w:pPr>
            <w:r w:rsidRPr="00D61BDA">
              <w:rPr>
                <w:rFonts w:ascii="Verdana" w:eastAsia="Times New Roman" w:hAnsi="Verdana" w:cs="Calibri"/>
                <w:b/>
                <w:bCs/>
                <w:sz w:val="16"/>
                <w:szCs w:val="16"/>
                <w:lang w:eastAsia="pt-BR"/>
              </w:rPr>
              <w:t>2025</w:t>
            </w:r>
          </w:p>
        </w:tc>
        <w:tc>
          <w:tcPr>
            <w:tcW w:w="146" w:type="dxa"/>
            <w:tcBorders>
              <w:top w:val="nil"/>
              <w:left w:val="nil"/>
              <w:bottom w:val="nil"/>
              <w:right w:val="nil"/>
            </w:tcBorders>
            <w:shd w:val="clear" w:color="auto" w:fill="auto"/>
            <w:noWrap/>
            <w:vAlign w:val="center"/>
            <w:hideMark/>
          </w:tcPr>
          <w:p w14:paraId="4178F277" w14:textId="77777777" w:rsidR="00D61BDA" w:rsidRPr="00D61BDA" w:rsidRDefault="00D61BDA" w:rsidP="00E3049D">
            <w:pPr>
              <w:spacing w:after="0" w:line="240" w:lineRule="auto"/>
              <w:ind w:left="-154" w:firstLine="154"/>
              <w:jc w:val="right"/>
              <w:rPr>
                <w:rFonts w:ascii="Verdana" w:eastAsia="Times New Roman" w:hAnsi="Verdana" w:cs="Calibri"/>
                <w:b/>
                <w:bCs/>
                <w:sz w:val="16"/>
                <w:szCs w:val="16"/>
                <w:lang w:eastAsia="pt-BR"/>
              </w:rPr>
            </w:pPr>
          </w:p>
        </w:tc>
        <w:tc>
          <w:tcPr>
            <w:tcW w:w="940" w:type="dxa"/>
            <w:tcBorders>
              <w:top w:val="single" w:sz="8" w:space="0" w:color="auto"/>
              <w:left w:val="nil"/>
              <w:bottom w:val="single" w:sz="8" w:space="0" w:color="auto"/>
              <w:right w:val="nil"/>
            </w:tcBorders>
            <w:shd w:val="clear" w:color="auto" w:fill="auto"/>
            <w:noWrap/>
            <w:vAlign w:val="center"/>
            <w:hideMark/>
          </w:tcPr>
          <w:p w14:paraId="57FA8BF5" w14:textId="77777777" w:rsidR="00D61BDA" w:rsidRPr="00D61BDA" w:rsidRDefault="00D61BDA" w:rsidP="00E3049D">
            <w:pPr>
              <w:spacing w:after="0" w:line="240" w:lineRule="auto"/>
              <w:ind w:left="-154" w:firstLine="154"/>
              <w:jc w:val="right"/>
              <w:rPr>
                <w:rFonts w:ascii="Verdana" w:eastAsia="Times New Roman" w:hAnsi="Verdana" w:cs="Calibri"/>
                <w:b/>
                <w:bCs/>
                <w:sz w:val="16"/>
                <w:szCs w:val="16"/>
                <w:lang w:eastAsia="pt-BR"/>
              </w:rPr>
            </w:pPr>
            <w:r w:rsidRPr="00D61BDA">
              <w:rPr>
                <w:rFonts w:ascii="Verdana" w:eastAsia="Times New Roman" w:hAnsi="Verdana" w:cs="Calibri"/>
                <w:b/>
                <w:bCs/>
                <w:sz w:val="16"/>
                <w:szCs w:val="16"/>
                <w:lang w:eastAsia="pt-BR"/>
              </w:rPr>
              <w:t>2026</w:t>
            </w:r>
          </w:p>
        </w:tc>
        <w:tc>
          <w:tcPr>
            <w:tcW w:w="146" w:type="dxa"/>
            <w:tcBorders>
              <w:top w:val="nil"/>
              <w:left w:val="nil"/>
              <w:bottom w:val="nil"/>
              <w:right w:val="nil"/>
            </w:tcBorders>
            <w:shd w:val="clear" w:color="auto" w:fill="auto"/>
            <w:noWrap/>
            <w:vAlign w:val="center"/>
            <w:hideMark/>
          </w:tcPr>
          <w:p w14:paraId="41D80FD8" w14:textId="77777777" w:rsidR="00D61BDA" w:rsidRPr="00D61BDA" w:rsidRDefault="00D61BDA" w:rsidP="00E3049D">
            <w:pPr>
              <w:spacing w:after="0" w:line="240" w:lineRule="auto"/>
              <w:ind w:left="-154" w:firstLine="154"/>
              <w:jc w:val="right"/>
              <w:rPr>
                <w:rFonts w:ascii="Verdana" w:eastAsia="Times New Roman" w:hAnsi="Verdana" w:cs="Calibri"/>
                <w:b/>
                <w:bCs/>
                <w:sz w:val="16"/>
                <w:szCs w:val="16"/>
                <w:lang w:eastAsia="pt-BR"/>
              </w:rPr>
            </w:pPr>
          </w:p>
        </w:tc>
        <w:tc>
          <w:tcPr>
            <w:tcW w:w="1154" w:type="dxa"/>
            <w:tcBorders>
              <w:top w:val="single" w:sz="8" w:space="0" w:color="auto"/>
              <w:left w:val="nil"/>
              <w:bottom w:val="single" w:sz="8" w:space="0" w:color="auto"/>
              <w:right w:val="nil"/>
            </w:tcBorders>
            <w:shd w:val="clear" w:color="auto" w:fill="auto"/>
            <w:noWrap/>
            <w:vAlign w:val="center"/>
            <w:hideMark/>
          </w:tcPr>
          <w:p w14:paraId="18E4A325" w14:textId="77777777" w:rsidR="00D61BDA" w:rsidRPr="00D61BDA" w:rsidRDefault="00D61BDA" w:rsidP="00E3049D">
            <w:pPr>
              <w:spacing w:after="0" w:line="240" w:lineRule="auto"/>
              <w:ind w:left="-154" w:firstLine="154"/>
              <w:jc w:val="right"/>
              <w:rPr>
                <w:rFonts w:ascii="Verdana" w:eastAsia="Times New Roman" w:hAnsi="Verdana" w:cs="Calibri"/>
                <w:b/>
                <w:bCs/>
                <w:sz w:val="16"/>
                <w:szCs w:val="16"/>
                <w:lang w:eastAsia="pt-BR"/>
              </w:rPr>
            </w:pPr>
            <w:r w:rsidRPr="00D61BDA">
              <w:rPr>
                <w:rFonts w:ascii="Verdana" w:eastAsia="Times New Roman" w:hAnsi="Verdana" w:cs="Calibri"/>
                <w:b/>
                <w:bCs/>
                <w:sz w:val="16"/>
                <w:szCs w:val="16"/>
                <w:lang w:eastAsia="pt-BR"/>
              </w:rPr>
              <w:t>Após 2026</w:t>
            </w:r>
          </w:p>
        </w:tc>
        <w:tc>
          <w:tcPr>
            <w:tcW w:w="146" w:type="dxa"/>
            <w:tcBorders>
              <w:top w:val="nil"/>
              <w:left w:val="nil"/>
              <w:bottom w:val="nil"/>
              <w:right w:val="nil"/>
            </w:tcBorders>
            <w:shd w:val="clear" w:color="auto" w:fill="auto"/>
            <w:noWrap/>
            <w:vAlign w:val="center"/>
            <w:hideMark/>
          </w:tcPr>
          <w:p w14:paraId="16537578" w14:textId="77777777" w:rsidR="00D61BDA" w:rsidRPr="00D61BDA" w:rsidRDefault="00D61BDA" w:rsidP="00E3049D">
            <w:pPr>
              <w:spacing w:after="0" w:line="240" w:lineRule="auto"/>
              <w:ind w:left="-154" w:firstLine="154"/>
              <w:jc w:val="right"/>
              <w:rPr>
                <w:rFonts w:ascii="Verdana" w:eastAsia="Times New Roman" w:hAnsi="Verdana" w:cs="Calibri"/>
                <w:b/>
                <w:bCs/>
                <w:sz w:val="16"/>
                <w:szCs w:val="16"/>
                <w:lang w:eastAsia="pt-BR"/>
              </w:rPr>
            </w:pPr>
          </w:p>
        </w:tc>
        <w:tc>
          <w:tcPr>
            <w:tcW w:w="1154" w:type="dxa"/>
            <w:tcBorders>
              <w:top w:val="single" w:sz="8" w:space="0" w:color="auto"/>
              <w:left w:val="nil"/>
              <w:bottom w:val="single" w:sz="8" w:space="0" w:color="auto"/>
              <w:right w:val="nil"/>
            </w:tcBorders>
            <w:shd w:val="clear" w:color="auto" w:fill="auto"/>
            <w:noWrap/>
            <w:vAlign w:val="center"/>
            <w:hideMark/>
          </w:tcPr>
          <w:p w14:paraId="1ACE4AD2" w14:textId="77777777" w:rsidR="00D61BDA" w:rsidRPr="00D61BDA" w:rsidRDefault="00D61BDA" w:rsidP="00E3049D">
            <w:pPr>
              <w:spacing w:after="0" w:line="240" w:lineRule="auto"/>
              <w:ind w:left="-154" w:firstLine="154"/>
              <w:jc w:val="right"/>
              <w:rPr>
                <w:rFonts w:ascii="Verdana" w:eastAsia="Times New Roman" w:hAnsi="Verdana" w:cs="Calibri"/>
                <w:b/>
                <w:bCs/>
                <w:sz w:val="16"/>
                <w:szCs w:val="16"/>
                <w:lang w:eastAsia="pt-BR"/>
              </w:rPr>
            </w:pPr>
            <w:r w:rsidRPr="00D61BDA">
              <w:rPr>
                <w:rFonts w:ascii="Verdana" w:eastAsia="Times New Roman" w:hAnsi="Verdana" w:cs="Calibri"/>
                <w:b/>
                <w:bCs/>
                <w:sz w:val="16"/>
                <w:szCs w:val="16"/>
                <w:lang w:eastAsia="pt-BR"/>
              </w:rPr>
              <w:t>Total</w:t>
            </w:r>
          </w:p>
        </w:tc>
      </w:tr>
      <w:tr w:rsidR="00D61BDA" w:rsidRPr="00D61BDA" w14:paraId="5A1EFB20" w14:textId="77777777" w:rsidTr="00E3049D">
        <w:trPr>
          <w:trHeight w:val="239"/>
        </w:trPr>
        <w:tc>
          <w:tcPr>
            <w:tcW w:w="1092" w:type="dxa"/>
            <w:tcBorders>
              <w:top w:val="nil"/>
              <w:left w:val="nil"/>
              <w:bottom w:val="nil"/>
              <w:right w:val="nil"/>
            </w:tcBorders>
            <w:shd w:val="clear" w:color="auto" w:fill="auto"/>
            <w:noWrap/>
            <w:vAlign w:val="center"/>
            <w:hideMark/>
          </w:tcPr>
          <w:p w14:paraId="1AD53FFA" w14:textId="77777777" w:rsidR="00D61BDA" w:rsidRPr="00D61BDA" w:rsidRDefault="00D61BDA" w:rsidP="00E3049D">
            <w:pPr>
              <w:spacing w:after="0" w:line="240" w:lineRule="auto"/>
              <w:ind w:left="-154" w:firstLine="154"/>
              <w:rPr>
                <w:rFonts w:ascii="Verdana" w:eastAsia="Times New Roman" w:hAnsi="Verdana" w:cs="Calibri"/>
                <w:b/>
                <w:bCs/>
                <w:sz w:val="16"/>
                <w:szCs w:val="16"/>
                <w:lang w:eastAsia="pt-BR"/>
              </w:rPr>
            </w:pPr>
            <w:r w:rsidRPr="00D61BDA">
              <w:rPr>
                <w:rFonts w:ascii="Verdana" w:eastAsia="Times New Roman" w:hAnsi="Verdana" w:cs="Calibri"/>
                <w:b/>
                <w:bCs/>
                <w:sz w:val="16"/>
                <w:szCs w:val="16"/>
                <w:lang w:eastAsia="pt-BR"/>
              </w:rPr>
              <w:t>Valor</w:t>
            </w:r>
          </w:p>
        </w:tc>
        <w:tc>
          <w:tcPr>
            <w:tcW w:w="146" w:type="dxa"/>
            <w:tcBorders>
              <w:top w:val="nil"/>
              <w:left w:val="nil"/>
              <w:bottom w:val="nil"/>
              <w:right w:val="nil"/>
            </w:tcBorders>
            <w:shd w:val="clear" w:color="auto" w:fill="auto"/>
            <w:noWrap/>
            <w:vAlign w:val="bottom"/>
            <w:hideMark/>
          </w:tcPr>
          <w:p w14:paraId="0204147E" w14:textId="77777777" w:rsidR="00D61BDA" w:rsidRPr="00D61BDA" w:rsidRDefault="00D61BDA" w:rsidP="00E3049D">
            <w:pPr>
              <w:spacing w:after="0" w:line="240" w:lineRule="auto"/>
              <w:ind w:left="-154" w:firstLine="154"/>
              <w:rPr>
                <w:rFonts w:ascii="Verdana" w:eastAsia="Times New Roman" w:hAnsi="Verdana" w:cs="Calibri"/>
                <w:b/>
                <w:bCs/>
                <w:sz w:val="16"/>
                <w:szCs w:val="16"/>
                <w:lang w:eastAsia="pt-BR"/>
              </w:rPr>
            </w:pPr>
          </w:p>
        </w:tc>
        <w:tc>
          <w:tcPr>
            <w:tcW w:w="889" w:type="dxa"/>
            <w:tcBorders>
              <w:top w:val="nil"/>
              <w:left w:val="nil"/>
              <w:bottom w:val="nil"/>
              <w:right w:val="nil"/>
            </w:tcBorders>
            <w:shd w:val="clear" w:color="auto" w:fill="auto"/>
            <w:noWrap/>
            <w:vAlign w:val="center"/>
            <w:hideMark/>
          </w:tcPr>
          <w:p w14:paraId="7192E1DD" w14:textId="77777777" w:rsidR="00D61BDA" w:rsidRPr="00D61BDA" w:rsidRDefault="00D61BDA" w:rsidP="00E3049D">
            <w:pPr>
              <w:spacing w:after="0" w:line="240" w:lineRule="auto"/>
              <w:ind w:left="-154" w:firstLine="154"/>
              <w:jc w:val="right"/>
              <w:rPr>
                <w:rFonts w:ascii="Verdana" w:eastAsia="Times New Roman" w:hAnsi="Verdana" w:cs="Calibri"/>
                <w:sz w:val="16"/>
                <w:szCs w:val="16"/>
                <w:lang w:eastAsia="pt-BR"/>
              </w:rPr>
            </w:pPr>
            <w:r w:rsidRPr="00D61BDA">
              <w:rPr>
                <w:rFonts w:ascii="Verdana" w:eastAsia="Times New Roman" w:hAnsi="Verdana" w:cs="Calibri"/>
                <w:sz w:val="16"/>
                <w:szCs w:val="16"/>
                <w:lang w:eastAsia="pt-BR"/>
              </w:rPr>
              <w:t>351.262</w:t>
            </w:r>
          </w:p>
        </w:tc>
        <w:tc>
          <w:tcPr>
            <w:tcW w:w="146" w:type="dxa"/>
            <w:tcBorders>
              <w:top w:val="nil"/>
              <w:left w:val="nil"/>
              <w:bottom w:val="nil"/>
              <w:right w:val="nil"/>
            </w:tcBorders>
            <w:shd w:val="clear" w:color="auto" w:fill="auto"/>
            <w:noWrap/>
            <w:vAlign w:val="bottom"/>
            <w:hideMark/>
          </w:tcPr>
          <w:p w14:paraId="2AEFCF0E" w14:textId="77777777" w:rsidR="00D61BDA" w:rsidRPr="00D61BDA" w:rsidRDefault="00D61BDA" w:rsidP="00E3049D">
            <w:pPr>
              <w:spacing w:after="0" w:line="240" w:lineRule="auto"/>
              <w:ind w:left="-154" w:firstLine="154"/>
              <w:jc w:val="right"/>
              <w:rPr>
                <w:rFonts w:ascii="Verdana" w:eastAsia="Times New Roman" w:hAnsi="Verdana" w:cs="Calibri"/>
                <w:sz w:val="16"/>
                <w:szCs w:val="16"/>
                <w:lang w:eastAsia="pt-BR"/>
              </w:rPr>
            </w:pPr>
          </w:p>
        </w:tc>
        <w:tc>
          <w:tcPr>
            <w:tcW w:w="969" w:type="dxa"/>
            <w:tcBorders>
              <w:top w:val="nil"/>
              <w:left w:val="nil"/>
              <w:bottom w:val="nil"/>
              <w:right w:val="nil"/>
            </w:tcBorders>
            <w:shd w:val="clear" w:color="auto" w:fill="auto"/>
            <w:noWrap/>
            <w:vAlign w:val="center"/>
            <w:hideMark/>
          </w:tcPr>
          <w:p w14:paraId="4CE7088D" w14:textId="77777777" w:rsidR="00D61BDA" w:rsidRPr="00D61BDA" w:rsidRDefault="00D61BDA" w:rsidP="00E3049D">
            <w:pPr>
              <w:spacing w:after="0" w:line="240" w:lineRule="auto"/>
              <w:ind w:left="-154" w:firstLine="154"/>
              <w:jc w:val="right"/>
              <w:rPr>
                <w:rFonts w:ascii="Verdana" w:eastAsia="Times New Roman" w:hAnsi="Verdana" w:cs="Calibri"/>
                <w:sz w:val="16"/>
                <w:szCs w:val="16"/>
                <w:lang w:eastAsia="pt-BR"/>
              </w:rPr>
            </w:pPr>
            <w:r w:rsidRPr="00D61BDA">
              <w:rPr>
                <w:rFonts w:ascii="Verdana" w:eastAsia="Times New Roman" w:hAnsi="Verdana" w:cs="Calibri"/>
                <w:sz w:val="16"/>
                <w:szCs w:val="16"/>
                <w:lang w:eastAsia="pt-BR"/>
              </w:rPr>
              <w:t>1.237.595</w:t>
            </w:r>
          </w:p>
        </w:tc>
        <w:tc>
          <w:tcPr>
            <w:tcW w:w="146" w:type="dxa"/>
            <w:tcBorders>
              <w:top w:val="nil"/>
              <w:left w:val="nil"/>
              <w:bottom w:val="nil"/>
              <w:right w:val="nil"/>
            </w:tcBorders>
            <w:shd w:val="clear" w:color="auto" w:fill="auto"/>
            <w:noWrap/>
            <w:vAlign w:val="bottom"/>
            <w:hideMark/>
          </w:tcPr>
          <w:p w14:paraId="563FF977" w14:textId="77777777" w:rsidR="00D61BDA" w:rsidRPr="00D61BDA" w:rsidRDefault="00D61BDA" w:rsidP="00E3049D">
            <w:pPr>
              <w:spacing w:after="0" w:line="240" w:lineRule="auto"/>
              <w:ind w:left="-154" w:firstLine="154"/>
              <w:jc w:val="right"/>
              <w:rPr>
                <w:rFonts w:ascii="Verdana" w:eastAsia="Times New Roman" w:hAnsi="Verdana" w:cs="Calibri"/>
                <w:sz w:val="16"/>
                <w:szCs w:val="16"/>
                <w:lang w:eastAsia="pt-BR"/>
              </w:rPr>
            </w:pPr>
          </w:p>
        </w:tc>
        <w:tc>
          <w:tcPr>
            <w:tcW w:w="1092" w:type="dxa"/>
            <w:tcBorders>
              <w:top w:val="nil"/>
              <w:left w:val="nil"/>
              <w:bottom w:val="nil"/>
              <w:right w:val="nil"/>
            </w:tcBorders>
            <w:shd w:val="clear" w:color="auto" w:fill="auto"/>
            <w:noWrap/>
            <w:vAlign w:val="center"/>
            <w:hideMark/>
          </w:tcPr>
          <w:p w14:paraId="6F5227D0" w14:textId="77777777" w:rsidR="00D61BDA" w:rsidRPr="00D61BDA" w:rsidRDefault="00D61BDA" w:rsidP="00E3049D">
            <w:pPr>
              <w:spacing w:after="0" w:line="240" w:lineRule="auto"/>
              <w:ind w:left="-154" w:firstLine="154"/>
              <w:jc w:val="right"/>
              <w:rPr>
                <w:rFonts w:ascii="Verdana" w:eastAsia="Times New Roman" w:hAnsi="Verdana" w:cs="Calibri"/>
                <w:sz w:val="16"/>
                <w:szCs w:val="16"/>
                <w:lang w:eastAsia="pt-BR"/>
              </w:rPr>
            </w:pPr>
            <w:r w:rsidRPr="00D61BDA">
              <w:rPr>
                <w:rFonts w:ascii="Verdana" w:eastAsia="Times New Roman" w:hAnsi="Verdana" w:cs="Calibri"/>
                <w:sz w:val="16"/>
                <w:szCs w:val="16"/>
                <w:lang w:eastAsia="pt-BR"/>
              </w:rPr>
              <w:t>1.041.304</w:t>
            </w:r>
          </w:p>
        </w:tc>
        <w:tc>
          <w:tcPr>
            <w:tcW w:w="146" w:type="dxa"/>
            <w:tcBorders>
              <w:top w:val="nil"/>
              <w:left w:val="nil"/>
              <w:bottom w:val="nil"/>
              <w:right w:val="nil"/>
            </w:tcBorders>
            <w:shd w:val="clear" w:color="auto" w:fill="auto"/>
            <w:noWrap/>
            <w:vAlign w:val="bottom"/>
            <w:hideMark/>
          </w:tcPr>
          <w:p w14:paraId="3DCE51BF" w14:textId="77777777" w:rsidR="00D61BDA" w:rsidRPr="00D61BDA" w:rsidRDefault="00D61BDA" w:rsidP="00E3049D">
            <w:pPr>
              <w:spacing w:after="0" w:line="240" w:lineRule="auto"/>
              <w:ind w:left="-154" w:firstLine="154"/>
              <w:jc w:val="right"/>
              <w:rPr>
                <w:rFonts w:ascii="Verdana" w:eastAsia="Times New Roman" w:hAnsi="Verdana" w:cs="Calibri"/>
                <w:sz w:val="16"/>
                <w:szCs w:val="16"/>
                <w:lang w:eastAsia="pt-BR"/>
              </w:rPr>
            </w:pPr>
          </w:p>
        </w:tc>
        <w:tc>
          <w:tcPr>
            <w:tcW w:w="1092" w:type="dxa"/>
            <w:tcBorders>
              <w:top w:val="nil"/>
              <w:left w:val="nil"/>
              <w:bottom w:val="nil"/>
              <w:right w:val="nil"/>
            </w:tcBorders>
            <w:shd w:val="clear" w:color="auto" w:fill="auto"/>
            <w:noWrap/>
            <w:vAlign w:val="center"/>
            <w:hideMark/>
          </w:tcPr>
          <w:p w14:paraId="2F22D78B" w14:textId="77777777" w:rsidR="00D61BDA" w:rsidRPr="00D61BDA" w:rsidRDefault="00D61BDA" w:rsidP="00E3049D">
            <w:pPr>
              <w:spacing w:after="0" w:line="240" w:lineRule="auto"/>
              <w:ind w:left="-154" w:firstLine="154"/>
              <w:jc w:val="right"/>
              <w:rPr>
                <w:rFonts w:ascii="Verdana" w:eastAsia="Times New Roman" w:hAnsi="Verdana" w:cs="Calibri"/>
                <w:sz w:val="16"/>
                <w:szCs w:val="16"/>
                <w:lang w:eastAsia="pt-BR"/>
              </w:rPr>
            </w:pPr>
            <w:r w:rsidRPr="00D61BDA">
              <w:rPr>
                <w:rFonts w:ascii="Verdana" w:eastAsia="Times New Roman" w:hAnsi="Verdana" w:cs="Calibri"/>
                <w:sz w:val="16"/>
                <w:szCs w:val="16"/>
                <w:lang w:eastAsia="pt-BR"/>
              </w:rPr>
              <w:t>1.407.759</w:t>
            </w:r>
          </w:p>
        </w:tc>
        <w:tc>
          <w:tcPr>
            <w:tcW w:w="146" w:type="dxa"/>
            <w:tcBorders>
              <w:top w:val="nil"/>
              <w:left w:val="nil"/>
              <w:bottom w:val="nil"/>
              <w:right w:val="nil"/>
            </w:tcBorders>
            <w:shd w:val="clear" w:color="auto" w:fill="auto"/>
            <w:noWrap/>
            <w:vAlign w:val="bottom"/>
            <w:hideMark/>
          </w:tcPr>
          <w:p w14:paraId="66B3AA17" w14:textId="77777777" w:rsidR="00D61BDA" w:rsidRPr="00D61BDA" w:rsidRDefault="00D61BDA" w:rsidP="00E3049D">
            <w:pPr>
              <w:spacing w:after="0" w:line="240" w:lineRule="auto"/>
              <w:ind w:left="-154" w:firstLine="154"/>
              <w:jc w:val="right"/>
              <w:rPr>
                <w:rFonts w:ascii="Verdana" w:eastAsia="Times New Roman" w:hAnsi="Verdana" w:cs="Calibri"/>
                <w:sz w:val="16"/>
                <w:szCs w:val="16"/>
                <w:lang w:eastAsia="pt-BR"/>
              </w:rPr>
            </w:pPr>
          </w:p>
        </w:tc>
        <w:tc>
          <w:tcPr>
            <w:tcW w:w="940" w:type="dxa"/>
            <w:tcBorders>
              <w:top w:val="nil"/>
              <w:left w:val="nil"/>
              <w:bottom w:val="nil"/>
              <w:right w:val="nil"/>
            </w:tcBorders>
            <w:shd w:val="clear" w:color="auto" w:fill="auto"/>
            <w:noWrap/>
            <w:vAlign w:val="center"/>
            <w:hideMark/>
          </w:tcPr>
          <w:p w14:paraId="15910FD9" w14:textId="77777777" w:rsidR="00D61BDA" w:rsidRPr="00D61BDA" w:rsidRDefault="00D61BDA" w:rsidP="00E3049D">
            <w:pPr>
              <w:spacing w:after="0" w:line="240" w:lineRule="auto"/>
              <w:ind w:left="-154" w:firstLine="154"/>
              <w:jc w:val="right"/>
              <w:rPr>
                <w:rFonts w:ascii="Verdana" w:eastAsia="Times New Roman" w:hAnsi="Verdana" w:cs="Calibri"/>
                <w:sz w:val="16"/>
                <w:szCs w:val="16"/>
                <w:lang w:eastAsia="pt-BR"/>
              </w:rPr>
            </w:pPr>
            <w:r w:rsidRPr="00D61BDA">
              <w:rPr>
                <w:rFonts w:ascii="Verdana" w:eastAsia="Times New Roman" w:hAnsi="Verdana" w:cs="Calibri"/>
                <w:sz w:val="16"/>
                <w:szCs w:val="16"/>
                <w:lang w:eastAsia="pt-BR"/>
              </w:rPr>
              <w:t>1.606.751</w:t>
            </w:r>
          </w:p>
        </w:tc>
        <w:tc>
          <w:tcPr>
            <w:tcW w:w="146" w:type="dxa"/>
            <w:tcBorders>
              <w:top w:val="nil"/>
              <w:left w:val="nil"/>
              <w:bottom w:val="nil"/>
              <w:right w:val="nil"/>
            </w:tcBorders>
            <w:shd w:val="clear" w:color="auto" w:fill="auto"/>
            <w:noWrap/>
            <w:vAlign w:val="bottom"/>
            <w:hideMark/>
          </w:tcPr>
          <w:p w14:paraId="7919A2FD" w14:textId="77777777" w:rsidR="00D61BDA" w:rsidRPr="00D61BDA" w:rsidRDefault="00D61BDA" w:rsidP="00E3049D">
            <w:pPr>
              <w:spacing w:after="0" w:line="240" w:lineRule="auto"/>
              <w:ind w:left="-154" w:firstLine="154"/>
              <w:jc w:val="right"/>
              <w:rPr>
                <w:rFonts w:ascii="Verdana" w:eastAsia="Times New Roman" w:hAnsi="Verdana" w:cs="Calibri"/>
                <w:sz w:val="16"/>
                <w:szCs w:val="16"/>
                <w:lang w:eastAsia="pt-BR"/>
              </w:rPr>
            </w:pPr>
          </w:p>
        </w:tc>
        <w:tc>
          <w:tcPr>
            <w:tcW w:w="1154" w:type="dxa"/>
            <w:tcBorders>
              <w:top w:val="nil"/>
              <w:left w:val="nil"/>
              <w:bottom w:val="nil"/>
              <w:right w:val="nil"/>
            </w:tcBorders>
            <w:shd w:val="clear" w:color="auto" w:fill="auto"/>
            <w:noWrap/>
            <w:vAlign w:val="center"/>
            <w:hideMark/>
          </w:tcPr>
          <w:p w14:paraId="678EB5B9" w14:textId="77777777" w:rsidR="00D61BDA" w:rsidRPr="00D61BDA" w:rsidRDefault="00D61BDA" w:rsidP="00E3049D">
            <w:pPr>
              <w:spacing w:after="0" w:line="240" w:lineRule="auto"/>
              <w:ind w:left="-154" w:firstLine="154"/>
              <w:jc w:val="right"/>
              <w:rPr>
                <w:rFonts w:ascii="Verdana" w:eastAsia="Times New Roman" w:hAnsi="Verdana" w:cs="Calibri"/>
                <w:sz w:val="16"/>
                <w:szCs w:val="16"/>
                <w:lang w:eastAsia="pt-BR"/>
              </w:rPr>
            </w:pPr>
            <w:r w:rsidRPr="00D61BDA">
              <w:rPr>
                <w:rFonts w:ascii="Verdana" w:eastAsia="Times New Roman" w:hAnsi="Verdana" w:cs="Calibri"/>
                <w:sz w:val="16"/>
                <w:szCs w:val="16"/>
                <w:lang w:eastAsia="pt-BR"/>
              </w:rPr>
              <w:t>16.742.557</w:t>
            </w:r>
          </w:p>
        </w:tc>
        <w:tc>
          <w:tcPr>
            <w:tcW w:w="146" w:type="dxa"/>
            <w:tcBorders>
              <w:top w:val="nil"/>
              <w:left w:val="nil"/>
              <w:bottom w:val="nil"/>
              <w:right w:val="nil"/>
            </w:tcBorders>
            <w:shd w:val="clear" w:color="auto" w:fill="auto"/>
            <w:noWrap/>
            <w:vAlign w:val="bottom"/>
            <w:hideMark/>
          </w:tcPr>
          <w:p w14:paraId="68DE771C" w14:textId="77777777" w:rsidR="00D61BDA" w:rsidRPr="00D61BDA" w:rsidRDefault="00D61BDA" w:rsidP="00E3049D">
            <w:pPr>
              <w:spacing w:after="0" w:line="240" w:lineRule="auto"/>
              <w:ind w:left="-154" w:firstLine="154"/>
              <w:jc w:val="right"/>
              <w:rPr>
                <w:rFonts w:ascii="Verdana" w:eastAsia="Times New Roman" w:hAnsi="Verdana" w:cs="Calibri"/>
                <w:sz w:val="16"/>
                <w:szCs w:val="16"/>
                <w:lang w:eastAsia="pt-BR"/>
              </w:rPr>
            </w:pPr>
          </w:p>
        </w:tc>
        <w:tc>
          <w:tcPr>
            <w:tcW w:w="1154" w:type="dxa"/>
            <w:tcBorders>
              <w:top w:val="nil"/>
              <w:left w:val="nil"/>
              <w:bottom w:val="nil"/>
              <w:right w:val="nil"/>
            </w:tcBorders>
            <w:shd w:val="clear" w:color="auto" w:fill="auto"/>
            <w:noWrap/>
            <w:vAlign w:val="center"/>
            <w:hideMark/>
          </w:tcPr>
          <w:p w14:paraId="398C6582" w14:textId="77777777" w:rsidR="00D61BDA" w:rsidRPr="00D61BDA" w:rsidRDefault="00D61BDA" w:rsidP="00E3049D">
            <w:pPr>
              <w:spacing w:after="0" w:line="240" w:lineRule="auto"/>
              <w:ind w:left="-154" w:firstLine="154"/>
              <w:jc w:val="right"/>
              <w:rPr>
                <w:rFonts w:ascii="Verdana" w:eastAsia="Times New Roman" w:hAnsi="Verdana" w:cs="Calibri"/>
                <w:sz w:val="16"/>
                <w:szCs w:val="16"/>
                <w:lang w:eastAsia="pt-BR"/>
              </w:rPr>
            </w:pPr>
            <w:r w:rsidRPr="00D61BDA">
              <w:rPr>
                <w:rFonts w:ascii="Verdana" w:eastAsia="Times New Roman" w:hAnsi="Verdana" w:cs="Calibri"/>
                <w:sz w:val="16"/>
                <w:szCs w:val="16"/>
                <w:lang w:eastAsia="pt-BR"/>
              </w:rPr>
              <w:t>22.387.228</w:t>
            </w:r>
          </w:p>
        </w:tc>
      </w:tr>
    </w:tbl>
    <w:p w14:paraId="7194DEBA" w14:textId="77777777" w:rsidR="00920A40" w:rsidRDefault="00920A40" w:rsidP="004A1E74">
      <w:pPr>
        <w:jc w:val="both"/>
        <w:rPr>
          <w:rFonts w:ascii="Verdana" w:hAnsi="Verdana" w:cstheme="minorHAnsi"/>
          <w:noProof/>
          <w:lang w:eastAsia="pt-BR"/>
        </w:rPr>
      </w:pPr>
    </w:p>
    <w:p w14:paraId="7731792E" w14:textId="77777777" w:rsidR="00920A40" w:rsidRDefault="00920A40">
      <w:pPr>
        <w:rPr>
          <w:rFonts w:ascii="Verdana" w:hAnsi="Verdana" w:cstheme="minorHAnsi"/>
          <w:noProof/>
          <w:lang w:eastAsia="pt-BR"/>
        </w:rPr>
      </w:pPr>
      <w:r>
        <w:rPr>
          <w:rFonts w:ascii="Verdana" w:hAnsi="Verdana" w:cstheme="minorHAnsi"/>
          <w:noProof/>
          <w:lang w:eastAsia="pt-BR"/>
        </w:rPr>
        <w:br w:type="page"/>
      </w:r>
    </w:p>
    <w:p w14:paraId="4002E467" w14:textId="77777777" w:rsidR="00AA27EF" w:rsidRPr="00F7132F" w:rsidRDefault="005B6BD5" w:rsidP="00A01E65">
      <w:pPr>
        <w:widowControl w:val="0"/>
        <w:autoSpaceDE w:val="0"/>
        <w:autoSpaceDN w:val="0"/>
        <w:jc w:val="both"/>
        <w:rPr>
          <w:rFonts w:ascii="Verdana" w:hAnsi="Verdana" w:cstheme="minorHAnsi"/>
          <w:b/>
          <w:bCs/>
        </w:rPr>
      </w:pPr>
      <w:r w:rsidRPr="00F7132F">
        <w:rPr>
          <w:rFonts w:ascii="Verdana" w:hAnsi="Verdana" w:cstheme="minorHAnsi"/>
          <w:b/>
          <w:bCs/>
        </w:rPr>
        <w:lastRenderedPageBreak/>
        <w:t>33</w:t>
      </w:r>
      <w:r w:rsidR="00AA27EF" w:rsidRPr="00F7132F">
        <w:rPr>
          <w:rFonts w:ascii="Verdana" w:hAnsi="Verdana" w:cstheme="minorHAnsi"/>
          <w:b/>
          <w:bCs/>
        </w:rPr>
        <w:t>.3 – Compromissos socioambientais</w:t>
      </w:r>
    </w:p>
    <w:p w14:paraId="4A0125A6" w14:textId="77777777" w:rsidR="00AA27EF" w:rsidRPr="00116729" w:rsidRDefault="00AA27EF" w:rsidP="00AA27EF">
      <w:pPr>
        <w:jc w:val="both"/>
        <w:rPr>
          <w:rFonts w:ascii="Verdana" w:hAnsi="Verdana" w:cstheme="minorHAnsi"/>
        </w:rPr>
      </w:pPr>
      <w:r w:rsidRPr="00116729">
        <w:rPr>
          <w:rFonts w:ascii="Verdana" w:hAnsi="Verdana" w:cstheme="minorHAnsi"/>
        </w:rPr>
        <w:t xml:space="preserve">Termos de compromissos assumidos com os Municípios, nos quais a </w:t>
      </w:r>
      <w:r w:rsidR="00397D36" w:rsidRPr="00116729">
        <w:rPr>
          <w:rFonts w:ascii="Verdana" w:hAnsi="Verdana" w:cstheme="minorHAnsi"/>
        </w:rPr>
        <w:t>controlada Eletronuclear</w:t>
      </w:r>
      <w:r w:rsidRPr="00116729">
        <w:rPr>
          <w:rFonts w:ascii="Verdana" w:hAnsi="Verdana" w:cstheme="minorHAnsi"/>
        </w:rPr>
        <w:t xml:space="preserve"> se compromete a celebrar </w:t>
      </w:r>
      <w:r w:rsidRPr="00C11BC9">
        <w:rPr>
          <w:rFonts w:ascii="Verdana" w:hAnsi="Verdana" w:cstheme="minorHAnsi"/>
        </w:rPr>
        <w:t xml:space="preserve">convênios específicos de portes </w:t>
      </w:r>
      <w:r w:rsidRPr="00116729">
        <w:rPr>
          <w:rFonts w:ascii="Verdana" w:hAnsi="Verdana" w:cstheme="minorHAnsi"/>
        </w:rPr>
        <w:t>socioambientais, vinculados ao empreendimento Angra 3, visando à execução dos programas e projetos em consonância com as condicionantes estabelecidas pelo Instituto Brasileiro do Meio Ambiente e dos Recursos Naturais Renováveis – Ibama conforme quadro demonstrativo a seguir:</w:t>
      </w:r>
    </w:p>
    <w:tbl>
      <w:tblPr>
        <w:tblW w:w="9094" w:type="dxa"/>
        <w:tblCellMar>
          <w:left w:w="70" w:type="dxa"/>
          <w:right w:w="70" w:type="dxa"/>
        </w:tblCellMar>
        <w:tblLook w:val="04A0" w:firstRow="1" w:lastRow="0" w:firstColumn="1" w:lastColumn="0" w:noHBand="0" w:noVBand="1"/>
      </w:tblPr>
      <w:tblGrid>
        <w:gridCol w:w="1059"/>
        <w:gridCol w:w="147"/>
        <w:gridCol w:w="1058"/>
        <w:gridCol w:w="146"/>
        <w:gridCol w:w="820"/>
        <w:gridCol w:w="146"/>
        <w:gridCol w:w="1058"/>
        <w:gridCol w:w="146"/>
        <w:gridCol w:w="1058"/>
        <w:gridCol w:w="146"/>
        <w:gridCol w:w="1043"/>
        <w:gridCol w:w="146"/>
        <w:gridCol w:w="1118"/>
        <w:gridCol w:w="146"/>
        <w:gridCol w:w="1118"/>
      </w:tblGrid>
      <w:tr w:rsidR="00E3049D" w:rsidRPr="00E3049D" w14:paraId="05D60867" w14:textId="77777777" w:rsidTr="00E3049D">
        <w:trPr>
          <w:trHeight w:val="257"/>
        </w:trPr>
        <w:tc>
          <w:tcPr>
            <w:tcW w:w="1059" w:type="dxa"/>
            <w:tcBorders>
              <w:top w:val="single" w:sz="8" w:space="0" w:color="auto"/>
              <w:left w:val="nil"/>
              <w:bottom w:val="single" w:sz="8" w:space="0" w:color="auto"/>
              <w:right w:val="nil"/>
            </w:tcBorders>
            <w:shd w:val="clear" w:color="auto" w:fill="auto"/>
            <w:noWrap/>
            <w:vAlign w:val="center"/>
            <w:hideMark/>
          </w:tcPr>
          <w:p w14:paraId="290E302A" w14:textId="77777777" w:rsidR="00E3049D" w:rsidRPr="00E3049D" w:rsidRDefault="00E3049D" w:rsidP="00E3049D">
            <w:pPr>
              <w:spacing w:after="0" w:line="240" w:lineRule="auto"/>
              <w:rPr>
                <w:rFonts w:ascii="Verdana" w:eastAsia="Times New Roman" w:hAnsi="Verdana" w:cs="Calibri"/>
                <w:b/>
                <w:bCs/>
                <w:sz w:val="16"/>
                <w:szCs w:val="16"/>
                <w:lang w:eastAsia="pt-BR"/>
              </w:rPr>
            </w:pPr>
            <w:r w:rsidRPr="00E3049D">
              <w:rPr>
                <w:rFonts w:ascii="Verdana" w:eastAsia="Times New Roman" w:hAnsi="Verdana" w:cs="Calibri"/>
                <w:b/>
                <w:bCs/>
                <w:sz w:val="16"/>
                <w:szCs w:val="16"/>
                <w:lang w:eastAsia="pt-BR"/>
              </w:rPr>
              <w:t>Ano</w:t>
            </w:r>
          </w:p>
        </w:tc>
        <w:tc>
          <w:tcPr>
            <w:tcW w:w="108" w:type="dxa"/>
            <w:tcBorders>
              <w:top w:val="nil"/>
              <w:left w:val="nil"/>
              <w:bottom w:val="nil"/>
              <w:right w:val="nil"/>
            </w:tcBorders>
            <w:shd w:val="clear" w:color="auto" w:fill="auto"/>
            <w:noWrap/>
            <w:vAlign w:val="bottom"/>
            <w:hideMark/>
          </w:tcPr>
          <w:p w14:paraId="205A9373" w14:textId="77777777" w:rsidR="00E3049D" w:rsidRPr="00E3049D" w:rsidRDefault="00E3049D" w:rsidP="00E3049D">
            <w:pPr>
              <w:spacing w:after="0" w:line="240" w:lineRule="auto"/>
              <w:rPr>
                <w:rFonts w:ascii="Verdana" w:eastAsia="Times New Roman" w:hAnsi="Verdana" w:cs="Calibri"/>
                <w:b/>
                <w:bCs/>
                <w:sz w:val="16"/>
                <w:szCs w:val="16"/>
                <w:lang w:eastAsia="pt-BR"/>
              </w:rPr>
            </w:pPr>
          </w:p>
        </w:tc>
        <w:tc>
          <w:tcPr>
            <w:tcW w:w="1059" w:type="dxa"/>
            <w:tcBorders>
              <w:top w:val="single" w:sz="8" w:space="0" w:color="auto"/>
              <w:left w:val="nil"/>
              <w:bottom w:val="single" w:sz="8" w:space="0" w:color="auto"/>
              <w:right w:val="nil"/>
            </w:tcBorders>
            <w:shd w:val="clear" w:color="auto" w:fill="auto"/>
            <w:noWrap/>
            <w:vAlign w:val="center"/>
            <w:hideMark/>
          </w:tcPr>
          <w:p w14:paraId="4DD77499" w14:textId="77777777" w:rsidR="00E3049D" w:rsidRPr="00E3049D" w:rsidRDefault="00E3049D" w:rsidP="00E3049D">
            <w:pPr>
              <w:spacing w:after="0" w:line="240" w:lineRule="auto"/>
              <w:jc w:val="right"/>
              <w:rPr>
                <w:rFonts w:ascii="Verdana" w:eastAsia="Times New Roman" w:hAnsi="Verdana" w:cs="Calibri"/>
                <w:b/>
                <w:bCs/>
                <w:sz w:val="16"/>
                <w:szCs w:val="16"/>
                <w:lang w:eastAsia="pt-BR"/>
              </w:rPr>
            </w:pPr>
            <w:r w:rsidRPr="00E3049D">
              <w:rPr>
                <w:rFonts w:ascii="Verdana" w:eastAsia="Times New Roman" w:hAnsi="Verdana" w:cs="Calibri"/>
                <w:b/>
                <w:bCs/>
                <w:sz w:val="16"/>
                <w:szCs w:val="16"/>
                <w:lang w:eastAsia="pt-BR"/>
              </w:rPr>
              <w:t>2022</w:t>
            </w:r>
          </w:p>
        </w:tc>
        <w:tc>
          <w:tcPr>
            <w:tcW w:w="108" w:type="dxa"/>
            <w:tcBorders>
              <w:top w:val="nil"/>
              <w:left w:val="nil"/>
              <w:bottom w:val="nil"/>
              <w:right w:val="nil"/>
            </w:tcBorders>
            <w:shd w:val="clear" w:color="auto" w:fill="auto"/>
            <w:noWrap/>
            <w:vAlign w:val="center"/>
            <w:hideMark/>
          </w:tcPr>
          <w:p w14:paraId="5DA0F8E8" w14:textId="77777777" w:rsidR="00E3049D" w:rsidRPr="00E3049D" w:rsidRDefault="00E3049D" w:rsidP="00E3049D">
            <w:pPr>
              <w:spacing w:after="0" w:line="240" w:lineRule="auto"/>
              <w:jc w:val="right"/>
              <w:rPr>
                <w:rFonts w:ascii="Verdana" w:eastAsia="Times New Roman" w:hAnsi="Verdana" w:cs="Calibri"/>
                <w:b/>
                <w:bCs/>
                <w:sz w:val="16"/>
                <w:szCs w:val="16"/>
                <w:lang w:eastAsia="pt-BR"/>
              </w:rPr>
            </w:pPr>
          </w:p>
        </w:tc>
        <w:tc>
          <w:tcPr>
            <w:tcW w:w="820" w:type="dxa"/>
            <w:tcBorders>
              <w:top w:val="single" w:sz="8" w:space="0" w:color="auto"/>
              <w:left w:val="nil"/>
              <w:bottom w:val="single" w:sz="8" w:space="0" w:color="auto"/>
              <w:right w:val="nil"/>
            </w:tcBorders>
            <w:shd w:val="clear" w:color="auto" w:fill="auto"/>
            <w:noWrap/>
            <w:vAlign w:val="center"/>
            <w:hideMark/>
          </w:tcPr>
          <w:p w14:paraId="0379C8A2" w14:textId="77777777" w:rsidR="00E3049D" w:rsidRPr="00E3049D" w:rsidRDefault="00E3049D" w:rsidP="00E3049D">
            <w:pPr>
              <w:spacing w:after="0" w:line="240" w:lineRule="auto"/>
              <w:jc w:val="right"/>
              <w:rPr>
                <w:rFonts w:ascii="Verdana" w:eastAsia="Times New Roman" w:hAnsi="Verdana" w:cs="Calibri"/>
                <w:b/>
                <w:bCs/>
                <w:sz w:val="16"/>
                <w:szCs w:val="16"/>
                <w:lang w:eastAsia="pt-BR"/>
              </w:rPr>
            </w:pPr>
            <w:r w:rsidRPr="00E3049D">
              <w:rPr>
                <w:rFonts w:ascii="Verdana" w:eastAsia="Times New Roman" w:hAnsi="Verdana" w:cs="Calibri"/>
                <w:b/>
                <w:bCs/>
                <w:sz w:val="16"/>
                <w:szCs w:val="16"/>
                <w:lang w:eastAsia="pt-BR"/>
              </w:rPr>
              <w:t>2023</w:t>
            </w:r>
          </w:p>
        </w:tc>
        <w:tc>
          <w:tcPr>
            <w:tcW w:w="108" w:type="dxa"/>
            <w:tcBorders>
              <w:top w:val="nil"/>
              <w:left w:val="nil"/>
              <w:bottom w:val="nil"/>
              <w:right w:val="nil"/>
            </w:tcBorders>
            <w:shd w:val="clear" w:color="auto" w:fill="auto"/>
            <w:noWrap/>
            <w:vAlign w:val="center"/>
            <w:hideMark/>
          </w:tcPr>
          <w:p w14:paraId="721294FD" w14:textId="77777777" w:rsidR="00E3049D" w:rsidRPr="00E3049D" w:rsidRDefault="00E3049D" w:rsidP="00E3049D">
            <w:pPr>
              <w:spacing w:after="0" w:line="240" w:lineRule="auto"/>
              <w:jc w:val="right"/>
              <w:rPr>
                <w:rFonts w:ascii="Verdana" w:eastAsia="Times New Roman" w:hAnsi="Verdana" w:cs="Calibri"/>
                <w:b/>
                <w:bCs/>
                <w:sz w:val="16"/>
                <w:szCs w:val="16"/>
                <w:lang w:eastAsia="pt-BR"/>
              </w:rPr>
            </w:pPr>
          </w:p>
        </w:tc>
        <w:tc>
          <w:tcPr>
            <w:tcW w:w="1059" w:type="dxa"/>
            <w:tcBorders>
              <w:top w:val="single" w:sz="8" w:space="0" w:color="auto"/>
              <w:left w:val="nil"/>
              <w:bottom w:val="single" w:sz="8" w:space="0" w:color="auto"/>
              <w:right w:val="nil"/>
            </w:tcBorders>
            <w:shd w:val="clear" w:color="auto" w:fill="auto"/>
            <w:noWrap/>
            <w:vAlign w:val="center"/>
            <w:hideMark/>
          </w:tcPr>
          <w:p w14:paraId="4DEA9935" w14:textId="77777777" w:rsidR="00E3049D" w:rsidRPr="00E3049D" w:rsidRDefault="00E3049D" w:rsidP="00E3049D">
            <w:pPr>
              <w:spacing w:after="0" w:line="240" w:lineRule="auto"/>
              <w:jc w:val="right"/>
              <w:rPr>
                <w:rFonts w:ascii="Verdana" w:eastAsia="Times New Roman" w:hAnsi="Verdana" w:cs="Calibri"/>
                <w:b/>
                <w:bCs/>
                <w:sz w:val="16"/>
                <w:szCs w:val="16"/>
                <w:lang w:eastAsia="pt-BR"/>
              </w:rPr>
            </w:pPr>
            <w:r w:rsidRPr="00E3049D">
              <w:rPr>
                <w:rFonts w:ascii="Verdana" w:eastAsia="Times New Roman" w:hAnsi="Verdana" w:cs="Calibri"/>
                <w:b/>
                <w:bCs/>
                <w:sz w:val="16"/>
                <w:szCs w:val="16"/>
                <w:lang w:eastAsia="pt-BR"/>
              </w:rPr>
              <w:t>2024</w:t>
            </w:r>
          </w:p>
        </w:tc>
        <w:tc>
          <w:tcPr>
            <w:tcW w:w="108" w:type="dxa"/>
            <w:tcBorders>
              <w:top w:val="nil"/>
              <w:left w:val="nil"/>
              <w:bottom w:val="nil"/>
              <w:right w:val="nil"/>
            </w:tcBorders>
            <w:shd w:val="clear" w:color="auto" w:fill="auto"/>
            <w:noWrap/>
            <w:vAlign w:val="center"/>
            <w:hideMark/>
          </w:tcPr>
          <w:p w14:paraId="3C04644A" w14:textId="77777777" w:rsidR="00E3049D" w:rsidRPr="00E3049D" w:rsidRDefault="00E3049D" w:rsidP="00E3049D">
            <w:pPr>
              <w:spacing w:after="0" w:line="240" w:lineRule="auto"/>
              <w:jc w:val="right"/>
              <w:rPr>
                <w:rFonts w:ascii="Verdana" w:eastAsia="Times New Roman" w:hAnsi="Verdana" w:cs="Calibri"/>
                <w:b/>
                <w:bCs/>
                <w:sz w:val="16"/>
                <w:szCs w:val="16"/>
                <w:lang w:eastAsia="pt-BR"/>
              </w:rPr>
            </w:pPr>
          </w:p>
        </w:tc>
        <w:tc>
          <w:tcPr>
            <w:tcW w:w="1059" w:type="dxa"/>
            <w:tcBorders>
              <w:top w:val="single" w:sz="8" w:space="0" w:color="auto"/>
              <w:left w:val="nil"/>
              <w:bottom w:val="single" w:sz="8" w:space="0" w:color="auto"/>
              <w:right w:val="nil"/>
            </w:tcBorders>
            <w:shd w:val="clear" w:color="auto" w:fill="auto"/>
            <w:noWrap/>
            <w:vAlign w:val="center"/>
            <w:hideMark/>
          </w:tcPr>
          <w:p w14:paraId="0F884327" w14:textId="77777777" w:rsidR="00E3049D" w:rsidRPr="00E3049D" w:rsidRDefault="00E3049D" w:rsidP="00E3049D">
            <w:pPr>
              <w:spacing w:after="0" w:line="240" w:lineRule="auto"/>
              <w:jc w:val="right"/>
              <w:rPr>
                <w:rFonts w:ascii="Verdana" w:eastAsia="Times New Roman" w:hAnsi="Verdana" w:cs="Calibri"/>
                <w:b/>
                <w:bCs/>
                <w:sz w:val="16"/>
                <w:szCs w:val="16"/>
                <w:lang w:eastAsia="pt-BR"/>
              </w:rPr>
            </w:pPr>
            <w:r w:rsidRPr="00E3049D">
              <w:rPr>
                <w:rFonts w:ascii="Verdana" w:eastAsia="Times New Roman" w:hAnsi="Verdana" w:cs="Calibri"/>
                <w:b/>
                <w:bCs/>
                <w:sz w:val="16"/>
                <w:szCs w:val="16"/>
                <w:lang w:eastAsia="pt-BR"/>
              </w:rPr>
              <w:t>2025</w:t>
            </w:r>
          </w:p>
        </w:tc>
        <w:tc>
          <w:tcPr>
            <w:tcW w:w="108" w:type="dxa"/>
            <w:tcBorders>
              <w:top w:val="nil"/>
              <w:left w:val="nil"/>
              <w:bottom w:val="nil"/>
              <w:right w:val="nil"/>
            </w:tcBorders>
            <w:shd w:val="clear" w:color="auto" w:fill="auto"/>
            <w:noWrap/>
            <w:vAlign w:val="center"/>
            <w:hideMark/>
          </w:tcPr>
          <w:p w14:paraId="7984E197" w14:textId="77777777" w:rsidR="00E3049D" w:rsidRPr="00E3049D" w:rsidRDefault="00E3049D" w:rsidP="00E3049D">
            <w:pPr>
              <w:spacing w:after="0" w:line="240" w:lineRule="auto"/>
              <w:jc w:val="right"/>
              <w:rPr>
                <w:rFonts w:ascii="Verdana" w:eastAsia="Times New Roman" w:hAnsi="Verdana" w:cs="Calibri"/>
                <w:b/>
                <w:bCs/>
                <w:sz w:val="16"/>
                <w:szCs w:val="16"/>
                <w:lang w:eastAsia="pt-BR"/>
              </w:rPr>
            </w:pPr>
          </w:p>
        </w:tc>
        <w:tc>
          <w:tcPr>
            <w:tcW w:w="1044" w:type="dxa"/>
            <w:tcBorders>
              <w:top w:val="single" w:sz="8" w:space="0" w:color="auto"/>
              <w:left w:val="nil"/>
              <w:bottom w:val="single" w:sz="8" w:space="0" w:color="auto"/>
              <w:right w:val="nil"/>
            </w:tcBorders>
            <w:shd w:val="clear" w:color="auto" w:fill="auto"/>
            <w:noWrap/>
            <w:vAlign w:val="center"/>
            <w:hideMark/>
          </w:tcPr>
          <w:p w14:paraId="79CF676C" w14:textId="77777777" w:rsidR="00E3049D" w:rsidRPr="00E3049D" w:rsidRDefault="00E3049D" w:rsidP="00E3049D">
            <w:pPr>
              <w:spacing w:after="0" w:line="240" w:lineRule="auto"/>
              <w:jc w:val="right"/>
              <w:rPr>
                <w:rFonts w:ascii="Verdana" w:eastAsia="Times New Roman" w:hAnsi="Verdana" w:cs="Calibri"/>
                <w:b/>
                <w:bCs/>
                <w:sz w:val="16"/>
                <w:szCs w:val="16"/>
                <w:lang w:eastAsia="pt-BR"/>
              </w:rPr>
            </w:pPr>
            <w:r w:rsidRPr="00E3049D">
              <w:rPr>
                <w:rFonts w:ascii="Verdana" w:eastAsia="Times New Roman" w:hAnsi="Verdana" w:cs="Calibri"/>
                <w:b/>
                <w:bCs/>
                <w:sz w:val="16"/>
                <w:szCs w:val="16"/>
                <w:lang w:eastAsia="pt-BR"/>
              </w:rPr>
              <w:t>2026</w:t>
            </w:r>
          </w:p>
        </w:tc>
        <w:tc>
          <w:tcPr>
            <w:tcW w:w="108" w:type="dxa"/>
            <w:tcBorders>
              <w:top w:val="nil"/>
              <w:left w:val="nil"/>
              <w:bottom w:val="nil"/>
              <w:right w:val="nil"/>
            </w:tcBorders>
            <w:shd w:val="clear" w:color="auto" w:fill="auto"/>
            <w:noWrap/>
            <w:vAlign w:val="center"/>
            <w:hideMark/>
          </w:tcPr>
          <w:p w14:paraId="24BF86F5" w14:textId="77777777" w:rsidR="00E3049D" w:rsidRPr="00E3049D" w:rsidRDefault="00E3049D" w:rsidP="00E3049D">
            <w:pPr>
              <w:spacing w:after="0" w:line="240" w:lineRule="auto"/>
              <w:jc w:val="right"/>
              <w:rPr>
                <w:rFonts w:ascii="Verdana" w:eastAsia="Times New Roman" w:hAnsi="Verdana" w:cs="Calibri"/>
                <w:b/>
                <w:bCs/>
                <w:sz w:val="16"/>
                <w:szCs w:val="16"/>
                <w:lang w:eastAsia="pt-BR"/>
              </w:rPr>
            </w:pPr>
          </w:p>
        </w:tc>
        <w:tc>
          <w:tcPr>
            <w:tcW w:w="1119" w:type="dxa"/>
            <w:tcBorders>
              <w:top w:val="single" w:sz="8" w:space="0" w:color="auto"/>
              <w:left w:val="nil"/>
              <w:bottom w:val="single" w:sz="8" w:space="0" w:color="auto"/>
              <w:right w:val="nil"/>
            </w:tcBorders>
            <w:shd w:val="clear" w:color="auto" w:fill="auto"/>
            <w:noWrap/>
            <w:vAlign w:val="center"/>
            <w:hideMark/>
          </w:tcPr>
          <w:p w14:paraId="62A92E0F" w14:textId="77777777" w:rsidR="00E3049D" w:rsidRPr="00E3049D" w:rsidRDefault="00E3049D" w:rsidP="00E3049D">
            <w:pPr>
              <w:spacing w:after="0" w:line="240" w:lineRule="auto"/>
              <w:jc w:val="right"/>
              <w:rPr>
                <w:rFonts w:ascii="Verdana" w:eastAsia="Times New Roman" w:hAnsi="Verdana" w:cs="Calibri"/>
                <w:b/>
                <w:bCs/>
                <w:sz w:val="16"/>
                <w:szCs w:val="16"/>
                <w:lang w:eastAsia="pt-BR"/>
              </w:rPr>
            </w:pPr>
            <w:r w:rsidRPr="00E3049D">
              <w:rPr>
                <w:rFonts w:ascii="Verdana" w:eastAsia="Times New Roman" w:hAnsi="Verdana" w:cs="Calibri"/>
                <w:b/>
                <w:bCs/>
                <w:sz w:val="16"/>
                <w:szCs w:val="16"/>
                <w:lang w:eastAsia="pt-BR"/>
              </w:rPr>
              <w:t>Após 2026</w:t>
            </w:r>
          </w:p>
        </w:tc>
        <w:tc>
          <w:tcPr>
            <w:tcW w:w="108" w:type="dxa"/>
            <w:tcBorders>
              <w:top w:val="nil"/>
              <w:left w:val="nil"/>
              <w:bottom w:val="nil"/>
              <w:right w:val="nil"/>
            </w:tcBorders>
            <w:shd w:val="clear" w:color="auto" w:fill="auto"/>
            <w:noWrap/>
            <w:vAlign w:val="center"/>
            <w:hideMark/>
          </w:tcPr>
          <w:p w14:paraId="0F58D31D" w14:textId="77777777" w:rsidR="00E3049D" w:rsidRPr="00E3049D" w:rsidRDefault="00E3049D" w:rsidP="00E3049D">
            <w:pPr>
              <w:spacing w:after="0" w:line="240" w:lineRule="auto"/>
              <w:jc w:val="right"/>
              <w:rPr>
                <w:rFonts w:ascii="Verdana" w:eastAsia="Times New Roman" w:hAnsi="Verdana" w:cs="Calibri"/>
                <w:b/>
                <w:bCs/>
                <w:sz w:val="16"/>
                <w:szCs w:val="16"/>
                <w:lang w:eastAsia="pt-BR"/>
              </w:rPr>
            </w:pPr>
          </w:p>
        </w:tc>
        <w:tc>
          <w:tcPr>
            <w:tcW w:w="1119" w:type="dxa"/>
            <w:tcBorders>
              <w:top w:val="single" w:sz="8" w:space="0" w:color="auto"/>
              <w:left w:val="nil"/>
              <w:bottom w:val="single" w:sz="8" w:space="0" w:color="auto"/>
              <w:right w:val="nil"/>
            </w:tcBorders>
            <w:shd w:val="clear" w:color="auto" w:fill="auto"/>
            <w:noWrap/>
            <w:vAlign w:val="center"/>
            <w:hideMark/>
          </w:tcPr>
          <w:p w14:paraId="5DA7B4F5" w14:textId="77777777" w:rsidR="00E3049D" w:rsidRPr="00E3049D" w:rsidRDefault="00E3049D" w:rsidP="00E3049D">
            <w:pPr>
              <w:spacing w:after="0" w:line="240" w:lineRule="auto"/>
              <w:jc w:val="right"/>
              <w:rPr>
                <w:rFonts w:ascii="Verdana" w:eastAsia="Times New Roman" w:hAnsi="Verdana" w:cs="Calibri"/>
                <w:b/>
                <w:bCs/>
                <w:sz w:val="16"/>
                <w:szCs w:val="16"/>
                <w:lang w:eastAsia="pt-BR"/>
              </w:rPr>
            </w:pPr>
            <w:r w:rsidRPr="00E3049D">
              <w:rPr>
                <w:rFonts w:ascii="Verdana" w:eastAsia="Times New Roman" w:hAnsi="Verdana" w:cs="Calibri"/>
                <w:b/>
                <w:bCs/>
                <w:sz w:val="16"/>
                <w:szCs w:val="16"/>
                <w:lang w:eastAsia="pt-BR"/>
              </w:rPr>
              <w:t>Total</w:t>
            </w:r>
          </w:p>
        </w:tc>
      </w:tr>
      <w:tr w:rsidR="00E3049D" w:rsidRPr="00E3049D" w14:paraId="70E41153" w14:textId="77777777" w:rsidTr="00E3049D">
        <w:trPr>
          <w:trHeight w:val="245"/>
        </w:trPr>
        <w:tc>
          <w:tcPr>
            <w:tcW w:w="1059" w:type="dxa"/>
            <w:tcBorders>
              <w:top w:val="nil"/>
              <w:left w:val="nil"/>
              <w:bottom w:val="nil"/>
              <w:right w:val="nil"/>
            </w:tcBorders>
            <w:shd w:val="clear" w:color="auto" w:fill="auto"/>
            <w:noWrap/>
            <w:vAlign w:val="center"/>
            <w:hideMark/>
          </w:tcPr>
          <w:p w14:paraId="7F0D1262" w14:textId="77777777" w:rsidR="00E3049D" w:rsidRPr="00E3049D" w:rsidRDefault="00E3049D" w:rsidP="00E3049D">
            <w:pPr>
              <w:spacing w:after="0" w:line="240" w:lineRule="auto"/>
              <w:rPr>
                <w:rFonts w:ascii="Verdana" w:eastAsia="Times New Roman" w:hAnsi="Verdana" w:cs="Calibri"/>
                <w:b/>
                <w:bCs/>
                <w:sz w:val="16"/>
                <w:szCs w:val="16"/>
                <w:lang w:eastAsia="pt-BR"/>
              </w:rPr>
            </w:pPr>
            <w:r w:rsidRPr="00E3049D">
              <w:rPr>
                <w:rFonts w:ascii="Verdana" w:eastAsia="Times New Roman" w:hAnsi="Verdana" w:cs="Calibri"/>
                <w:b/>
                <w:bCs/>
                <w:sz w:val="16"/>
                <w:szCs w:val="16"/>
                <w:lang w:eastAsia="pt-BR"/>
              </w:rPr>
              <w:t>Valor</w:t>
            </w:r>
          </w:p>
        </w:tc>
        <w:tc>
          <w:tcPr>
            <w:tcW w:w="108" w:type="dxa"/>
            <w:tcBorders>
              <w:top w:val="nil"/>
              <w:left w:val="nil"/>
              <w:bottom w:val="nil"/>
              <w:right w:val="nil"/>
            </w:tcBorders>
            <w:shd w:val="clear" w:color="auto" w:fill="auto"/>
            <w:noWrap/>
            <w:vAlign w:val="bottom"/>
            <w:hideMark/>
          </w:tcPr>
          <w:p w14:paraId="338737EF" w14:textId="77777777" w:rsidR="00E3049D" w:rsidRPr="00E3049D" w:rsidRDefault="00E3049D" w:rsidP="00E3049D">
            <w:pPr>
              <w:spacing w:after="0" w:line="240" w:lineRule="auto"/>
              <w:rPr>
                <w:rFonts w:ascii="Verdana" w:eastAsia="Times New Roman" w:hAnsi="Verdana" w:cs="Calibri"/>
                <w:b/>
                <w:bCs/>
                <w:sz w:val="16"/>
                <w:szCs w:val="16"/>
                <w:lang w:eastAsia="pt-BR"/>
              </w:rPr>
            </w:pPr>
          </w:p>
        </w:tc>
        <w:tc>
          <w:tcPr>
            <w:tcW w:w="1059" w:type="dxa"/>
            <w:tcBorders>
              <w:top w:val="nil"/>
              <w:left w:val="nil"/>
              <w:bottom w:val="nil"/>
              <w:right w:val="nil"/>
            </w:tcBorders>
            <w:shd w:val="clear" w:color="auto" w:fill="auto"/>
            <w:noWrap/>
            <w:vAlign w:val="center"/>
            <w:hideMark/>
          </w:tcPr>
          <w:p w14:paraId="657988E4" w14:textId="77777777" w:rsidR="00E3049D" w:rsidRPr="00E3049D" w:rsidRDefault="00E3049D" w:rsidP="00E3049D">
            <w:pPr>
              <w:spacing w:after="0" w:line="240" w:lineRule="auto"/>
              <w:jc w:val="right"/>
              <w:rPr>
                <w:rFonts w:ascii="Verdana" w:eastAsia="Times New Roman" w:hAnsi="Verdana" w:cs="Calibri"/>
                <w:sz w:val="16"/>
                <w:szCs w:val="16"/>
                <w:lang w:eastAsia="pt-BR"/>
              </w:rPr>
            </w:pPr>
            <w:r w:rsidRPr="00E3049D">
              <w:rPr>
                <w:rFonts w:ascii="Verdana" w:eastAsia="Times New Roman" w:hAnsi="Verdana" w:cs="Calibri"/>
                <w:sz w:val="16"/>
                <w:szCs w:val="16"/>
                <w:lang w:eastAsia="pt-BR"/>
              </w:rPr>
              <w:t>74.047</w:t>
            </w:r>
          </w:p>
        </w:tc>
        <w:tc>
          <w:tcPr>
            <w:tcW w:w="108" w:type="dxa"/>
            <w:tcBorders>
              <w:top w:val="nil"/>
              <w:left w:val="nil"/>
              <w:bottom w:val="nil"/>
              <w:right w:val="nil"/>
            </w:tcBorders>
            <w:shd w:val="clear" w:color="auto" w:fill="auto"/>
            <w:noWrap/>
            <w:vAlign w:val="bottom"/>
            <w:hideMark/>
          </w:tcPr>
          <w:p w14:paraId="02856E18" w14:textId="77777777" w:rsidR="00E3049D" w:rsidRPr="00E3049D" w:rsidRDefault="00E3049D" w:rsidP="00E3049D">
            <w:pPr>
              <w:spacing w:after="0" w:line="240" w:lineRule="auto"/>
              <w:jc w:val="right"/>
              <w:rPr>
                <w:rFonts w:ascii="Verdana" w:eastAsia="Times New Roman" w:hAnsi="Verdana" w:cs="Calibri"/>
                <w:sz w:val="16"/>
                <w:szCs w:val="16"/>
                <w:lang w:eastAsia="pt-BR"/>
              </w:rPr>
            </w:pPr>
          </w:p>
        </w:tc>
        <w:tc>
          <w:tcPr>
            <w:tcW w:w="820" w:type="dxa"/>
            <w:tcBorders>
              <w:top w:val="nil"/>
              <w:left w:val="nil"/>
              <w:bottom w:val="nil"/>
              <w:right w:val="nil"/>
            </w:tcBorders>
            <w:shd w:val="clear" w:color="auto" w:fill="auto"/>
            <w:noWrap/>
            <w:vAlign w:val="center"/>
            <w:hideMark/>
          </w:tcPr>
          <w:p w14:paraId="53DD4B56" w14:textId="77777777" w:rsidR="00E3049D" w:rsidRPr="00E3049D" w:rsidRDefault="00E3049D" w:rsidP="00E3049D">
            <w:pPr>
              <w:spacing w:after="0" w:line="240" w:lineRule="auto"/>
              <w:jc w:val="right"/>
              <w:rPr>
                <w:rFonts w:ascii="Verdana" w:eastAsia="Times New Roman" w:hAnsi="Verdana" w:cs="Calibri"/>
                <w:sz w:val="16"/>
                <w:szCs w:val="16"/>
                <w:lang w:eastAsia="pt-BR"/>
              </w:rPr>
            </w:pPr>
            <w:r w:rsidRPr="00E3049D">
              <w:rPr>
                <w:rFonts w:ascii="Verdana" w:eastAsia="Times New Roman" w:hAnsi="Verdana" w:cs="Calibri"/>
                <w:sz w:val="16"/>
                <w:szCs w:val="16"/>
                <w:lang w:eastAsia="pt-BR"/>
              </w:rPr>
              <w:t>86.806</w:t>
            </w:r>
          </w:p>
        </w:tc>
        <w:tc>
          <w:tcPr>
            <w:tcW w:w="108" w:type="dxa"/>
            <w:tcBorders>
              <w:top w:val="nil"/>
              <w:left w:val="nil"/>
              <w:bottom w:val="nil"/>
              <w:right w:val="nil"/>
            </w:tcBorders>
            <w:shd w:val="clear" w:color="auto" w:fill="auto"/>
            <w:noWrap/>
            <w:vAlign w:val="bottom"/>
            <w:hideMark/>
          </w:tcPr>
          <w:p w14:paraId="6B9FFA0F" w14:textId="77777777" w:rsidR="00E3049D" w:rsidRPr="00E3049D" w:rsidRDefault="00E3049D" w:rsidP="00E3049D">
            <w:pPr>
              <w:spacing w:after="0" w:line="240" w:lineRule="auto"/>
              <w:jc w:val="right"/>
              <w:rPr>
                <w:rFonts w:ascii="Verdana" w:eastAsia="Times New Roman" w:hAnsi="Verdana" w:cs="Calibri"/>
                <w:sz w:val="16"/>
                <w:szCs w:val="16"/>
                <w:lang w:eastAsia="pt-BR"/>
              </w:rPr>
            </w:pPr>
          </w:p>
        </w:tc>
        <w:tc>
          <w:tcPr>
            <w:tcW w:w="1059" w:type="dxa"/>
            <w:tcBorders>
              <w:top w:val="nil"/>
              <w:left w:val="nil"/>
              <w:bottom w:val="nil"/>
              <w:right w:val="nil"/>
            </w:tcBorders>
            <w:shd w:val="clear" w:color="auto" w:fill="auto"/>
            <w:noWrap/>
            <w:vAlign w:val="center"/>
            <w:hideMark/>
          </w:tcPr>
          <w:p w14:paraId="7348FDCB" w14:textId="77777777" w:rsidR="00E3049D" w:rsidRPr="00E3049D" w:rsidRDefault="00E3049D" w:rsidP="00E3049D">
            <w:pPr>
              <w:spacing w:after="0" w:line="240" w:lineRule="auto"/>
              <w:jc w:val="right"/>
              <w:rPr>
                <w:rFonts w:ascii="Verdana" w:eastAsia="Times New Roman" w:hAnsi="Verdana" w:cs="Calibri"/>
                <w:sz w:val="16"/>
                <w:szCs w:val="16"/>
                <w:lang w:eastAsia="pt-BR"/>
              </w:rPr>
            </w:pPr>
            <w:r w:rsidRPr="00E3049D">
              <w:rPr>
                <w:rFonts w:ascii="Verdana" w:eastAsia="Times New Roman" w:hAnsi="Verdana" w:cs="Calibri"/>
                <w:sz w:val="16"/>
                <w:szCs w:val="16"/>
                <w:lang w:eastAsia="pt-BR"/>
              </w:rPr>
              <w:t>99.514</w:t>
            </w:r>
          </w:p>
        </w:tc>
        <w:tc>
          <w:tcPr>
            <w:tcW w:w="108" w:type="dxa"/>
            <w:tcBorders>
              <w:top w:val="nil"/>
              <w:left w:val="nil"/>
              <w:bottom w:val="nil"/>
              <w:right w:val="nil"/>
            </w:tcBorders>
            <w:shd w:val="clear" w:color="auto" w:fill="auto"/>
            <w:noWrap/>
            <w:vAlign w:val="bottom"/>
            <w:hideMark/>
          </w:tcPr>
          <w:p w14:paraId="523D47C3" w14:textId="77777777" w:rsidR="00E3049D" w:rsidRPr="00E3049D" w:rsidRDefault="00E3049D" w:rsidP="00E3049D">
            <w:pPr>
              <w:spacing w:after="0" w:line="240" w:lineRule="auto"/>
              <w:jc w:val="right"/>
              <w:rPr>
                <w:rFonts w:ascii="Verdana" w:eastAsia="Times New Roman" w:hAnsi="Verdana" w:cs="Calibri"/>
                <w:sz w:val="16"/>
                <w:szCs w:val="16"/>
                <w:lang w:eastAsia="pt-BR"/>
              </w:rPr>
            </w:pPr>
          </w:p>
        </w:tc>
        <w:tc>
          <w:tcPr>
            <w:tcW w:w="1059" w:type="dxa"/>
            <w:tcBorders>
              <w:top w:val="nil"/>
              <w:left w:val="nil"/>
              <w:bottom w:val="nil"/>
              <w:right w:val="nil"/>
            </w:tcBorders>
            <w:shd w:val="clear" w:color="auto" w:fill="auto"/>
            <w:noWrap/>
            <w:vAlign w:val="center"/>
            <w:hideMark/>
          </w:tcPr>
          <w:p w14:paraId="13F6D6CA" w14:textId="77777777" w:rsidR="00E3049D" w:rsidRPr="00E3049D" w:rsidRDefault="00E3049D" w:rsidP="00E3049D">
            <w:pPr>
              <w:spacing w:after="0" w:line="240" w:lineRule="auto"/>
              <w:jc w:val="right"/>
              <w:rPr>
                <w:rFonts w:ascii="Verdana" w:eastAsia="Times New Roman" w:hAnsi="Verdana" w:cs="Calibri"/>
                <w:sz w:val="16"/>
                <w:szCs w:val="16"/>
                <w:lang w:eastAsia="pt-BR"/>
              </w:rPr>
            </w:pPr>
            <w:r w:rsidRPr="00E3049D">
              <w:rPr>
                <w:rFonts w:ascii="Verdana" w:eastAsia="Times New Roman" w:hAnsi="Verdana" w:cs="Calibri"/>
                <w:sz w:val="16"/>
                <w:szCs w:val="16"/>
                <w:lang w:eastAsia="pt-BR"/>
              </w:rPr>
              <w:t>94.574</w:t>
            </w:r>
          </w:p>
        </w:tc>
        <w:tc>
          <w:tcPr>
            <w:tcW w:w="108" w:type="dxa"/>
            <w:tcBorders>
              <w:top w:val="nil"/>
              <w:left w:val="nil"/>
              <w:bottom w:val="nil"/>
              <w:right w:val="nil"/>
            </w:tcBorders>
            <w:shd w:val="clear" w:color="auto" w:fill="auto"/>
            <w:noWrap/>
            <w:vAlign w:val="bottom"/>
            <w:hideMark/>
          </w:tcPr>
          <w:p w14:paraId="7F9AB9C7" w14:textId="77777777" w:rsidR="00E3049D" w:rsidRPr="00E3049D" w:rsidRDefault="00E3049D" w:rsidP="00E3049D">
            <w:pPr>
              <w:spacing w:after="0" w:line="240" w:lineRule="auto"/>
              <w:jc w:val="right"/>
              <w:rPr>
                <w:rFonts w:ascii="Verdana" w:eastAsia="Times New Roman" w:hAnsi="Verdana" w:cs="Calibri"/>
                <w:sz w:val="16"/>
                <w:szCs w:val="16"/>
                <w:lang w:eastAsia="pt-BR"/>
              </w:rPr>
            </w:pPr>
          </w:p>
        </w:tc>
        <w:tc>
          <w:tcPr>
            <w:tcW w:w="1044" w:type="dxa"/>
            <w:tcBorders>
              <w:top w:val="nil"/>
              <w:left w:val="nil"/>
              <w:bottom w:val="nil"/>
              <w:right w:val="nil"/>
            </w:tcBorders>
            <w:shd w:val="clear" w:color="auto" w:fill="auto"/>
            <w:noWrap/>
            <w:vAlign w:val="center"/>
            <w:hideMark/>
          </w:tcPr>
          <w:p w14:paraId="6DD6028C" w14:textId="77777777" w:rsidR="00E3049D" w:rsidRPr="00E3049D" w:rsidRDefault="00E3049D" w:rsidP="00E3049D">
            <w:pPr>
              <w:spacing w:after="0" w:line="240" w:lineRule="auto"/>
              <w:jc w:val="right"/>
              <w:rPr>
                <w:rFonts w:ascii="Verdana" w:eastAsia="Times New Roman" w:hAnsi="Verdana" w:cs="Calibri"/>
                <w:sz w:val="16"/>
                <w:szCs w:val="16"/>
                <w:lang w:eastAsia="pt-BR"/>
              </w:rPr>
            </w:pPr>
            <w:r w:rsidRPr="00E3049D">
              <w:rPr>
                <w:rFonts w:ascii="Verdana" w:eastAsia="Times New Roman" w:hAnsi="Verdana" w:cs="Calibri"/>
                <w:sz w:val="16"/>
                <w:szCs w:val="16"/>
                <w:lang w:eastAsia="pt-BR"/>
              </w:rPr>
              <w:t>82.895</w:t>
            </w:r>
          </w:p>
        </w:tc>
        <w:tc>
          <w:tcPr>
            <w:tcW w:w="108" w:type="dxa"/>
            <w:tcBorders>
              <w:top w:val="nil"/>
              <w:left w:val="nil"/>
              <w:bottom w:val="nil"/>
              <w:right w:val="nil"/>
            </w:tcBorders>
            <w:shd w:val="clear" w:color="auto" w:fill="auto"/>
            <w:noWrap/>
            <w:vAlign w:val="bottom"/>
            <w:hideMark/>
          </w:tcPr>
          <w:p w14:paraId="462CAD6B" w14:textId="77777777" w:rsidR="00E3049D" w:rsidRPr="00E3049D" w:rsidRDefault="00E3049D" w:rsidP="00E3049D">
            <w:pPr>
              <w:spacing w:after="0" w:line="240" w:lineRule="auto"/>
              <w:jc w:val="right"/>
              <w:rPr>
                <w:rFonts w:ascii="Verdana" w:eastAsia="Times New Roman" w:hAnsi="Verdana" w:cs="Calibri"/>
                <w:sz w:val="16"/>
                <w:szCs w:val="16"/>
                <w:lang w:eastAsia="pt-BR"/>
              </w:rPr>
            </w:pPr>
          </w:p>
        </w:tc>
        <w:tc>
          <w:tcPr>
            <w:tcW w:w="1119" w:type="dxa"/>
            <w:tcBorders>
              <w:top w:val="nil"/>
              <w:left w:val="nil"/>
              <w:bottom w:val="nil"/>
              <w:right w:val="nil"/>
            </w:tcBorders>
            <w:shd w:val="clear" w:color="auto" w:fill="auto"/>
            <w:noWrap/>
            <w:vAlign w:val="center"/>
            <w:hideMark/>
          </w:tcPr>
          <w:p w14:paraId="3B05C5C0" w14:textId="77777777" w:rsidR="00E3049D" w:rsidRPr="00E3049D" w:rsidRDefault="00E3049D" w:rsidP="00E3049D">
            <w:pPr>
              <w:spacing w:after="0" w:line="240" w:lineRule="auto"/>
              <w:jc w:val="right"/>
              <w:rPr>
                <w:rFonts w:ascii="Verdana" w:eastAsia="Times New Roman" w:hAnsi="Verdana" w:cs="Calibri"/>
                <w:sz w:val="16"/>
                <w:szCs w:val="16"/>
                <w:lang w:eastAsia="pt-BR"/>
              </w:rPr>
            </w:pPr>
            <w:r w:rsidRPr="00E3049D">
              <w:rPr>
                <w:rFonts w:ascii="Verdana" w:eastAsia="Times New Roman" w:hAnsi="Verdana" w:cs="Calibri"/>
                <w:sz w:val="16"/>
                <w:szCs w:val="16"/>
                <w:lang w:eastAsia="pt-BR"/>
              </w:rPr>
              <w:t>69.938</w:t>
            </w:r>
          </w:p>
        </w:tc>
        <w:tc>
          <w:tcPr>
            <w:tcW w:w="108" w:type="dxa"/>
            <w:tcBorders>
              <w:top w:val="nil"/>
              <w:left w:val="nil"/>
              <w:bottom w:val="nil"/>
              <w:right w:val="nil"/>
            </w:tcBorders>
            <w:shd w:val="clear" w:color="auto" w:fill="auto"/>
            <w:noWrap/>
            <w:vAlign w:val="bottom"/>
            <w:hideMark/>
          </w:tcPr>
          <w:p w14:paraId="67803575" w14:textId="77777777" w:rsidR="00E3049D" w:rsidRPr="00E3049D" w:rsidRDefault="00E3049D" w:rsidP="00E3049D">
            <w:pPr>
              <w:spacing w:after="0" w:line="240" w:lineRule="auto"/>
              <w:jc w:val="right"/>
              <w:rPr>
                <w:rFonts w:ascii="Verdana" w:eastAsia="Times New Roman" w:hAnsi="Verdana" w:cs="Calibri"/>
                <w:sz w:val="16"/>
                <w:szCs w:val="16"/>
                <w:lang w:eastAsia="pt-BR"/>
              </w:rPr>
            </w:pPr>
          </w:p>
        </w:tc>
        <w:tc>
          <w:tcPr>
            <w:tcW w:w="1119" w:type="dxa"/>
            <w:tcBorders>
              <w:top w:val="nil"/>
              <w:left w:val="nil"/>
              <w:bottom w:val="nil"/>
              <w:right w:val="nil"/>
            </w:tcBorders>
            <w:shd w:val="clear" w:color="auto" w:fill="auto"/>
            <w:noWrap/>
            <w:vAlign w:val="center"/>
            <w:hideMark/>
          </w:tcPr>
          <w:p w14:paraId="3C8FBA1F" w14:textId="77777777" w:rsidR="00E3049D" w:rsidRPr="00E3049D" w:rsidRDefault="00E3049D" w:rsidP="00E3049D">
            <w:pPr>
              <w:spacing w:after="0" w:line="240" w:lineRule="auto"/>
              <w:jc w:val="right"/>
              <w:rPr>
                <w:rFonts w:ascii="Verdana" w:eastAsia="Times New Roman" w:hAnsi="Verdana" w:cs="Calibri"/>
                <w:sz w:val="16"/>
                <w:szCs w:val="16"/>
                <w:lang w:eastAsia="pt-BR"/>
              </w:rPr>
            </w:pPr>
            <w:r w:rsidRPr="00E3049D">
              <w:rPr>
                <w:rFonts w:ascii="Verdana" w:eastAsia="Times New Roman" w:hAnsi="Verdana" w:cs="Calibri"/>
                <w:sz w:val="16"/>
                <w:szCs w:val="16"/>
                <w:lang w:eastAsia="pt-BR"/>
              </w:rPr>
              <w:t>507.774</w:t>
            </w:r>
          </w:p>
        </w:tc>
      </w:tr>
    </w:tbl>
    <w:p w14:paraId="787983BA" w14:textId="77777777" w:rsidR="00AA27EF" w:rsidRPr="00116729" w:rsidRDefault="00AA27EF" w:rsidP="004A1E74">
      <w:pPr>
        <w:jc w:val="both"/>
        <w:rPr>
          <w:rFonts w:ascii="Verdana" w:hAnsi="Verdana" w:cstheme="minorHAnsi"/>
          <w:noProof/>
          <w:lang w:eastAsia="pt-BR"/>
        </w:rPr>
      </w:pPr>
    </w:p>
    <w:p w14:paraId="68BF6A08" w14:textId="77777777" w:rsidR="00AA27EF" w:rsidRPr="00F7132F" w:rsidRDefault="005B6BD5" w:rsidP="00A01E65">
      <w:pPr>
        <w:widowControl w:val="0"/>
        <w:autoSpaceDE w:val="0"/>
        <w:autoSpaceDN w:val="0"/>
        <w:jc w:val="both"/>
        <w:rPr>
          <w:rFonts w:ascii="Verdana" w:hAnsi="Verdana" w:cstheme="minorHAnsi"/>
          <w:bCs/>
        </w:rPr>
      </w:pPr>
      <w:r w:rsidRPr="00F7132F">
        <w:rPr>
          <w:rFonts w:ascii="Verdana" w:hAnsi="Verdana" w:cstheme="minorHAnsi"/>
          <w:bCs/>
        </w:rPr>
        <w:t>33</w:t>
      </w:r>
      <w:r w:rsidR="00AA27EF" w:rsidRPr="00F7132F">
        <w:rPr>
          <w:rFonts w:ascii="Verdana" w:hAnsi="Verdana" w:cstheme="minorHAnsi"/>
          <w:bCs/>
        </w:rPr>
        <w:t>.4 – Aquisições de bens e serviços</w:t>
      </w:r>
    </w:p>
    <w:p w14:paraId="1253B1AA" w14:textId="77777777" w:rsidR="00AA27EF" w:rsidRPr="00116729" w:rsidRDefault="00AA27EF" w:rsidP="00AA27EF">
      <w:pPr>
        <w:jc w:val="both"/>
        <w:rPr>
          <w:rFonts w:ascii="Verdana" w:hAnsi="Verdana" w:cstheme="minorHAnsi"/>
        </w:rPr>
      </w:pPr>
      <w:r w:rsidRPr="00116729">
        <w:rPr>
          <w:rFonts w:ascii="Verdana" w:hAnsi="Verdana" w:cstheme="minorHAnsi"/>
        </w:rPr>
        <w:t>Contratos assinados com fornecedores diversos para aquisição de bens e serviços das Usinas Angra 1, Angra 2 e Angra 3, necessários à garantia de performance operacional desses ativos conforme quadro demonstrativo a seguir:</w:t>
      </w:r>
    </w:p>
    <w:tbl>
      <w:tblPr>
        <w:tblW w:w="9312" w:type="dxa"/>
        <w:tblCellMar>
          <w:left w:w="70" w:type="dxa"/>
          <w:right w:w="70" w:type="dxa"/>
        </w:tblCellMar>
        <w:tblLook w:val="04A0" w:firstRow="1" w:lastRow="0" w:firstColumn="1" w:lastColumn="0" w:noHBand="0" w:noVBand="1"/>
      </w:tblPr>
      <w:tblGrid>
        <w:gridCol w:w="1058"/>
        <w:gridCol w:w="146"/>
        <w:gridCol w:w="1058"/>
        <w:gridCol w:w="146"/>
        <w:gridCol w:w="821"/>
        <w:gridCol w:w="146"/>
        <w:gridCol w:w="1058"/>
        <w:gridCol w:w="146"/>
        <w:gridCol w:w="1058"/>
        <w:gridCol w:w="146"/>
        <w:gridCol w:w="1044"/>
        <w:gridCol w:w="146"/>
        <w:gridCol w:w="1118"/>
        <w:gridCol w:w="146"/>
        <w:gridCol w:w="1118"/>
      </w:tblGrid>
      <w:tr w:rsidR="00E3049D" w:rsidRPr="00E3049D" w14:paraId="5B845BD3" w14:textId="77777777" w:rsidTr="00E3049D">
        <w:trPr>
          <w:trHeight w:val="254"/>
        </w:trPr>
        <w:tc>
          <w:tcPr>
            <w:tcW w:w="1084" w:type="dxa"/>
            <w:tcBorders>
              <w:top w:val="single" w:sz="8" w:space="0" w:color="auto"/>
              <w:left w:val="nil"/>
              <w:bottom w:val="single" w:sz="8" w:space="0" w:color="auto"/>
              <w:right w:val="nil"/>
            </w:tcBorders>
            <w:shd w:val="clear" w:color="auto" w:fill="auto"/>
            <w:noWrap/>
            <w:vAlign w:val="center"/>
            <w:hideMark/>
          </w:tcPr>
          <w:p w14:paraId="2FD38ACB" w14:textId="77777777" w:rsidR="00E3049D" w:rsidRPr="00E3049D" w:rsidRDefault="00E3049D" w:rsidP="00E3049D">
            <w:pPr>
              <w:spacing w:after="0" w:line="240" w:lineRule="auto"/>
              <w:rPr>
                <w:rFonts w:ascii="Verdana" w:eastAsia="Times New Roman" w:hAnsi="Verdana" w:cs="Calibri"/>
                <w:b/>
                <w:bCs/>
                <w:sz w:val="16"/>
                <w:szCs w:val="16"/>
                <w:lang w:eastAsia="pt-BR"/>
              </w:rPr>
            </w:pPr>
            <w:r w:rsidRPr="00E3049D">
              <w:rPr>
                <w:rFonts w:ascii="Verdana" w:eastAsia="Times New Roman" w:hAnsi="Verdana" w:cs="Calibri"/>
                <w:b/>
                <w:bCs/>
                <w:sz w:val="16"/>
                <w:szCs w:val="16"/>
                <w:lang w:eastAsia="pt-BR"/>
              </w:rPr>
              <w:t>Ano</w:t>
            </w:r>
          </w:p>
        </w:tc>
        <w:tc>
          <w:tcPr>
            <w:tcW w:w="111" w:type="dxa"/>
            <w:tcBorders>
              <w:top w:val="nil"/>
              <w:left w:val="nil"/>
              <w:bottom w:val="nil"/>
              <w:right w:val="nil"/>
            </w:tcBorders>
            <w:shd w:val="clear" w:color="auto" w:fill="auto"/>
            <w:noWrap/>
            <w:vAlign w:val="bottom"/>
            <w:hideMark/>
          </w:tcPr>
          <w:p w14:paraId="618064E3" w14:textId="77777777" w:rsidR="00E3049D" w:rsidRPr="00E3049D" w:rsidRDefault="00E3049D" w:rsidP="00E3049D">
            <w:pPr>
              <w:spacing w:after="0" w:line="240" w:lineRule="auto"/>
              <w:rPr>
                <w:rFonts w:ascii="Verdana" w:eastAsia="Times New Roman" w:hAnsi="Verdana" w:cs="Calibri"/>
                <w:b/>
                <w:bCs/>
                <w:sz w:val="16"/>
                <w:szCs w:val="16"/>
                <w:lang w:eastAsia="pt-BR"/>
              </w:rPr>
            </w:pPr>
          </w:p>
        </w:tc>
        <w:tc>
          <w:tcPr>
            <w:tcW w:w="1084" w:type="dxa"/>
            <w:tcBorders>
              <w:top w:val="single" w:sz="8" w:space="0" w:color="auto"/>
              <w:left w:val="nil"/>
              <w:bottom w:val="single" w:sz="8" w:space="0" w:color="auto"/>
              <w:right w:val="nil"/>
            </w:tcBorders>
            <w:shd w:val="clear" w:color="auto" w:fill="auto"/>
            <w:noWrap/>
            <w:vAlign w:val="center"/>
            <w:hideMark/>
          </w:tcPr>
          <w:p w14:paraId="15AB3BD3" w14:textId="77777777" w:rsidR="00E3049D" w:rsidRPr="00E3049D" w:rsidRDefault="00E3049D" w:rsidP="00E3049D">
            <w:pPr>
              <w:spacing w:after="0" w:line="240" w:lineRule="auto"/>
              <w:jc w:val="right"/>
              <w:rPr>
                <w:rFonts w:ascii="Verdana" w:eastAsia="Times New Roman" w:hAnsi="Verdana" w:cs="Calibri"/>
                <w:b/>
                <w:bCs/>
                <w:sz w:val="16"/>
                <w:szCs w:val="16"/>
                <w:lang w:eastAsia="pt-BR"/>
              </w:rPr>
            </w:pPr>
            <w:r w:rsidRPr="00E3049D">
              <w:rPr>
                <w:rFonts w:ascii="Verdana" w:eastAsia="Times New Roman" w:hAnsi="Verdana" w:cs="Calibri"/>
                <w:b/>
                <w:bCs/>
                <w:sz w:val="16"/>
                <w:szCs w:val="16"/>
                <w:lang w:eastAsia="pt-BR"/>
              </w:rPr>
              <w:t>2022</w:t>
            </w:r>
          </w:p>
        </w:tc>
        <w:tc>
          <w:tcPr>
            <w:tcW w:w="111" w:type="dxa"/>
            <w:tcBorders>
              <w:top w:val="nil"/>
              <w:left w:val="nil"/>
              <w:bottom w:val="nil"/>
              <w:right w:val="nil"/>
            </w:tcBorders>
            <w:shd w:val="clear" w:color="auto" w:fill="auto"/>
            <w:noWrap/>
            <w:vAlign w:val="center"/>
            <w:hideMark/>
          </w:tcPr>
          <w:p w14:paraId="6522BB95" w14:textId="77777777" w:rsidR="00E3049D" w:rsidRPr="00E3049D" w:rsidRDefault="00E3049D" w:rsidP="00E3049D">
            <w:pPr>
              <w:spacing w:after="0" w:line="240" w:lineRule="auto"/>
              <w:jc w:val="right"/>
              <w:rPr>
                <w:rFonts w:ascii="Verdana" w:eastAsia="Times New Roman" w:hAnsi="Verdana" w:cs="Calibri"/>
                <w:b/>
                <w:bCs/>
                <w:sz w:val="16"/>
                <w:szCs w:val="16"/>
                <w:lang w:eastAsia="pt-BR"/>
              </w:rPr>
            </w:pPr>
          </w:p>
        </w:tc>
        <w:tc>
          <w:tcPr>
            <w:tcW w:w="840" w:type="dxa"/>
            <w:tcBorders>
              <w:top w:val="single" w:sz="8" w:space="0" w:color="auto"/>
              <w:left w:val="nil"/>
              <w:bottom w:val="single" w:sz="8" w:space="0" w:color="auto"/>
              <w:right w:val="nil"/>
            </w:tcBorders>
            <w:shd w:val="clear" w:color="auto" w:fill="auto"/>
            <w:noWrap/>
            <w:vAlign w:val="center"/>
            <w:hideMark/>
          </w:tcPr>
          <w:p w14:paraId="00832A3C" w14:textId="77777777" w:rsidR="00E3049D" w:rsidRPr="00E3049D" w:rsidRDefault="00E3049D" w:rsidP="00E3049D">
            <w:pPr>
              <w:spacing w:after="0" w:line="240" w:lineRule="auto"/>
              <w:jc w:val="right"/>
              <w:rPr>
                <w:rFonts w:ascii="Verdana" w:eastAsia="Times New Roman" w:hAnsi="Verdana" w:cs="Calibri"/>
                <w:b/>
                <w:bCs/>
                <w:sz w:val="16"/>
                <w:szCs w:val="16"/>
                <w:lang w:eastAsia="pt-BR"/>
              </w:rPr>
            </w:pPr>
            <w:r w:rsidRPr="00E3049D">
              <w:rPr>
                <w:rFonts w:ascii="Verdana" w:eastAsia="Times New Roman" w:hAnsi="Verdana" w:cs="Calibri"/>
                <w:b/>
                <w:bCs/>
                <w:sz w:val="16"/>
                <w:szCs w:val="16"/>
                <w:lang w:eastAsia="pt-BR"/>
              </w:rPr>
              <w:t>2023</w:t>
            </w:r>
          </w:p>
        </w:tc>
        <w:tc>
          <w:tcPr>
            <w:tcW w:w="111" w:type="dxa"/>
            <w:tcBorders>
              <w:top w:val="nil"/>
              <w:left w:val="nil"/>
              <w:bottom w:val="nil"/>
              <w:right w:val="nil"/>
            </w:tcBorders>
            <w:shd w:val="clear" w:color="auto" w:fill="auto"/>
            <w:noWrap/>
            <w:vAlign w:val="center"/>
            <w:hideMark/>
          </w:tcPr>
          <w:p w14:paraId="42F7F0E0" w14:textId="77777777" w:rsidR="00E3049D" w:rsidRPr="00E3049D" w:rsidRDefault="00E3049D" w:rsidP="00E3049D">
            <w:pPr>
              <w:spacing w:after="0" w:line="240" w:lineRule="auto"/>
              <w:jc w:val="right"/>
              <w:rPr>
                <w:rFonts w:ascii="Verdana" w:eastAsia="Times New Roman" w:hAnsi="Verdana" w:cs="Calibri"/>
                <w:b/>
                <w:bCs/>
                <w:sz w:val="16"/>
                <w:szCs w:val="16"/>
                <w:lang w:eastAsia="pt-BR"/>
              </w:rPr>
            </w:pPr>
          </w:p>
        </w:tc>
        <w:tc>
          <w:tcPr>
            <w:tcW w:w="1084" w:type="dxa"/>
            <w:tcBorders>
              <w:top w:val="single" w:sz="8" w:space="0" w:color="auto"/>
              <w:left w:val="nil"/>
              <w:bottom w:val="single" w:sz="8" w:space="0" w:color="auto"/>
              <w:right w:val="nil"/>
            </w:tcBorders>
            <w:shd w:val="clear" w:color="auto" w:fill="auto"/>
            <w:noWrap/>
            <w:vAlign w:val="center"/>
            <w:hideMark/>
          </w:tcPr>
          <w:p w14:paraId="3CE09A3E" w14:textId="77777777" w:rsidR="00E3049D" w:rsidRPr="00E3049D" w:rsidRDefault="00E3049D" w:rsidP="00E3049D">
            <w:pPr>
              <w:spacing w:after="0" w:line="240" w:lineRule="auto"/>
              <w:jc w:val="right"/>
              <w:rPr>
                <w:rFonts w:ascii="Verdana" w:eastAsia="Times New Roman" w:hAnsi="Verdana" w:cs="Calibri"/>
                <w:b/>
                <w:bCs/>
                <w:sz w:val="16"/>
                <w:szCs w:val="16"/>
                <w:lang w:eastAsia="pt-BR"/>
              </w:rPr>
            </w:pPr>
            <w:r w:rsidRPr="00E3049D">
              <w:rPr>
                <w:rFonts w:ascii="Verdana" w:eastAsia="Times New Roman" w:hAnsi="Verdana" w:cs="Calibri"/>
                <w:b/>
                <w:bCs/>
                <w:sz w:val="16"/>
                <w:szCs w:val="16"/>
                <w:lang w:eastAsia="pt-BR"/>
              </w:rPr>
              <w:t>2024</w:t>
            </w:r>
          </w:p>
        </w:tc>
        <w:tc>
          <w:tcPr>
            <w:tcW w:w="111" w:type="dxa"/>
            <w:tcBorders>
              <w:top w:val="nil"/>
              <w:left w:val="nil"/>
              <w:bottom w:val="nil"/>
              <w:right w:val="nil"/>
            </w:tcBorders>
            <w:shd w:val="clear" w:color="auto" w:fill="auto"/>
            <w:noWrap/>
            <w:vAlign w:val="center"/>
            <w:hideMark/>
          </w:tcPr>
          <w:p w14:paraId="0F8A0BCD" w14:textId="77777777" w:rsidR="00E3049D" w:rsidRPr="00E3049D" w:rsidRDefault="00E3049D" w:rsidP="00E3049D">
            <w:pPr>
              <w:spacing w:after="0" w:line="240" w:lineRule="auto"/>
              <w:jc w:val="right"/>
              <w:rPr>
                <w:rFonts w:ascii="Verdana" w:eastAsia="Times New Roman" w:hAnsi="Verdana" w:cs="Calibri"/>
                <w:b/>
                <w:bCs/>
                <w:sz w:val="16"/>
                <w:szCs w:val="16"/>
                <w:lang w:eastAsia="pt-BR"/>
              </w:rPr>
            </w:pPr>
          </w:p>
        </w:tc>
        <w:tc>
          <w:tcPr>
            <w:tcW w:w="1084" w:type="dxa"/>
            <w:tcBorders>
              <w:top w:val="single" w:sz="8" w:space="0" w:color="auto"/>
              <w:left w:val="nil"/>
              <w:bottom w:val="single" w:sz="8" w:space="0" w:color="auto"/>
              <w:right w:val="nil"/>
            </w:tcBorders>
            <w:shd w:val="clear" w:color="auto" w:fill="auto"/>
            <w:noWrap/>
            <w:vAlign w:val="center"/>
            <w:hideMark/>
          </w:tcPr>
          <w:p w14:paraId="3DF371B1" w14:textId="77777777" w:rsidR="00E3049D" w:rsidRPr="00E3049D" w:rsidRDefault="00E3049D" w:rsidP="00E3049D">
            <w:pPr>
              <w:spacing w:after="0" w:line="240" w:lineRule="auto"/>
              <w:jc w:val="right"/>
              <w:rPr>
                <w:rFonts w:ascii="Verdana" w:eastAsia="Times New Roman" w:hAnsi="Verdana" w:cs="Calibri"/>
                <w:b/>
                <w:bCs/>
                <w:sz w:val="16"/>
                <w:szCs w:val="16"/>
                <w:lang w:eastAsia="pt-BR"/>
              </w:rPr>
            </w:pPr>
            <w:r w:rsidRPr="00E3049D">
              <w:rPr>
                <w:rFonts w:ascii="Verdana" w:eastAsia="Times New Roman" w:hAnsi="Verdana" w:cs="Calibri"/>
                <w:b/>
                <w:bCs/>
                <w:sz w:val="16"/>
                <w:szCs w:val="16"/>
                <w:lang w:eastAsia="pt-BR"/>
              </w:rPr>
              <w:t>2025</w:t>
            </w:r>
          </w:p>
        </w:tc>
        <w:tc>
          <w:tcPr>
            <w:tcW w:w="111" w:type="dxa"/>
            <w:tcBorders>
              <w:top w:val="nil"/>
              <w:left w:val="nil"/>
              <w:bottom w:val="nil"/>
              <w:right w:val="nil"/>
            </w:tcBorders>
            <w:shd w:val="clear" w:color="auto" w:fill="auto"/>
            <w:noWrap/>
            <w:vAlign w:val="center"/>
            <w:hideMark/>
          </w:tcPr>
          <w:p w14:paraId="3F5D724F" w14:textId="77777777" w:rsidR="00E3049D" w:rsidRPr="00E3049D" w:rsidRDefault="00E3049D" w:rsidP="00E3049D">
            <w:pPr>
              <w:spacing w:after="0" w:line="240" w:lineRule="auto"/>
              <w:jc w:val="right"/>
              <w:rPr>
                <w:rFonts w:ascii="Verdana" w:eastAsia="Times New Roman" w:hAnsi="Verdana" w:cs="Calibri"/>
                <w:b/>
                <w:bCs/>
                <w:sz w:val="16"/>
                <w:szCs w:val="16"/>
                <w:lang w:eastAsia="pt-BR"/>
              </w:rPr>
            </w:pPr>
          </w:p>
        </w:tc>
        <w:tc>
          <w:tcPr>
            <w:tcW w:w="1069" w:type="dxa"/>
            <w:tcBorders>
              <w:top w:val="single" w:sz="8" w:space="0" w:color="auto"/>
              <w:left w:val="nil"/>
              <w:bottom w:val="single" w:sz="8" w:space="0" w:color="auto"/>
              <w:right w:val="nil"/>
            </w:tcBorders>
            <w:shd w:val="clear" w:color="auto" w:fill="auto"/>
            <w:noWrap/>
            <w:vAlign w:val="center"/>
            <w:hideMark/>
          </w:tcPr>
          <w:p w14:paraId="7EF726D3" w14:textId="77777777" w:rsidR="00E3049D" w:rsidRPr="00E3049D" w:rsidRDefault="00E3049D" w:rsidP="00E3049D">
            <w:pPr>
              <w:spacing w:after="0" w:line="240" w:lineRule="auto"/>
              <w:jc w:val="right"/>
              <w:rPr>
                <w:rFonts w:ascii="Verdana" w:eastAsia="Times New Roman" w:hAnsi="Verdana" w:cs="Calibri"/>
                <w:b/>
                <w:bCs/>
                <w:sz w:val="16"/>
                <w:szCs w:val="16"/>
                <w:lang w:eastAsia="pt-BR"/>
              </w:rPr>
            </w:pPr>
            <w:r w:rsidRPr="00E3049D">
              <w:rPr>
                <w:rFonts w:ascii="Verdana" w:eastAsia="Times New Roman" w:hAnsi="Verdana" w:cs="Calibri"/>
                <w:b/>
                <w:bCs/>
                <w:sz w:val="16"/>
                <w:szCs w:val="16"/>
                <w:lang w:eastAsia="pt-BR"/>
              </w:rPr>
              <w:t>2026</w:t>
            </w:r>
          </w:p>
        </w:tc>
        <w:tc>
          <w:tcPr>
            <w:tcW w:w="111" w:type="dxa"/>
            <w:tcBorders>
              <w:top w:val="nil"/>
              <w:left w:val="nil"/>
              <w:bottom w:val="nil"/>
              <w:right w:val="nil"/>
            </w:tcBorders>
            <w:shd w:val="clear" w:color="auto" w:fill="auto"/>
            <w:noWrap/>
            <w:vAlign w:val="center"/>
            <w:hideMark/>
          </w:tcPr>
          <w:p w14:paraId="6A995C98" w14:textId="77777777" w:rsidR="00E3049D" w:rsidRPr="00E3049D" w:rsidRDefault="00E3049D" w:rsidP="00E3049D">
            <w:pPr>
              <w:spacing w:after="0" w:line="240" w:lineRule="auto"/>
              <w:jc w:val="right"/>
              <w:rPr>
                <w:rFonts w:ascii="Verdana" w:eastAsia="Times New Roman" w:hAnsi="Verdana" w:cs="Calibri"/>
                <w:b/>
                <w:bCs/>
                <w:sz w:val="16"/>
                <w:szCs w:val="16"/>
                <w:lang w:eastAsia="pt-BR"/>
              </w:rPr>
            </w:pPr>
          </w:p>
        </w:tc>
        <w:tc>
          <w:tcPr>
            <w:tcW w:w="1145" w:type="dxa"/>
            <w:tcBorders>
              <w:top w:val="single" w:sz="8" w:space="0" w:color="auto"/>
              <w:left w:val="nil"/>
              <w:bottom w:val="single" w:sz="8" w:space="0" w:color="auto"/>
              <w:right w:val="nil"/>
            </w:tcBorders>
            <w:shd w:val="clear" w:color="auto" w:fill="auto"/>
            <w:noWrap/>
            <w:vAlign w:val="center"/>
            <w:hideMark/>
          </w:tcPr>
          <w:p w14:paraId="18821B72" w14:textId="77777777" w:rsidR="00E3049D" w:rsidRPr="00E3049D" w:rsidRDefault="00E3049D" w:rsidP="00E3049D">
            <w:pPr>
              <w:spacing w:after="0" w:line="240" w:lineRule="auto"/>
              <w:jc w:val="right"/>
              <w:rPr>
                <w:rFonts w:ascii="Verdana" w:eastAsia="Times New Roman" w:hAnsi="Verdana" w:cs="Calibri"/>
                <w:b/>
                <w:bCs/>
                <w:sz w:val="16"/>
                <w:szCs w:val="16"/>
                <w:lang w:eastAsia="pt-BR"/>
              </w:rPr>
            </w:pPr>
            <w:r w:rsidRPr="00E3049D">
              <w:rPr>
                <w:rFonts w:ascii="Verdana" w:eastAsia="Times New Roman" w:hAnsi="Verdana" w:cs="Calibri"/>
                <w:b/>
                <w:bCs/>
                <w:sz w:val="16"/>
                <w:szCs w:val="16"/>
                <w:lang w:eastAsia="pt-BR"/>
              </w:rPr>
              <w:t>Após 2026</w:t>
            </w:r>
          </w:p>
        </w:tc>
        <w:tc>
          <w:tcPr>
            <w:tcW w:w="111" w:type="dxa"/>
            <w:tcBorders>
              <w:top w:val="nil"/>
              <w:left w:val="nil"/>
              <w:bottom w:val="nil"/>
              <w:right w:val="nil"/>
            </w:tcBorders>
            <w:shd w:val="clear" w:color="auto" w:fill="auto"/>
            <w:noWrap/>
            <w:vAlign w:val="center"/>
            <w:hideMark/>
          </w:tcPr>
          <w:p w14:paraId="5263B14A" w14:textId="77777777" w:rsidR="00E3049D" w:rsidRPr="00E3049D" w:rsidRDefault="00E3049D" w:rsidP="00E3049D">
            <w:pPr>
              <w:spacing w:after="0" w:line="240" w:lineRule="auto"/>
              <w:jc w:val="right"/>
              <w:rPr>
                <w:rFonts w:ascii="Verdana" w:eastAsia="Times New Roman" w:hAnsi="Verdana" w:cs="Calibri"/>
                <w:b/>
                <w:bCs/>
                <w:sz w:val="16"/>
                <w:szCs w:val="16"/>
                <w:lang w:eastAsia="pt-BR"/>
              </w:rPr>
            </w:pPr>
          </w:p>
        </w:tc>
        <w:tc>
          <w:tcPr>
            <w:tcW w:w="1145" w:type="dxa"/>
            <w:tcBorders>
              <w:top w:val="single" w:sz="8" w:space="0" w:color="auto"/>
              <w:left w:val="nil"/>
              <w:bottom w:val="single" w:sz="8" w:space="0" w:color="auto"/>
              <w:right w:val="nil"/>
            </w:tcBorders>
            <w:shd w:val="clear" w:color="auto" w:fill="auto"/>
            <w:noWrap/>
            <w:vAlign w:val="center"/>
            <w:hideMark/>
          </w:tcPr>
          <w:p w14:paraId="55954BA8" w14:textId="77777777" w:rsidR="00E3049D" w:rsidRPr="00E3049D" w:rsidRDefault="00E3049D" w:rsidP="00E3049D">
            <w:pPr>
              <w:spacing w:after="0" w:line="240" w:lineRule="auto"/>
              <w:jc w:val="right"/>
              <w:rPr>
                <w:rFonts w:ascii="Verdana" w:eastAsia="Times New Roman" w:hAnsi="Verdana" w:cs="Calibri"/>
                <w:b/>
                <w:bCs/>
                <w:sz w:val="16"/>
                <w:szCs w:val="16"/>
                <w:lang w:eastAsia="pt-BR"/>
              </w:rPr>
            </w:pPr>
            <w:r w:rsidRPr="00E3049D">
              <w:rPr>
                <w:rFonts w:ascii="Verdana" w:eastAsia="Times New Roman" w:hAnsi="Verdana" w:cs="Calibri"/>
                <w:b/>
                <w:bCs/>
                <w:sz w:val="16"/>
                <w:szCs w:val="16"/>
                <w:lang w:eastAsia="pt-BR"/>
              </w:rPr>
              <w:t>Total</w:t>
            </w:r>
          </w:p>
        </w:tc>
      </w:tr>
      <w:tr w:rsidR="00E3049D" w:rsidRPr="00E3049D" w14:paraId="5AD98991" w14:textId="77777777" w:rsidTr="00E3049D">
        <w:trPr>
          <w:trHeight w:val="242"/>
        </w:trPr>
        <w:tc>
          <w:tcPr>
            <w:tcW w:w="1084" w:type="dxa"/>
            <w:tcBorders>
              <w:top w:val="nil"/>
              <w:left w:val="nil"/>
              <w:bottom w:val="nil"/>
              <w:right w:val="nil"/>
            </w:tcBorders>
            <w:shd w:val="clear" w:color="auto" w:fill="auto"/>
            <w:noWrap/>
            <w:vAlign w:val="center"/>
            <w:hideMark/>
          </w:tcPr>
          <w:p w14:paraId="7FC387CA" w14:textId="77777777" w:rsidR="00E3049D" w:rsidRPr="00E3049D" w:rsidRDefault="00E3049D" w:rsidP="00E3049D">
            <w:pPr>
              <w:spacing w:after="0" w:line="240" w:lineRule="auto"/>
              <w:rPr>
                <w:rFonts w:ascii="Verdana" w:eastAsia="Times New Roman" w:hAnsi="Verdana" w:cs="Calibri"/>
                <w:b/>
                <w:bCs/>
                <w:sz w:val="16"/>
                <w:szCs w:val="16"/>
                <w:lang w:eastAsia="pt-BR"/>
              </w:rPr>
            </w:pPr>
            <w:r w:rsidRPr="00E3049D">
              <w:rPr>
                <w:rFonts w:ascii="Verdana" w:eastAsia="Times New Roman" w:hAnsi="Verdana" w:cs="Calibri"/>
                <w:b/>
                <w:bCs/>
                <w:sz w:val="16"/>
                <w:szCs w:val="16"/>
                <w:lang w:eastAsia="pt-BR"/>
              </w:rPr>
              <w:t>Valor</w:t>
            </w:r>
          </w:p>
        </w:tc>
        <w:tc>
          <w:tcPr>
            <w:tcW w:w="111" w:type="dxa"/>
            <w:tcBorders>
              <w:top w:val="nil"/>
              <w:left w:val="nil"/>
              <w:bottom w:val="nil"/>
              <w:right w:val="nil"/>
            </w:tcBorders>
            <w:shd w:val="clear" w:color="auto" w:fill="auto"/>
            <w:noWrap/>
            <w:vAlign w:val="bottom"/>
            <w:hideMark/>
          </w:tcPr>
          <w:p w14:paraId="0B3D3DEE" w14:textId="77777777" w:rsidR="00E3049D" w:rsidRPr="00E3049D" w:rsidRDefault="00E3049D" w:rsidP="00E3049D">
            <w:pPr>
              <w:spacing w:after="0" w:line="240" w:lineRule="auto"/>
              <w:rPr>
                <w:rFonts w:ascii="Verdana" w:eastAsia="Times New Roman" w:hAnsi="Verdana" w:cs="Calibri"/>
                <w:b/>
                <w:bCs/>
                <w:sz w:val="16"/>
                <w:szCs w:val="16"/>
                <w:lang w:eastAsia="pt-BR"/>
              </w:rPr>
            </w:pPr>
          </w:p>
        </w:tc>
        <w:tc>
          <w:tcPr>
            <w:tcW w:w="1084" w:type="dxa"/>
            <w:tcBorders>
              <w:top w:val="nil"/>
              <w:left w:val="nil"/>
              <w:bottom w:val="nil"/>
              <w:right w:val="nil"/>
            </w:tcBorders>
            <w:shd w:val="clear" w:color="auto" w:fill="auto"/>
            <w:noWrap/>
            <w:vAlign w:val="center"/>
            <w:hideMark/>
          </w:tcPr>
          <w:p w14:paraId="477D9C84" w14:textId="77777777" w:rsidR="00E3049D" w:rsidRPr="00E3049D" w:rsidRDefault="00E3049D" w:rsidP="00E3049D">
            <w:pPr>
              <w:spacing w:after="0" w:line="240" w:lineRule="auto"/>
              <w:jc w:val="right"/>
              <w:rPr>
                <w:rFonts w:ascii="Verdana" w:eastAsia="Times New Roman" w:hAnsi="Verdana" w:cs="Calibri"/>
                <w:sz w:val="16"/>
                <w:szCs w:val="16"/>
                <w:lang w:eastAsia="pt-BR"/>
              </w:rPr>
            </w:pPr>
            <w:r w:rsidRPr="00E3049D">
              <w:rPr>
                <w:rFonts w:ascii="Verdana" w:eastAsia="Times New Roman" w:hAnsi="Verdana" w:cs="Calibri"/>
                <w:sz w:val="16"/>
                <w:szCs w:val="16"/>
                <w:lang w:eastAsia="pt-BR"/>
              </w:rPr>
              <w:t>810.163</w:t>
            </w:r>
          </w:p>
        </w:tc>
        <w:tc>
          <w:tcPr>
            <w:tcW w:w="111" w:type="dxa"/>
            <w:tcBorders>
              <w:top w:val="nil"/>
              <w:left w:val="nil"/>
              <w:bottom w:val="nil"/>
              <w:right w:val="nil"/>
            </w:tcBorders>
            <w:shd w:val="clear" w:color="auto" w:fill="auto"/>
            <w:noWrap/>
            <w:vAlign w:val="bottom"/>
            <w:hideMark/>
          </w:tcPr>
          <w:p w14:paraId="38EA519D" w14:textId="77777777" w:rsidR="00E3049D" w:rsidRPr="00E3049D" w:rsidRDefault="00E3049D" w:rsidP="00E3049D">
            <w:pPr>
              <w:spacing w:after="0" w:line="240" w:lineRule="auto"/>
              <w:jc w:val="right"/>
              <w:rPr>
                <w:rFonts w:ascii="Verdana" w:eastAsia="Times New Roman" w:hAnsi="Verdana" w:cs="Calibri"/>
                <w:sz w:val="16"/>
                <w:szCs w:val="16"/>
                <w:lang w:eastAsia="pt-BR"/>
              </w:rPr>
            </w:pPr>
          </w:p>
        </w:tc>
        <w:tc>
          <w:tcPr>
            <w:tcW w:w="840" w:type="dxa"/>
            <w:tcBorders>
              <w:top w:val="nil"/>
              <w:left w:val="nil"/>
              <w:bottom w:val="nil"/>
              <w:right w:val="nil"/>
            </w:tcBorders>
            <w:shd w:val="clear" w:color="auto" w:fill="auto"/>
            <w:noWrap/>
            <w:vAlign w:val="center"/>
            <w:hideMark/>
          </w:tcPr>
          <w:p w14:paraId="1049CFD3" w14:textId="77777777" w:rsidR="00E3049D" w:rsidRPr="00E3049D" w:rsidRDefault="00E3049D" w:rsidP="00E3049D">
            <w:pPr>
              <w:spacing w:after="0" w:line="240" w:lineRule="auto"/>
              <w:jc w:val="right"/>
              <w:rPr>
                <w:rFonts w:ascii="Verdana" w:eastAsia="Times New Roman" w:hAnsi="Verdana" w:cs="Calibri"/>
                <w:sz w:val="16"/>
                <w:szCs w:val="16"/>
                <w:lang w:eastAsia="pt-BR"/>
              </w:rPr>
            </w:pPr>
            <w:r w:rsidRPr="00E3049D">
              <w:rPr>
                <w:rFonts w:ascii="Verdana" w:eastAsia="Times New Roman" w:hAnsi="Verdana" w:cs="Calibri"/>
                <w:sz w:val="16"/>
                <w:szCs w:val="16"/>
                <w:lang w:eastAsia="pt-BR"/>
              </w:rPr>
              <w:t>383.839</w:t>
            </w:r>
          </w:p>
        </w:tc>
        <w:tc>
          <w:tcPr>
            <w:tcW w:w="111" w:type="dxa"/>
            <w:tcBorders>
              <w:top w:val="nil"/>
              <w:left w:val="nil"/>
              <w:bottom w:val="nil"/>
              <w:right w:val="nil"/>
            </w:tcBorders>
            <w:shd w:val="clear" w:color="auto" w:fill="auto"/>
            <w:noWrap/>
            <w:vAlign w:val="bottom"/>
            <w:hideMark/>
          </w:tcPr>
          <w:p w14:paraId="7AB698AE" w14:textId="77777777" w:rsidR="00E3049D" w:rsidRPr="00E3049D" w:rsidRDefault="00E3049D" w:rsidP="00E3049D">
            <w:pPr>
              <w:spacing w:after="0" w:line="240" w:lineRule="auto"/>
              <w:jc w:val="right"/>
              <w:rPr>
                <w:rFonts w:ascii="Verdana" w:eastAsia="Times New Roman" w:hAnsi="Verdana" w:cs="Calibri"/>
                <w:sz w:val="16"/>
                <w:szCs w:val="16"/>
                <w:lang w:eastAsia="pt-BR"/>
              </w:rPr>
            </w:pPr>
          </w:p>
        </w:tc>
        <w:tc>
          <w:tcPr>
            <w:tcW w:w="1084" w:type="dxa"/>
            <w:tcBorders>
              <w:top w:val="nil"/>
              <w:left w:val="nil"/>
              <w:bottom w:val="nil"/>
              <w:right w:val="nil"/>
            </w:tcBorders>
            <w:shd w:val="clear" w:color="auto" w:fill="auto"/>
            <w:noWrap/>
            <w:vAlign w:val="center"/>
            <w:hideMark/>
          </w:tcPr>
          <w:p w14:paraId="4A0C52E8" w14:textId="77777777" w:rsidR="00E3049D" w:rsidRPr="00E3049D" w:rsidRDefault="00E3049D" w:rsidP="00E3049D">
            <w:pPr>
              <w:spacing w:after="0" w:line="240" w:lineRule="auto"/>
              <w:jc w:val="right"/>
              <w:rPr>
                <w:rFonts w:ascii="Verdana" w:eastAsia="Times New Roman" w:hAnsi="Verdana" w:cs="Calibri"/>
                <w:sz w:val="16"/>
                <w:szCs w:val="16"/>
                <w:lang w:eastAsia="pt-BR"/>
              </w:rPr>
            </w:pPr>
            <w:r w:rsidRPr="00E3049D">
              <w:rPr>
                <w:rFonts w:ascii="Verdana" w:eastAsia="Times New Roman" w:hAnsi="Verdana" w:cs="Calibri"/>
                <w:sz w:val="16"/>
                <w:szCs w:val="16"/>
                <w:lang w:eastAsia="pt-BR"/>
              </w:rPr>
              <w:t>409.429</w:t>
            </w:r>
          </w:p>
        </w:tc>
        <w:tc>
          <w:tcPr>
            <w:tcW w:w="111" w:type="dxa"/>
            <w:tcBorders>
              <w:top w:val="nil"/>
              <w:left w:val="nil"/>
              <w:bottom w:val="nil"/>
              <w:right w:val="nil"/>
            </w:tcBorders>
            <w:shd w:val="clear" w:color="auto" w:fill="auto"/>
            <w:noWrap/>
            <w:vAlign w:val="bottom"/>
            <w:hideMark/>
          </w:tcPr>
          <w:p w14:paraId="55D56652" w14:textId="77777777" w:rsidR="00E3049D" w:rsidRPr="00E3049D" w:rsidRDefault="00E3049D" w:rsidP="00E3049D">
            <w:pPr>
              <w:spacing w:after="0" w:line="240" w:lineRule="auto"/>
              <w:jc w:val="right"/>
              <w:rPr>
                <w:rFonts w:ascii="Verdana" w:eastAsia="Times New Roman" w:hAnsi="Verdana" w:cs="Calibri"/>
                <w:sz w:val="16"/>
                <w:szCs w:val="16"/>
                <w:lang w:eastAsia="pt-BR"/>
              </w:rPr>
            </w:pPr>
          </w:p>
        </w:tc>
        <w:tc>
          <w:tcPr>
            <w:tcW w:w="1084" w:type="dxa"/>
            <w:tcBorders>
              <w:top w:val="nil"/>
              <w:left w:val="nil"/>
              <w:bottom w:val="nil"/>
              <w:right w:val="nil"/>
            </w:tcBorders>
            <w:shd w:val="clear" w:color="auto" w:fill="auto"/>
            <w:noWrap/>
            <w:vAlign w:val="center"/>
            <w:hideMark/>
          </w:tcPr>
          <w:p w14:paraId="76C34209" w14:textId="77777777" w:rsidR="00E3049D" w:rsidRPr="00E3049D" w:rsidRDefault="00E3049D" w:rsidP="00E3049D">
            <w:pPr>
              <w:spacing w:after="0" w:line="240" w:lineRule="auto"/>
              <w:jc w:val="right"/>
              <w:rPr>
                <w:rFonts w:ascii="Verdana" w:eastAsia="Times New Roman" w:hAnsi="Verdana" w:cs="Calibri"/>
                <w:sz w:val="16"/>
                <w:szCs w:val="16"/>
                <w:lang w:eastAsia="pt-BR"/>
              </w:rPr>
            </w:pPr>
            <w:r w:rsidRPr="00E3049D">
              <w:rPr>
                <w:rFonts w:ascii="Verdana" w:eastAsia="Times New Roman" w:hAnsi="Verdana" w:cs="Calibri"/>
                <w:sz w:val="16"/>
                <w:szCs w:val="16"/>
                <w:lang w:eastAsia="pt-BR"/>
              </w:rPr>
              <w:t>68.172</w:t>
            </w:r>
          </w:p>
        </w:tc>
        <w:tc>
          <w:tcPr>
            <w:tcW w:w="111" w:type="dxa"/>
            <w:tcBorders>
              <w:top w:val="nil"/>
              <w:left w:val="nil"/>
              <w:bottom w:val="nil"/>
              <w:right w:val="nil"/>
            </w:tcBorders>
            <w:shd w:val="clear" w:color="auto" w:fill="auto"/>
            <w:noWrap/>
            <w:vAlign w:val="bottom"/>
            <w:hideMark/>
          </w:tcPr>
          <w:p w14:paraId="3BC942D7" w14:textId="77777777" w:rsidR="00E3049D" w:rsidRPr="00E3049D" w:rsidRDefault="00E3049D" w:rsidP="00E3049D">
            <w:pPr>
              <w:spacing w:after="0" w:line="240" w:lineRule="auto"/>
              <w:jc w:val="right"/>
              <w:rPr>
                <w:rFonts w:ascii="Verdana" w:eastAsia="Times New Roman" w:hAnsi="Verdana" w:cs="Calibri"/>
                <w:sz w:val="16"/>
                <w:szCs w:val="16"/>
                <w:lang w:eastAsia="pt-BR"/>
              </w:rPr>
            </w:pPr>
          </w:p>
        </w:tc>
        <w:tc>
          <w:tcPr>
            <w:tcW w:w="1069" w:type="dxa"/>
            <w:tcBorders>
              <w:top w:val="nil"/>
              <w:left w:val="nil"/>
              <w:bottom w:val="nil"/>
              <w:right w:val="nil"/>
            </w:tcBorders>
            <w:shd w:val="clear" w:color="auto" w:fill="auto"/>
            <w:noWrap/>
            <w:vAlign w:val="center"/>
            <w:hideMark/>
          </w:tcPr>
          <w:p w14:paraId="3315F76A" w14:textId="77777777" w:rsidR="00E3049D" w:rsidRPr="00E3049D" w:rsidRDefault="00E3049D" w:rsidP="00E3049D">
            <w:pPr>
              <w:spacing w:after="0" w:line="240" w:lineRule="auto"/>
              <w:jc w:val="right"/>
              <w:rPr>
                <w:rFonts w:ascii="Verdana" w:eastAsia="Times New Roman" w:hAnsi="Verdana" w:cs="Calibri"/>
                <w:sz w:val="16"/>
                <w:szCs w:val="16"/>
                <w:lang w:eastAsia="pt-BR"/>
              </w:rPr>
            </w:pPr>
            <w:r w:rsidRPr="00E3049D">
              <w:rPr>
                <w:rFonts w:ascii="Verdana" w:eastAsia="Times New Roman" w:hAnsi="Verdana" w:cs="Calibri"/>
                <w:sz w:val="16"/>
                <w:szCs w:val="16"/>
                <w:lang w:eastAsia="pt-BR"/>
              </w:rPr>
              <w:t>10.679</w:t>
            </w:r>
          </w:p>
        </w:tc>
        <w:tc>
          <w:tcPr>
            <w:tcW w:w="111" w:type="dxa"/>
            <w:tcBorders>
              <w:top w:val="nil"/>
              <w:left w:val="nil"/>
              <w:bottom w:val="nil"/>
              <w:right w:val="nil"/>
            </w:tcBorders>
            <w:shd w:val="clear" w:color="auto" w:fill="auto"/>
            <w:noWrap/>
            <w:vAlign w:val="bottom"/>
            <w:hideMark/>
          </w:tcPr>
          <w:p w14:paraId="6CC17805" w14:textId="77777777" w:rsidR="00E3049D" w:rsidRPr="00E3049D" w:rsidRDefault="00E3049D" w:rsidP="00E3049D">
            <w:pPr>
              <w:spacing w:after="0" w:line="240" w:lineRule="auto"/>
              <w:jc w:val="right"/>
              <w:rPr>
                <w:rFonts w:ascii="Verdana" w:eastAsia="Times New Roman" w:hAnsi="Verdana" w:cs="Calibri"/>
                <w:sz w:val="16"/>
                <w:szCs w:val="16"/>
                <w:lang w:eastAsia="pt-BR"/>
              </w:rPr>
            </w:pPr>
          </w:p>
        </w:tc>
        <w:tc>
          <w:tcPr>
            <w:tcW w:w="1145" w:type="dxa"/>
            <w:tcBorders>
              <w:top w:val="nil"/>
              <w:left w:val="nil"/>
              <w:bottom w:val="nil"/>
              <w:right w:val="nil"/>
            </w:tcBorders>
            <w:shd w:val="clear" w:color="auto" w:fill="auto"/>
            <w:noWrap/>
            <w:vAlign w:val="center"/>
            <w:hideMark/>
          </w:tcPr>
          <w:p w14:paraId="552641D7" w14:textId="77777777" w:rsidR="00E3049D" w:rsidRPr="00E3049D" w:rsidRDefault="00E3049D" w:rsidP="00E3049D">
            <w:pPr>
              <w:spacing w:after="0" w:line="240" w:lineRule="auto"/>
              <w:jc w:val="right"/>
              <w:rPr>
                <w:rFonts w:ascii="Verdana" w:eastAsia="Times New Roman" w:hAnsi="Verdana" w:cs="Calibri"/>
                <w:sz w:val="16"/>
                <w:szCs w:val="16"/>
                <w:lang w:eastAsia="pt-BR"/>
              </w:rPr>
            </w:pPr>
            <w:r>
              <w:rPr>
                <w:rFonts w:ascii="Verdana" w:eastAsia="Times New Roman" w:hAnsi="Verdana" w:cs="Calibri"/>
                <w:sz w:val="16"/>
                <w:szCs w:val="16"/>
                <w:lang w:eastAsia="pt-BR"/>
              </w:rPr>
              <w:t>-</w:t>
            </w:r>
          </w:p>
        </w:tc>
        <w:tc>
          <w:tcPr>
            <w:tcW w:w="111" w:type="dxa"/>
            <w:tcBorders>
              <w:top w:val="nil"/>
              <w:left w:val="nil"/>
              <w:bottom w:val="nil"/>
              <w:right w:val="nil"/>
            </w:tcBorders>
            <w:shd w:val="clear" w:color="auto" w:fill="auto"/>
            <w:noWrap/>
            <w:vAlign w:val="bottom"/>
            <w:hideMark/>
          </w:tcPr>
          <w:p w14:paraId="37B8AFD8" w14:textId="77777777" w:rsidR="00E3049D" w:rsidRPr="00E3049D" w:rsidRDefault="00E3049D" w:rsidP="00E3049D">
            <w:pPr>
              <w:spacing w:after="0" w:line="240" w:lineRule="auto"/>
              <w:jc w:val="right"/>
              <w:rPr>
                <w:rFonts w:ascii="Verdana" w:eastAsia="Times New Roman" w:hAnsi="Verdana" w:cs="Calibri"/>
                <w:sz w:val="16"/>
                <w:szCs w:val="16"/>
                <w:lang w:eastAsia="pt-BR"/>
              </w:rPr>
            </w:pPr>
          </w:p>
        </w:tc>
        <w:tc>
          <w:tcPr>
            <w:tcW w:w="1145" w:type="dxa"/>
            <w:tcBorders>
              <w:top w:val="nil"/>
              <w:left w:val="nil"/>
              <w:bottom w:val="nil"/>
              <w:right w:val="nil"/>
            </w:tcBorders>
            <w:shd w:val="clear" w:color="auto" w:fill="auto"/>
            <w:noWrap/>
            <w:vAlign w:val="center"/>
            <w:hideMark/>
          </w:tcPr>
          <w:p w14:paraId="433ECA09" w14:textId="77777777" w:rsidR="00E3049D" w:rsidRPr="00E3049D" w:rsidRDefault="00E3049D" w:rsidP="00E3049D">
            <w:pPr>
              <w:spacing w:after="0" w:line="240" w:lineRule="auto"/>
              <w:jc w:val="right"/>
              <w:rPr>
                <w:rFonts w:ascii="Verdana" w:eastAsia="Times New Roman" w:hAnsi="Verdana" w:cs="Calibri"/>
                <w:sz w:val="16"/>
                <w:szCs w:val="16"/>
                <w:lang w:eastAsia="pt-BR"/>
              </w:rPr>
            </w:pPr>
            <w:r w:rsidRPr="00E3049D">
              <w:rPr>
                <w:rFonts w:ascii="Verdana" w:eastAsia="Times New Roman" w:hAnsi="Verdana" w:cs="Calibri"/>
                <w:sz w:val="16"/>
                <w:szCs w:val="16"/>
                <w:lang w:eastAsia="pt-BR"/>
              </w:rPr>
              <w:t>1.682.282</w:t>
            </w:r>
          </w:p>
        </w:tc>
      </w:tr>
    </w:tbl>
    <w:p w14:paraId="667F78C2" w14:textId="77777777" w:rsidR="00AA27EF" w:rsidRDefault="00AA27EF" w:rsidP="004A1E74">
      <w:pPr>
        <w:jc w:val="both"/>
        <w:rPr>
          <w:rFonts w:ascii="Verdana" w:hAnsi="Verdana" w:cstheme="minorHAnsi"/>
          <w:noProof/>
          <w:lang w:eastAsia="pt-BR"/>
        </w:rPr>
      </w:pPr>
    </w:p>
    <w:p w14:paraId="434898B2" w14:textId="1BF21A50" w:rsidR="00BD50AB" w:rsidRDefault="00920A40" w:rsidP="00BD50AB">
      <w:pPr>
        <w:tabs>
          <w:tab w:val="left" w:pos="567"/>
          <w:tab w:val="left" w:pos="1134"/>
          <w:tab w:val="left" w:pos="1701"/>
          <w:tab w:val="left" w:pos="2268"/>
          <w:tab w:val="left" w:pos="2835"/>
        </w:tabs>
        <w:jc w:val="both"/>
        <w:outlineLvl w:val="0"/>
        <w:rPr>
          <w:rFonts w:ascii="Verdana" w:hAnsi="Verdana" w:cstheme="minorHAnsi"/>
          <w:b/>
        </w:rPr>
      </w:pPr>
      <w:r>
        <w:rPr>
          <w:rFonts w:ascii="Verdana" w:hAnsi="Verdana" w:cstheme="minorHAnsi"/>
          <w:b/>
        </w:rPr>
        <w:t>3</w:t>
      </w:r>
      <w:r w:rsidR="005B6BD5" w:rsidRPr="00F7132F">
        <w:rPr>
          <w:rFonts w:ascii="Verdana" w:hAnsi="Verdana" w:cstheme="minorHAnsi"/>
          <w:b/>
        </w:rPr>
        <w:t xml:space="preserve">4 </w:t>
      </w:r>
      <w:r w:rsidR="00BD50AB" w:rsidRPr="00F7132F">
        <w:rPr>
          <w:rFonts w:ascii="Verdana" w:hAnsi="Verdana" w:cstheme="minorHAnsi"/>
          <w:b/>
        </w:rPr>
        <w:t xml:space="preserve">– EVENTOS SUBSEQUENTES </w:t>
      </w:r>
    </w:p>
    <w:p w14:paraId="29E7072E" w14:textId="77777777" w:rsidR="00B53E22" w:rsidRDefault="00B53E22" w:rsidP="00B53E22">
      <w:pPr>
        <w:autoSpaceDE w:val="0"/>
        <w:autoSpaceDN w:val="0"/>
        <w:jc w:val="both"/>
        <w:rPr>
          <w:rFonts w:ascii="Verdana" w:hAnsi="Verdana"/>
          <w:b/>
          <w:bCs/>
        </w:rPr>
      </w:pPr>
      <w:r>
        <w:rPr>
          <w:rFonts w:ascii="Verdana" w:hAnsi="Verdana"/>
          <w:b/>
          <w:bCs/>
        </w:rPr>
        <w:t>34.1 - Indústrias Nucleares do Brasil S.A.</w:t>
      </w:r>
      <w:r>
        <w:rPr>
          <w:rFonts w:ascii="Verdana" w:hAnsi="Verdana"/>
        </w:rPr>
        <w:t xml:space="preserve"> </w:t>
      </w:r>
      <w:r>
        <w:rPr>
          <w:rFonts w:ascii="Verdana" w:hAnsi="Verdana"/>
          <w:b/>
          <w:bCs/>
        </w:rPr>
        <w:t xml:space="preserve">passa a ser controlada pela </w:t>
      </w:r>
      <w:proofErr w:type="spellStart"/>
      <w:r>
        <w:rPr>
          <w:rFonts w:ascii="Verdana" w:hAnsi="Verdana"/>
          <w:b/>
          <w:bCs/>
        </w:rPr>
        <w:t>ENBPar</w:t>
      </w:r>
      <w:proofErr w:type="spellEnd"/>
    </w:p>
    <w:p w14:paraId="1F0B32ED" w14:textId="77777777" w:rsidR="00B53E22" w:rsidRDefault="00B53E22" w:rsidP="00B53E22">
      <w:pPr>
        <w:pStyle w:val="xmsonormal"/>
        <w:shd w:val="clear" w:color="auto" w:fill="FFFFFF"/>
        <w:spacing w:before="0" w:beforeAutospacing="0" w:after="160" w:afterAutospacing="0"/>
        <w:rPr>
          <w:rFonts w:ascii="Verdana" w:hAnsi="Verdana"/>
        </w:rPr>
      </w:pPr>
      <w:r>
        <w:rPr>
          <w:rFonts w:ascii="Verdana" w:hAnsi="Verdana"/>
        </w:rPr>
        <w:t>Foi publicado o </w:t>
      </w:r>
      <w:hyperlink r:id="rId12" w:tgtFrame="_blank" w:history="1">
        <w:r w:rsidRPr="004966B9">
          <w:rPr>
            <w:rFonts w:ascii="Verdana" w:hAnsi="Verdana"/>
          </w:rPr>
          <w:t>Decreto nº 11.235, de 13 de outubro de 2022</w:t>
        </w:r>
      </w:hyperlink>
      <w:r>
        <w:rPr>
          <w:rFonts w:ascii="Verdana" w:hAnsi="Verdana"/>
        </w:rPr>
        <w:t xml:space="preserve">, que autorizou o aumento de capital social da Empresa Brasileira de Participações em Energia Nuclear e Binacional S.A. por meio do aporte das ações da União no capital da Indústrias Nucleares do Brasil S.A. (INB). Isso implicou na assunção do controle acionário da INB pela </w:t>
      </w:r>
      <w:proofErr w:type="spellStart"/>
      <w:r>
        <w:rPr>
          <w:rFonts w:ascii="Verdana" w:hAnsi="Verdana"/>
        </w:rPr>
        <w:t>ENBPar</w:t>
      </w:r>
      <w:proofErr w:type="spellEnd"/>
      <w:r>
        <w:rPr>
          <w:rFonts w:ascii="Verdana" w:hAnsi="Verdana"/>
        </w:rPr>
        <w:t>.</w:t>
      </w:r>
    </w:p>
    <w:p w14:paraId="0BAD5EF4" w14:textId="77777777" w:rsidR="00B53E22" w:rsidRDefault="00B53E22" w:rsidP="00B53E22">
      <w:pPr>
        <w:pStyle w:val="xmsonormal"/>
        <w:shd w:val="clear" w:color="auto" w:fill="FFFFFF"/>
        <w:spacing w:before="0" w:beforeAutospacing="0" w:after="160" w:afterAutospacing="0"/>
        <w:rPr>
          <w:rFonts w:ascii="Verdana" w:hAnsi="Verdana"/>
        </w:rPr>
      </w:pPr>
      <w:r>
        <w:rPr>
          <w:rFonts w:ascii="Verdana" w:hAnsi="Verdana"/>
        </w:rPr>
        <w:t xml:space="preserve">Com o decreto, a INB se tornou uma estatal não dependente da União e, portanto, não receberá recursos financeiros do Tesouro para pagamento de despesas com pessoal ou de custeio geral ou de capital. A INB já havia atingido a autossuficiência financeira neste ano e agora passa a ser uma subsidiária da </w:t>
      </w:r>
      <w:proofErr w:type="spellStart"/>
      <w:r>
        <w:rPr>
          <w:rFonts w:ascii="Verdana" w:hAnsi="Verdana"/>
        </w:rPr>
        <w:t>ENBPar</w:t>
      </w:r>
      <w:proofErr w:type="spellEnd"/>
      <w:r>
        <w:rPr>
          <w:rFonts w:ascii="Verdana" w:hAnsi="Verdana"/>
        </w:rPr>
        <w:t>.</w:t>
      </w:r>
    </w:p>
    <w:p w14:paraId="15207A9B" w14:textId="77777777" w:rsidR="00B53E22" w:rsidRDefault="00B53E22" w:rsidP="00B53E22">
      <w:pPr>
        <w:pStyle w:val="xmsonormal"/>
        <w:shd w:val="clear" w:color="auto" w:fill="FFFFFF"/>
        <w:spacing w:before="0" w:beforeAutospacing="0" w:after="160" w:afterAutospacing="0"/>
        <w:rPr>
          <w:rFonts w:ascii="Verdana" w:hAnsi="Verdana"/>
        </w:rPr>
      </w:pPr>
      <w:r>
        <w:rPr>
          <w:rFonts w:ascii="Verdana" w:hAnsi="Verdana"/>
        </w:rPr>
        <w:t>A alteração acionária trará maior autonomia orçamentária e financeira e mais eficiência na gestão do caixa por parte da INB. Agora a INB terá maior flexibilidade para estabelecer parcerias com a iniciativa privada, uma vez que a nova legislação permite que sejam feitos outros modelos de associação entre a INB e parceiros privados para exploração de jazidas minerais que possuam minérios nucleares.</w:t>
      </w:r>
    </w:p>
    <w:p w14:paraId="5316C5EC" w14:textId="1173756C" w:rsidR="002927BF" w:rsidRPr="00F7132F" w:rsidRDefault="002927BF">
      <w:pPr>
        <w:jc w:val="both"/>
        <w:rPr>
          <w:rFonts w:ascii="Verdana" w:hAnsi="Verdana" w:cstheme="minorHAnsi"/>
          <w:b/>
          <w:bCs/>
        </w:rPr>
      </w:pPr>
      <w:r w:rsidRPr="00F7132F">
        <w:rPr>
          <w:rFonts w:ascii="Verdana" w:hAnsi="Verdana" w:cstheme="minorHAnsi"/>
          <w:b/>
          <w:bCs/>
        </w:rPr>
        <w:t>34.</w:t>
      </w:r>
      <w:r w:rsidR="00B53E22">
        <w:rPr>
          <w:rFonts w:ascii="Verdana" w:hAnsi="Verdana" w:cstheme="minorHAnsi"/>
          <w:b/>
          <w:bCs/>
        </w:rPr>
        <w:t>2</w:t>
      </w:r>
      <w:r w:rsidRPr="00F7132F">
        <w:rPr>
          <w:rFonts w:ascii="Verdana" w:hAnsi="Verdana" w:cstheme="minorHAnsi"/>
          <w:b/>
          <w:bCs/>
        </w:rPr>
        <w:t xml:space="preserve"> - Assunção do controle da INB pela </w:t>
      </w:r>
      <w:proofErr w:type="spellStart"/>
      <w:r w:rsidRPr="00F7132F">
        <w:rPr>
          <w:rFonts w:ascii="Verdana" w:hAnsi="Verdana" w:cstheme="minorHAnsi"/>
          <w:b/>
          <w:bCs/>
        </w:rPr>
        <w:t>ENBPar</w:t>
      </w:r>
      <w:proofErr w:type="spellEnd"/>
    </w:p>
    <w:p w14:paraId="2BB3BFBC" w14:textId="0935D19A" w:rsidR="00E07D5F" w:rsidRDefault="00E07D5F">
      <w:pPr>
        <w:jc w:val="both"/>
        <w:rPr>
          <w:rFonts w:ascii="Verdana" w:hAnsi="Verdana" w:cstheme="minorHAnsi"/>
        </w:rPr>
      </w:pPr>
      <w:r w:rsidRPr="00116729">
        <w:rPr>
          <w:rFonts w:ascii="Verdana" w:hAnsi="Verdana" w:cstheme="minorHAnsi"/>
        </w:rPr>
        <w:t xml:space="preserve">Em 12 de agosto de 2022 foi publicada a Medida Provisória nº 1133, que no art. 8º autoriza o aumento de capital social da </w:t>
      </w:r>
      <w:proofErr w:type="spellStart"/>
      <w:r w:rsidRPr="00116729">
        <w:rPr>
          <w:rFonts w:ascii="Verdana" w:hAnsi="Verdana" w:cstheme="minorHAnsi"/>
        </w:rPr>
        <w:t>ENBPar</w:t>
      </w:r>
      <w:proofErr w:type="spellEnd"/>
      <w:r w:rsidRPr="00116729">
        <w:rPr>
          <w:rFonts w:ascii="Verdana" w:hAnsi="Verdana" w:cstheme="minorHAnsi"/>
        </w:rPr>
        <w:t xml:space="preserve">, por meio do aporte das ações que a União detém no capital social da INB. Isso implicará na assunção do controle da INB pela </w:t>
      </w:r>
      <w:proofErr w:type="spellStart"/>
      <w:r w:rsidRPr="00116729">
        <w:rPr>
          <w:rFonts w:ascii="Verdana" w:hAnsi="Verdana" w:cstheme="minorHAnsi"/>
        </w:rPr>
        <w:t>ENBPar</w:t>
      </w:r>
      <w:proofErr w:type="spellEnd"/>
      <w:r w:rsidRPr="00116729">
        <w:rPr>
          <w:rFonts w:ascii="Verdana" w:hAnsi="Verdana" w:cstheme="minorHAnsi"/>
        </w:rPr>
        <w:t xml:space="preserve"> a partir da efetivação desse aumento de capital social.</w:t>
      </w:r>
    </w:p>
    <w:p w14:paraId="70B6B518" w14:textId="77777777" w:rsidR="00B63957" w:rsidRPr="00116729" w:rsidRDefault="00B63957">
      <w:pPr>
        <w:jc w:val="both"/>
        <w:rPr>
          <w:rFonts w:ascii="Verdana" w:hAnsi="Verdana" w:cstheme="minorHAnsi"/>
        </w:rPr>
      </w:pPr>
    </w:p>
    <w:p w14:paraId="29CF5056" w14:textId="156C6E6E" w:rsidR="002927BF" w:rsidRPr="00F7132F" w:rsidRDefault="002927BF" w:rsidP="002927BF">
      <w:pPr>
        <w:jc w:val="both"/>
        <w:rPr>
          <w:rFonts w:ascii="Verdana" w:hAnsi="Verdana" w:cstheme="minorHAnsi"/>
          <w:b/>
          <w:bCs/>
        </w:rPr>
      </w:pPr>
      <w:r w:rsidRPr="00F7132F">
        <w:rPr>
          <w:rFonts w:ascii="Verdana" w:hAnsi="Verdana" w:cstheme="minorHAnsi"/>
          <w:b/>
          <w:bCs/>
        </w:rPr>
        <w:lastRenderedPageBreak/>
        <w:t>34.</w:t>
      </w:r>
      <w:r w:rsidR="00B53E22">
        <w:rPr>
          <w:rFonts w:ascii="Verdana" w:hAnsi="Verdana" w:cstheme="minorHAnsi"/>
          <w:b/>
          <w:bCs/>
        </w:rPr>
        <w:t>3</w:t>
      </w:r>
      <w:r w:rsidRPr="00F7132F">
        <w:rPr>
          <w:rFonts w:ascii="Verdana" w:hAnsi="Verdana" w:cstheme="minorHAnsi"/>
          <w:b/>
          <w:bCs/>
        </w:rPr>
        <w:t xml:space="preserve"> – Aprovação da ANEEL sobre o pagamento do diferimento do saldo da Conta de Comercialização de Energia Elétrica de Itaipu</w:t>
      </w:r>
    </w:p>
    <w:p w14:paraId="1149C032" w14:textId="77777777" w:rsidR="00E07D5F" w:rsidRPr="004D3063" w:rsidRDefault="00E07D5F" w:rsidP="004D3063">
      <w:pPr>
        <w:pStyle w:val="Default"/>
        <w:adjustRightInd/>
        <w:jc w:val="both"/>
        <w:rPr>
          <w:rFonts w:eastAsiaTheme="minorHAnsi" w:cstheme="minorHAnsi"/>
          <w:color w:val="auto"/>
          <w:sz w:val="22"/>
          <w:szCs w:val="22"/>
          <w:lang w:eastAsia="en-US"/>
        </w:rPr>
      </w:pPr>
      <w:r w:rsidRPr="004D3063">
        <w:rPr>
          <w:rFonts w:eastAsiaTheme="minorHAnsi" w:cstheme="minorHAnsi"/>
          <w:color w:val="auto"/>
          <w:sz w:val="22"/>
          <w:szCs w:val="22"/>
          <w:lang w:eastAsia="en-US"/>
        </w:rPr>
        <w:t xml:space="preserve">Em 16 de agosto de 2022 foi publicada a Resolução Homologatória nº 3.093 da ANEEL, aprovando o pagamento do diferimento do saldo da Conta de Comercialização de Energia Elétrica de Itaipu de 2021 pela </w:t>
      </w:r>
      <w:proofErr w:type="spellStart"/>
      <w:r w:rsidRPr="004D3063">
        <w:rPr>
          <w:rFonts w:eastAsiaTheme="minorHAnsi" w:cstheme="minorHAnsi"/>
          <w:color w:val="auto"/>
          <w:sz w:val="22"/>
          <w:szCs w:val="22"/>
          <w:lang w:eastAsia="en-US"/>
        </w:rPr>
        <w:t>ENBPar</w:t>
      </w:r>
      <w:proofErr w:type="spellEnd"/>
      <w:r w:rsidRPr="004D3063">
        <w:rPr>
          <w:rFonts w:eastAsiaTheme="minorHAnsi" w:cstheme="minorHAnsi"/>
          <w:color w:val="auto"/>
          <w:sz w:val="22"/>
          <w:szCs w:val="22"/>
          <w:lang w:eastAsia="en-US"/>
        </w:rPr>
        <w:t xml:space="preserve"> as distribuidoras elegíveis.</w:t>
      </w:r>
    </w:p>
    <w:p w14:paraId="4377C057" w14:textId="77777777" w:rsidR="000679DB" w:rsidRDefault="004A1E74" w:rsidP="004A1E74">
      <w:pPr>
        <w:jc w:val="both"/>
        <w:rPr>
          <w:rFonts w:ascii="Verdana" w:hAnsi="Verdana" w:cstheme="minorHAnsi"/>
        </w:rPr>
      </w:pPr>
      <w:r>
        <w:rPr>
          <w:rFonts w:ascii="Verdana" w:hAnsi="Verdana" w:cstheme="minorHAnsi"/>
        </w:rPr>
        <w:t xml:space="preserve"> </w:t>
      </w:r>
    </w:p>
    <w:p w14:paraId="126E6C58" w14:textId="3FD4556E" w:rsidR="000679DB" w:rsidRDefault="000679DB" w:rsidP="000679DB">
      <w:pPr>
        <w:jc w:val="both"/>
        <w:rPr>
          <w:rFonts w:ascii="Verdana" w:hAnsi="Verdana" w:cstheme="minorHAnsi"/>
          <w:b/>
          <w:bCs/>
        </w:rPr>
      </w:pPr>
      <w:bookmarkStart w:id="14" w:name="_Hlk125554462"/>
      <w:r w:rsidRPr="00F7132F">
        <w:rPr>
          <w:rFonts w:ascii="Verdana" w:hAnsi="Verdana" w:cstheme="minorHAnsi"/>
          <w:b/>
          <w:bCs/>
        </w:rPr>
        <w:t>34.</w:t>
      </w:r>
      <w:r>
        <w:rPr>
          <w:rFonts w:ascii="Verdana" w:hAnsi="Verdana" w:cstheme="minorHAnsi"/>
          <w:b/>
          <w:bCs/>
        </w:rPr>
        <w:t>4</w:t>
      </w:r>
      <w:r w:rsidRPr="00F7132F">
        <w:rPr>
          <w:rFonts w:ascii="Verdana" w:hAnsi="Verdana" w:cstheme="minorHAnsi"/>
          <w:b/>
          <w:bCs/>
        </w:rPr>
        <w:t xml:space="preserve"> – </w:t>
      </w:r>
      <w:r>
        <w:rPr>
          <w:rFonts w:ascii="Verdana" w:hAnsi="Verdana" w:cstheme="minorHAnsi"/>
          <w:b/>
          <w:bCs/>
        </w:rPr>
        <w:t xml:space="preserve">Incorporação dos saldos da conta de comercialização de energia elétrica de Itaipu </w:t>
      </w:r>
    </w:p>
    <w:p w14:paraId="4FDE31DB" w14:textId="02BF523C" w:rsidR="000679DB" w:rsidRPr="003072B4" w:rsidRDefault="000679DB" w:rsidP="000679DB">
      <w:pPr>
        <w:jc w:val="both"/>
        <w:rPr>
          <w:rFonts w:ascii="Verdana" w:hAnsi="Verdana" w:cstheme="minorHAnsi"/>
        </w:rPr>
      </w:pPr>
      <w:r w:rsidRPr="003072B4">
        <w:rPr>
          <w:rFonts w:ascii="Verdana" w:hAnsi="Verdana" w:cstheme="minorHAnsi"/>
        </w:rPr>
        <w:t xml:space="preserve">Em novembro de 2022 a Companhia incorporou </w:t>
      </w:r>
      <w:r w:rsidR="0047401F" w:rsidRPr="003072B4">
        <w:rPr>
          <w:rFonts w:ascii="Verdana" w:hAnsi="Verdana" w:cstheme="minorHAnsi"/>
        </w:rPr>
        <w:t>no seu balanço os saldo</w:t>
      </w:r>
      <w:r w:rsidR="00AA5A01">
        <w:rPr>
          <w:rFonts w:ascii="Verdana" w:hAnsi="Verdana" w:cstheme="minorHAnsi"/>
        </w:rPr>
        <w:t>s</w:t>
      </w:r>
      <w:r w:rsidR="0047401F" w:rsidRPr="003072B4">
        <w:rPr>
          <w:rFonts w:ascii="Verdana" w:hAnsi="Verdana" w:cstheme="minorHAnsi"/>
        </w:rPr>
        <w:t xml:space="preserve"> contábeis da conta de comercialização de energia elétrica de Itaipu vindos da Eletrobras com base em um relatório de asseguração de saldos emitido por empresa independente.</w:t>
      </w:r>
    </w:p>
    <w:p w14:paraId="1E0EF951" w14:textId="7B4256E2" w:rsidR="0047401F" w:rsidRDefault="0047401F" w:rsidP="0047401F">
      <w:pPr>
        <w:jc w:val="both"/>
        <w:rPr>
          <w:rFonts w:ascii="Verdana" w:hAnsi="Verdana" w:cstheme="minorHAnsi"/>
          <w:b/>
          <w:bCs/>
        </w:rPr>
      </w:pPr>
      <w:r w:rsidRPr="00F7132F">
        <w:rPr>
          <w:rFonts w:ascii="Verdana" w:hAnsi="Verdana" w:cstheme="minorHAnsi"/>
          <w:b/>
          <w:bCs/>
        </w:rPr>
        <w:t>34.</w:t>
      </w:r>
      <w:r>
        <w:rPr>
          <w:rFonts w:ascii="Verdana" w:hAnsi="Verdana" w:cstheme="minorHAnsi"/>
          <w:b/>
          <w:bCs/>
        </w:rPr>
        <w:t>5</w:t>
      </w:r>
      <w:r w:rsidRPr="00F7132F">
        <w:rPr>
          <w:rFonts w:ascii="Verdana" w:hAnsi="Verdana" w:cstheme="minorHAnsi"/>
          <w:b/>
          <w:bCs/>
        </w:rPr>
        <w:t xml:space="preserve"> – </w:t>
      </w:r>
      <w:r w:rsidR="00AA5A01">
        <w:rPr>
          <w:rFonts w:ascii="Verdana" w:hAnsi="Verdana" w:cstheme="minorHAnsi"/>
          <w:b/>
          <w:bCs/>
        </w:rPr>
        <w:t>Aprovação do Projeto - PLN de Lei nº 16/2022</w:t>
      </w:r>
    </w:p>
    <w:p w14:paraId="17E97A70" w14:textId="2213F36F" w:rsidR="00AA5A01" w:rsidRDefault="00AA5A01" w:rsidP="0047401F">
      <w:pPr>
        <w:jc w:val="both"/>
        <w:rPr>
          <w:rFonts w:ascii="Verdana" w:hAnsi="Verdana" w:cstheme="minorHAnsi"/>
        </w:rPr>
      </w:pPr>
      <w:r w:rsidRPr="003072B4">
        <w:rPr>
          <w:rFonts w:ascii="Verdana" w:hAnsi="Verdana" w:cstheme="minorHAnsi"/>
        </w:rPr>
        <w:t xml:space="preserve">Em dezembro foi aprovado o PLN nº 16/2022, onde foi liberado e transferido para a </w:t>
      </w:r>
      <w:proofErr w:type="spellStart"/>
      <w:r w:rsidRPr="003072B4">
        <w:rPr>
          <w:rFonts w:ascii="Verdana" w:hAnsi="Verdana" w:cstheme="minorHAnsi"/>
        </w:rPr>
        <w:t>ENBPar</w:t>
      </w:r>
      <w:proofErr w:type="spellEnd"/>
      <w:r w:rsidRPr="003072B4">
        <w:rPr>
          <w:rFonts w:ascii="Verdana" w:hAnsi="Verdana" w:cstheme="minorHAnsi"/>
        </w:rPr>
        <w:t xml:space="preserve"> o valor de R$ 1,2 Bilhões para liquidação da </w:t>
      </w:r>
      <w:r w:rsidRPr="00AA5A01">
        <w:rPr>
          <w:rFonts w:ascii="Verdana" w:hAnsi="Verdana" w:cstheme="minorHAnsi"/>
        </w:rPr>
        <w:t>dívida</w:t>
      </w:r>
      <w:r w:rsidRPr="003072B4">
        <w:rPr>
          <w:rFonts w:ascii="Verdana" w:hAnsi="Verdana" w:cstheme="minorHAnsi"/>
        </w:rPr>
        <w:t xml:space="preserve"> da aquisição do investimento em Itaipu.</w:t>
      </w:r>
    </w:p>
    <w:p w14:paraId="726EAC88" w14:textId="77777777" w:rsidR="006D2410" w:rsidRPr="003072B4" w:rsidRDefault="006D2410" w:rsidP="0047401F">
      <w:pPr>
        <w:jc w:val="both"/>
        <w:rPr>
          <w:rFonts w:ascii="Verdana" w:hAnsi="Verdana" w:cstheme="minorHAnsi"/>
        </w:rPr>
      </w:pPr>
    </w:p>
    <w:bookmarkEnd w:id="14"/>
    <w:p w14:paraId="2539012A" w14:textId="77777777" w:rsidR="0047401F" w:rsidRPr="00F7132F" w:rsidRDefault="0047401F" w:rsidP="000679DB">
      <w:pPr>
        <w:jc w:val="both"/>
        <w:rPr>
          <w:rFonts w:ascii="Verdana" w:hAnsi="Verdana" w:cstheme="minorHAnsi"/>
          <w:b/>
          <w:bCs/>
        </w:rPr>
      </w:pPr>
    </w:p>
    <w:tbl>
      <w:tblPr>
        <w:tblStyle w:val="Tabelacomgrade"/>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83"/>
        <w:gridCol w:w="4541"/>
      </w:tblGrid>
      <w:tr w:rsidR="006D2410" w:rsidRPr="006D2410" w14:paraId="6D176D88" w14:textId="77777777" w:rsidTr="00E80356">
        <w:tc>
          <w:tcPr>
            <w:tcW w:w="4390" w:type="dxa"/>
            <w:tcBorders>
              <w:top w:val="single" w:sz="4" w:space="0" w:color="auto"/>
            </w:tcBorders>
          </w:tcPr>
          <w:p w14:paraId="7B1389CF" w14:textId="77777777" w:rsidR="006D2410" w:rsidRPr="006D2410" w:rsidRDefault="006D2410" w:rsidP="00E80356">
            <w:pPr>
              <w:autoSpaceDE w:val="0"/>
              <w:autoSpaceDN w:val="0"/>
              <w:adjustRightInd w:val="0"/>
              <w:jc w:val="center"/>
              <w:rPr>
                <w:rFonts w:ascii="Verdana" w:hAnsi="Verdana"/>
              </w:rPr>
            </w:pPr>
            <w:r w:rsidRPr="006D2410">
              <w:rPr>
                <w:rFonts w:ascii="Verdana" w:hAnsi="Verdana"/>
                <w:b/>
                <w:bCs/>
              </w:rPr>
              <w:t>Ney Zanella dos Santos</w:t>
            </w:r>
          </w:p>
        </w:tc>
        <w:tc>
          <w:tcPr>
            <w:tcW w:w="283" w:type="dxa"/>
          </w:tcPr>
          <w:p w14:paraId="379ACC6D" w14:textId="77777777" w:rsidR="006D2410" w:rsidRPr="006D2410" w:rsidRDefault="006D2410" w:rsidP="00E80356">
            <w:pPr>
              <w:tabs>
                <w:tab w:val="left" w:pos="567"/>
                <w:tab w:val="left" w:pos="1134"/>
                <w:tab w:val="left" w:pos="1701"/>
                <w:tab w:val="left" w:pos="2268"/>
                <w:tab w:val="left" w:pos="2835"/>
              </w:tabs>
              <w:jc w:val="both"/>
              <w:outlineLvl w:val="0"/>
              <w:rPr>
                <w:rFonts w:ascii="Verdana" w:hAnsi="Verdana"/>
              </w:rPr>
            </w:pPr>
          </w:p>
        </w:tc>
        <w:tc>
          <w:tcPr>
            <w:tcW w:w="4541" w:type="dxa"/>
            <w:tcBorders>
              <w:top w:val="single" w:sz="4" w:space="0" w:color="auto"/>
            </w:tcBorders>
          </w:tcPr>
          <w:p w14:paraId="48A13FBF" w14:textId="77777777" w:rsidR="006D2410" w:rsidRPr="006D2410" w:rsidRDefault="006D2410" w:rsidP="00E80356">
            <w:pPr>
              <w:autoSpaceDE w:val="0"/>
              <w:autoSpaceDN w:val="0"/>
              <w:adjustRightInd w:val="0"/>
              <w:jc w:val="center"/>
              <w:rPr>
                <w:rFonts w:ascii="Verdana" w:hAnsi="Verdana"/>
                <w:b/>
                <w:bCs/>
              </w:rPr>
            </w:pPr>
            <w:r w:rsidRPr="006D2410">
              <w:rPr>
                <w:rFonts w:ascii="Verdana" w:hAnsi="Verdana"/>
                <w:b/>
                <w:bCs/>
              </w:rPr>
              <w:t>Armando Casado de Araújo</w:t>
            </w:r>
          </w:p>
        </w:tc>
      </w:tr>
      <w:tr w:rsidR="006D2410" w:rsidRPr="006D2410" w14:paraId="142AB02E" w14:textId="77777777" w:rsidTr="00E80356">
        <w:tc>
          <w:tcPr>
            <w:tcW w:w="4390" w:type="dxa"/>
          </w:tcPr>
          <w:p w14:paraId="36D1F0DE" w14:textId="77777777" w:rsidR="006D2410" w:rsidRPr="006D2410" w:rsidRDefault="006D2410" w:rsidP="00E80356">
            <w:pPr>
              <w:autoSpaceDE w:val="0"/>
              <w:autoSpaceDN w:val="0"/>
              <w:adjustRightInd w:val="0"/>
              <w:jc w:val="center"/>
              <w:rPr>
                <w:rFonts w:ascii="Verdana" w:hAnsi="Verdana"/>
              </w:rPr>
            </w:pPr>
            <w:r w:rsidRPr="006D2410">
              <w:rPr>
                <w:rFonts w:ascii="Verdana" w:hAnsi="Verdana"/>
              </w:rPr>
              <w:t>Diretor Presidente</w:t>
            </w:r>
          </w:p>
        </w:tc>
        <w:tc>
          <w:tcPr>
            <w:tcW w:w="283" w:type="dxa"/>
          </w:tcPr>
          <w:p w14:paraId="2F12553B" w14:textId="77777777" w:rsidR="006D2410" w:rsidRPr="006D2410" w:rsidRDefault="006D2410" w:rsidP="00E80356">
            <w:pPr>
              <w:tabs>
                <w:tab w:val="left" w:pos="567"/>
                <w:tab w:val="left" w:pos="1134"/>
                <w:tab w:val="left" w:pos="1701"/>
                <w:tab w:val="left" w:pos="2268"/>
                <w:tab w:val="left" w:pos="2835"/>
              </w:tabs>
              <w:jc w:val="both"/>
              <w:outlineLvl w:val="0"/>
              <w:rPr>
                <w:rFonts w:ascii="Verdana" w:hAnsi="Verdana"/>
              </w:rPr>
            </w:pPr>
          </w:p>
        </w:tc>
        <w:tc>
          <w:tcPr>
            <w:tcW w:w="4541" w:type="dxa"/>
          </w:tcPr>
          <w:p w14:paraId="6D5C9771" w14:textId="77777777" w:rsidR="006D2410" w:rsidRPr="006D2410" w:rsidRDefault="006D2410" w:rsidP="00E80356">
            <w:pPr>
              <w:autoSpaceDE w:val="0"/>
              <w:autoSpaceDN w:val="0"/>
              <w:adjustRightInd w:val="0"/>
              <w:jc w:val="center"/>
              <w:rPr>
                <w:rFonts w:ascii="Verdana" w:hAnsi="Verdana"/>
              </w:rPr>
            </w:pPr>
            <w:r w:rsidRPr="006D2410">
              <w:rPr>
                <w:rFonts w:ascii="Verdana" w:hAnsi="Verdana"/>
              </w:rPr>
              <w:t>Diretor de Finanças</w:t>
            </w:r>
          </w:p>
        </w:tc>
      </w:tr>
      <w:tr w:rsidR="006D2410" w:rsidRPr="006D2410" w14:paraId="404BA5C0" w14:textId="77777777" w:rsidTr="00E80356">
        <w:tc>
          <w:tcPr>
            <w:tcW w:w="4390" w:type="dxa"/>
            <w:tcBorders>
              <w:bottom w:val="single" w:sz="4" w:space="0" w:color="auto"/>
            </w:tcBorders>
          </w:tcPr>
          <w:p w14:paraId="44B59E5E" w14:textId="77777777" w:rsidR="006D2410" w:rsidRPr="006D2410" w:rsidRDefault="006D2410" w:rsidP="00E80356">
            <w:pPr>
              <w:tabs>
                <w:tab w:val="left" w:pos="567"/>
                <w:tab w:val="left" w:pos="1134"/>
                <w:tab w:val="left" w:pos="1701"/>
                <w:tab w:val="left" w:pos="2268"/>
                <w:tab w:val="left" w:pos="2835"/>
              </w:tabs>
              <w:jc w:val="both"/>
              <w:outlineLvl w:val="0"/>
              <w:rPr>
                <w:rFonts w:ascii="Verdana" w:hAnsi="Verdana"/>
              </w:rPr>
            </w:pPr>
          </w:p>
          <w:p w14:paraId="068944D5" w14:textId="77777777" w:rsidR="006D2410" w:rsidRPr="006D2410" w:rsidRDefault="006D2410" w:rsidP="00E80356">
            <w:pPr>
              <w:tabs>
                <w:tab w:val="left" w:pos="567"/>
                <w:tab w:val="left" w:pos="1134"/>
                <w:tab w:val="left" w:pos="1701"/>
                <w:tab w:val="left" w:pos="2268"/>
                <w:tab w:val="left" w:pos="2835"/>
              </w:tabs>
              <w:jc w:val="both"/>
              <w:outlineLvl w:val="0"/>
              <w:rPr>
                <w:rFonts w:ascii="Verdana" w:hAnsi="Verdana"/>
              </w:rPr>
            </w:pPr>
          </w:p>
          <w:p w14:paraId="5B225A32" w14:textId="77777777" w:rsidR="006D2410" w:rsidRPr="006D2410" w:rsidRDefault="006D2410" w:rsidP="00E80356">
            <w:pPr>
              <w:tabs>
                <w:tab w:val="left" w:pos="567"/>
                <w:tab w:val="left" w:pos="1134"/>
                <w:tab w:val="left" w:pos="1701"/>
                <w:tab w:val="left" w:pos="2268"/>
                <w:tab w:val="left" w:pos="2835"/>
              </w:tabs>
              <w:jc w:val="both"/>
              <w:outlineLvl w:val="0"/>
              <w:rPr>
                <w:rFonts w:ascii="Verdana" w:hAnsi="Verdana"/>
              </w:rPr>
            </w:pPr>
          </w:p>
        </w:tc>
        <w:tc>
          <w:tcPr>
            <w:tcW w:w="283" w:type="dxa"/>
          </w:tcPr>
          <w:p w14:paraId="4FEB208E" w14:textId="77777777" w:rsidR="006D2410" w:rsidRPr="006D2410" w:rsidRDefault="006D2410" w:rsidP="00E80356">
            <w:pPr>
              <w:tabs>
                <w:tab w:val="left" w:pos="567"/>
                <w:tab w:val="left" w:pos="1134"/>
                <w:tab w:val="left" w:pos="1701"/>
                <w:tab w:val="left" w:pos="2268"/>
                <w:tab w:val="left" w:pos="2835"/>
              </w:tabs>
              <w:jc w:val="both"/>
              <w:outlineLvl w:val="0"/>
              <w:rPr>
                <w:rFonts w:ascii="Verdana" w:hAnsi="Verdana"/>
              </w:rPr>
            </w:pPr>
          </w:p>
        </w:tc>
        <w:tc>
          <w:tcPr>
            <w:tcW w:w="4541" w:type="dxa"/>
            <w:tcBorders>
              <w:bottom w:val="single" w:sz="4" w:space="0" w:color="auto"/>
            </w:tcBorders>
          </w:tcPr>
          <w:p w14:paraId="0A4CD31D" w14:textId="77777777" w:rsidR="006D2410" w:rsidRPr="006D2410" w:rsidRDefault="006D2410" w:rsidP="00E80356">
            <w:pPr>
              <w:tabs>
                <w:tab w:val="left" w:pos="567"/>
                <w:tab w:val="left" w:pos="1134"/>
                <w:tab w:val="left" w:pos="1701"/>
                <w:tab w:val="left" w:pos="2268"/>
                <w:tab w:val="left" w:pos="2835"/>
              </w:tabs>
              <w:jc w:val="both"/>
              <w:outlineLvl w:val="0"/>
              <w:rPr>
                <w:rFonts w:ascii="Verdana" w:hAnsi="Verdana"/>
              </w:rPr>
            </w:pPr>
          </w:p>
        </w:tc>
      </w:tr>
      <w:tr w:rsidR="006D2410" w:rsidRPr="006D2410" w14:paraId="27D2C0D6" w14:textId="77777777" w:rsidTr="00E80356">
        <w:tc>
          <w:tcPr>
            <w:tcW w:w="4390" w:type="dxa"/>
            <w:tcBorders>
              <w:top w:val="single" w:sz="4" w:space="0" w:color="auto"/>
            </w:tcBorders>
          </w:tcPr>
          <w:p w14:paraId="312282A7" w14:textId="77777777" w:rsidR="006D2410" w:rsidRPr="006D2410" w:rsidRDefault="006D2410" w:rsidP="00E80356">
            <w:pPr>
              <w:jc w:val="center"/>
              <w:rPr>
                <w:rFonts w:ascii="Verdana" w:hAnsi="Verdana"/>
                <w:b/>
                <w:bCs/>
              </w:rPr>
            </w:pPr>
            <w:r w:rsidRPr="006D2410">
              <w:rPr>
                <w:rFonts w:ascii="Verdana" w:hAnsi="Verdana"/>
                <w:b/>
                <w:bCs/>
              </w:rPr>
              <w:t>Stênio Schneider Cardona Rocha</w:t>
            </w:r>
          </w:p>
        </w:tc>
        <w:tc>
          <w:tcPr>
            <w:tcW w:w="283" w:type="dxa"/>
          </w:tcPr>
          <w:p w14:paraId="13FB1A96" w14:textId="77777777" w:rsidR="006D2410" w:rsidRPr="006D2410" w:rsidRDefault="006D2410" w:rsidP="00E80356">
            <w:pPr>
              <w:tabs>
                <w:tab w:val="left" w:pos="567"/>
                <w:tab w:val="left" w:pos="1134"/>
                <w:tab w:val="left" w:pos="1701"/>
                <w:tab w:val="left" w:pos="2268"/>
                <w:tab w:val="left" w:pos="2835"/>
              </w:tabs>
              <w:jc w:val="both"/>
              <w:outlineLvl w:val="0"/>
              <w:rPr>
                <w:rFonts w:ascii="Verdana" w:hAnsi="Verdana"/>
              </w:rPr>
            </w:pPr>
          </w:p>
        </w:tc>
        <w:tc>
          <w:tcPr>
            <w:tcW w:w="4541" w:type="dxa"/>
            <w:tcBorders>
              <w:top w:val="single" w:sz="4" w:space="0" w:color="auto"/>
            </w:tcBorders>
          </w:tcPr>
          <w:p w14:paraId="23379EC5" w14:textId="77777777" w:rsidR="006D2410" w:rsidRPr="006D2410" w:rsidRDefault="006D2410" w:rsidP="00E80356">
            <w:pPr>
              <w:tabs>
                <w:tab w:val="left" w:pos="567"/>
                <w:tab w:val="left" w:pos="1134"/>
                <w:tab w:val="left" w:pos="1701"/>
                <w:tab w:val="left" w:pos="2268"/>
                <w:tab w:val="left" w:pos="2835"/>
              </w:tabs>
              <w:jc w:val="center"/>
              <w:outlineLvl w:val="0"/>
              <w:rPr>
                <w:rFonts w:ascii="Verdana" w:hAnsi="Verdana"/>
                <w:b/>
                <w:bCs/>
              </w:rPr>
            </w:pPr>
            <w:r w:rsidRPr="006D2410">
              <w:rPr>
                <w:rFonts w:ascii="Verdana" w:hAnsi="Verdana"/>
                <w:b/>
                <w:bCs/>
              </w:rPr>
              <w:t>Erica Rocha Vinhal</w:t>
            </w:r>
          </w:p>
        </w:tc>
      </w:tr>
      <w:tr w:rsidR="006D2410" w:rsidRPr="006D2410" w14:paraId="6AE3060D" w14:textId="77777777" w:rsidTr="00E80356">
        <w:tc>
          <w:tcPr>
            <w:tcW w:w="4390" w:type="dxa"/>
          </w:tcPr>
          <w:p w14:paraId="5B3CA057" w14:textId="77777777" w:rsidR="006D2410" w:rsidRPr="006D2410" w:rsidRDefault="006D2410" w:rsidP="00E80356">
            <w:pPr>
              <w:jc w:val="center"/>
              <w:rPr>
                <w:rFonts w:ascii="Verdana" w:hAnsi="Verdana"/>
              </w:rPr>
            </w:pPr>
            <w:r w:rsidRPr="006D2410">
              <w:rPr>
                <w:rFonts w:ascii="Verdana" w:hAnsi="Verdana"/>
              </w:rPr>
              <w:t>Superintendente de Contabilidade</w:t>
            </w:r>
          </w:p>
          <w:p w14:paraId="3FE01833" w14:textId="77777777" w:rsidR="006D2410" w:rsidRPr="006D2410" w:rsidRDefault="006D2410" w:rsidP="00E80356">
            <w:pPr>
              <w:jc w:val="center"/>
              <w:rPr>
                <w:rFonts w:ascii="Verdana" w:hAnsi="Verdana"/>
              </w:rPr>
            </w:pPr>
            <w:r w:rsidRPr="006D2410">
              <w:rPr>
                <w:rFonts w:ascii="Verdana" w:hAnsi="Verdana"/>
              </w:rPr>
              <w:t>CRC- DF 019.744/O</w:t>
            </w:r>
          </w:p>
        </w:tc>
        <w:tc>
          <w:tcPr>
            <w:tcW w:w="283" w:type="dxa"/>
          </w:tcPr>
          <w:p w14:paraId="130D3A44" w14:textId="77777777" w:rsidR="006D2410" w:rsidRPr="006D2410" w:rsidRDefault="006D2410" w:rsidP="00E80356">
            <w:pPr>
              <w:tabs>
                <w:tab w:val="left" w:pos="567"/>
                <w:tab w:val="left" w:pos="1134"/>
                <w:tab w:val="left" w:pos="1701"/>
                <w:tab w:val="left" w:pos="2268"/>
                <w:tab w:val="left" w:pos="2835"/>
              </w:tabs>
              <w:jc w:val="both"/>
              <w:outlineLvl w:val="0"/>
              <w:rPr>
                <w:rFonts w:ascii="Verdana" w:hAnsi="Verdana"/>
              </w:rPr>
            </w:pPr>
          </w:p>
        </w:tc>
        <w:tc>
          <w:tcPr>
            <w:tcW w:w="4541" w:type="dxa"/>
          </w:tcPr>
          <w:p w14:paraId="7D80FF18" w14:textId="77777777" w:rsidR="006D2410" w:rsidRPr="006D2410" w:rsidRDefault="006D2410" w:rsidP="00E80356">
            <w:pPr>
              <w:tabs>
                <w:tab w:val="left" w:pos="567"/>
                <w:tab w:val="left" w:pos="1134"/>
                <w:tab w:val="left" w:pos="1701"/>
                <w:tab w:val="left" w:pos="2268"/>
                <w:tab w:val="left" w:pos="2835"/>
              </w:tabs>
              <w:jc w:val="center"/>
              <w:outlineLvl w:val="0"/>
              <w:rPr>
                <w:rFonts w:ascii="Verdana" w:hAnsi="Verdana"/>
              </w:rPr>
            </w:pPr>
            <w:r w:rsidRPr="006D2410">
              <w:rPr>
                <w:rFonts w:ascii="Verdana" w:hAnsi="Verdana"/>
              </w:rPr>
              <w:t xml:space="preserve">Gerente de Gestão de Ativos e </w:t>
            </w:r>
          </w:p>
          <w:p w14:paraId="58C724FE" w14:textId="77777777" w:rsidR="006D2410" w:rsidRPr="006D2410" w:rsidRDefault="006D2410" w:rsidP="00E80356">
            <w:pPr>
              <w:tabs>
                <w:tab w:val="left" w:pos="567"/>
                <w:tab w:val="left" w:pos="1134"/>
                <w:tab w:val="left" w:pos="1701"/>
                <w:tab w:val="left" w:pos="2268"/>
                <w:tab w:val="left" w:pos="2835"/>
              </w:tabs>
              <w:jc w:val="center"/>
              <w:outlineLvl w:val="0"/>
              <w:rPr>
                <w:rFonts w:ascii="Verdana" w:hAnsi="Verdana"/>
              </w:rPr>
            </w:pPr>
            <w:r w:rsidRPr="006D2410">
              <w:rPr>
                <w:rFonts w:ascii="Verdana" w:hAnsi="Verdana"/>
              </w:rPr>
              <w:t>Demonstrações Financeiras</w:t>
            </w:r>
          </w:p>
        </w:tc>
      </w:tr>
      <w:tr w:rsidR="006D2410" w:rsidRPr="006D2410" w14:paraId="009C9C7E" w14:textId="77777777" w:rsidTr="00E80356">
        <w:tc>
          <w:tcPr>
            <w:tcW w:w="4390" w:type="dxa"/>
          </w:tcPr>
          <w:p w14:paraId="226C2280" w14:textId="77777777" w:rsidR="006D2410" w:rsidRPr="006D2410" w:rsidRDefault="006D2410" w:rsidP="00E80356">
            <w:pPr>
              <w:jc w:val="center"/>
              <w:rPr>
                <w:rFonts w:ascii="Verdana" w:hAnsi="Verdana"/>
              </w:rPr>
            </w:pPr>
          </w:p>
        </w:tc>
        <w:tc>
          <w:tcPr>
            <w:tcW w:w="283" w:type="dxa"/>
          </w:tcPr>
          <w:p w14:paraId="2974530E" w14:textId="77777777" w:rsidR="006D2410" w:rsidRPr="006D2410" w:rsidRDefault="006D2410" w:rsidP="00E80356">
            <w:pPr>
              <w:tabs>
                <w:tab w:val="left" w:pos="567"/>
                <w:tab w:val="left" w:pos="1134"/>
                <w:tab w:val="left" w:pos="1701"/>
                <w:tab w:val="left" w:pos="2268"/>
                <w:tab w:val="left" w:pos="2835"/>
              </w:tabs>
              <w:jc w:val="both"/>
              <w:outlineLvl w:val="0"/>
              <w:rPr>
                <w:rFonts w:ascii="Verdana" w:hAnsi="Verdana"/>
              </w:rPr>
            </w:pPr>
          </w:p>
        </w:tc>
        <w:tc>
          <w:tcPr>
            <w:tcW w:w="4541" w:type="dxa"/>
          </w:tcPr>
          <w:p w14:paraId="6EA30FA8" w14:textId="77777777" w:rsidR="006D2410" w:rsidRPr="006D2410" w:rsidRDefault="006D2410" w:rsidP="00E80356">
            <w:pPr>
              <w:tabs>
                <w:tab w:val="left" w:pos="567"/>
                <w:tab w:val="left" w:pos="1134"/>
                <w:tab w:val="left" w:pos="1701"/>
                <w:tab w:val="left" w:pos="2268"/>
                <w:tab w:val="left" w:pos="2835"/>
              </w:tabs>
              <w:jc w:val="center"/>
              <w:outlineLvl w:val="0"/>
              <w:rPr>
                <w:rFonts w:ascii="Verdana" w:hAnsi="Verdana"/>
              </w:rPr>
            </w:pPr>
          </w:p>
        </w:tc>
      </w:tr>
      <w:tr w:rsidR="006D2410" w:rsidRPr="006D2410" w14:paraId="23C6BF96" w14:textId="77777777" w:rsidTr="00E80356">
        <w:tc>
          <w:tcPr>
            <w:tcW w:w="4390" w:type="dxa"/>
          </w:tcPr>
          <w:p w14:paraId="132C3603" w14:textId="77777777" w:rsidR="006D2410" w:rsidRPr="006D2410" w:rsidRDefault="006D2410" w:rsidP="00E80356">
            <w:pPr>
              <w:jc w:val="center"/>
              <w:rPr>
                <w:rFonts w:ascii="Verdana" w:hAnsi="Verdana"/>
              </w:rPr>
            </w:pPr>
          </w:p>
        </w:tc>
        <w:tc>
          <w:tcPr>
            <w:tcW w:w="283" w:type="dxa"/>
          </w:tcPr>
          <w:p w14:paraId="2220D953" w14:textId="77777777" w:rsidR="006D2410" w:rsidRPr="006D2410" w:rsidRDefault="006D2410" w:rsidP="00E80356">
            <w:pPr>
              <w:tabs>
                <w:tab w:val="left" w:pos="567"/>
                <w:tab w:val="left" w:pos="1134"/>
                <w:tab w:val="left" w:pos="1701"/>
                <w:tab w:val="left" w:pos="2268"/>
                <w:tab w:val="left" w:pos="2835"/>
              </w:tabs>
              <w:jc w:val="both"/>
              <w:outlineLvl w:val="0"/>
              <w:rPr>
                <w:rFonts w:ascii="Verdana" w:hAnsi="Verdana"/>
              </w:rPr>
            </w:pPr>
          </w:p>
        </w:tc>
        <w:tc>
          <w:tcPr>
            <w:tcW w:w="4541" w:type="dxa"/>
          </w:tcPr>
          <w:p w14:paraId="613E0806" w14:textId="77777777" w:rsidR="006D2410" w:rsidRPr="006D2410" w:rsidRDefault="006D2410" w:rsidP="00E80356">
            <w:pPr>
              <w:tabs>
                <w:tab w:val="left" w:pos="567"/>
                <w:tab w:val="left" w:pos="1134"/>
                <w:tab w:val="left" w:pos="1701"/>
                <w:tab w:val="left" w:pos="2268"/>
                <w:tab w:val="left" w:pos="2835"/>
              </w:tabs>
              <w:jc w:val="center"/>
              <w:outlineLvl w:val="0"/>
              <w:rPr>
                <w:rFonts w:ascii="Verdana" w:hAnsi="Verdana"/>
              </w:rPr>
            </w:pPr>
          </w:p>
        </w:tc>
      </w:tr>
      <w:tr w:rsidR="006D2410" w:rsidRPr="006D2410" w14:paraId="212FEB3B" w14:textId="77777777" w:rsidTr="00E80356">
        <w:tc>
          <w:tcPr>
            <w:tcW w:w="4390" w:type="dxa"/>
            <w:tcBorders>
              <w:bottom w:val="single" w:sz="4" w:space="0" w:color="auto"/>
            </w:tcBorders>
          </w:tcPr>
          <w:p w14:paraId="1AB0A0C8" w14:textId="77777777" w:rsidR="006D2410" w:rsidRPr="006D2410" w:rsidRDefault="006D2410" w:rsidP="00E80356">
            <w:pPr>
              <w:jc w:val="center"/>
              <w:rPr>
                <w:rFonts w:ascii="Verdana" w:hAnsi="Verdana"/>
              </w:rPr>
            </w:pPr>
          </w:p>
        </w:tc>
        <w:tc>
          <w:tcPr>
            <w:tcW w:w="283" w:type="dxa"/>
          </w:tcPr>
          <w:p w14:paraId="0514D07B" w14:textId="77777777" w:rsidR="006D2410" w:rsidRPr="006D2410" w:rsidRDefault="006D2410" w:rsidP="00E80356">
            <w:pPr>
              <w:tabs>
                <w:tab w:val="left" w:pos="567"/>
                <w:tab w:val="left" w:pos="1134"/>
                <w:tab w:val="left" w:pos="1701"/>
                <w:tab w:val="left" w:pos="2268"/>
                <w:tab w:val="left" w:pos="2835"/>
              </w:tabs>
              <w:jc w:val="both"/>
              <w:outlineLvl w:val="0"/>
              <w:rPr>
                <w:rFonts w:ascii="Verdana" w:hAnsi="Verdana"/>
              </w:rPr>
            </w:pPr>
          </w:p>
        </w:tc>
        <w:tc>
          <w:tcPr>
            <w:tcW w:w="4541" w:type="dxa"/>
          </w:tcPr>
          <w:p w14:paraId="0A8EBE87" w14:textId="77777777" w:rsidR="006D2410" w:rsidRPr="006D2410" w:rsidRDefault="006D2410" w:rsidP="00E80356">
            <w:pPr>
              <w:tabs>
                <w:tab w:val="left" w:pos="567"/>
                <w:tab w:val="left" w:pos="1134"/>
                <w:tab w:val="left" w:pos="1701"/>
                <w:tab w:val="left" w:pos="2268"/>
                <w:tab w:val="left" w:pos="2835"/>
              </w:tabs>
              <w:jc w:val="center"/>
              <w:outlineLvl w:val="0"/>
              <w:rPr>
                <w:rFonts w:ascii="Verdana" w:hAnsi="Verdana"/>
              </w:rPr>
            </w:pPr>
          </w:p>
        </w:tc>
      </w:tr>
      <w:tr w:rsidR="006D2410" w:rsidRPr="006D2410" w14:paraId="19142087" w14:textId="77777777" w:rsidTr="00E80356">
        <w:tc>
          <w:tcPr>
            <w:tcW w:w="4390" w:type="dxa"/>
            <w:tcBorders>
              <w:top w:val="single" w:sz="4" w:space="0" w:color="auto"/>
            </w:tcBorders>
          </w:tcPr>
          <w:p w14:paraId="465FF406" w14:textId="77777777" w:rsidR="006D2410" w:rsidRPr="006D2410" w:rsidRDefault="006D2410" w:rsidP="00E80356">
            <w:pPr>
              <w:jc w:val="center"/>
              <w:rPr>
                <w:rFonts w:ascii="Verdana" w:hAnsi="Verdana"/>
              </w:rPr>
            </w:pPr>
            <w:r w:rsidRPr="006D2410">
              <w:rPr>
                <w:rFonts w:ascii="Verdana" w:hAnsi="Verdana"/>
                <w:b/>
                <w:bCs/>
              </w:rPr>
              <w:t xml:space="preserve">Gustavo de Sousa Avelino </w:t>
            </w:r>
          </w:p>
        </w:tc>
        <w:tc>
          <w:tcPr>
            <w:tcW w:w="283" w:type="dxa"/>
          </w:tcPr>
          <w:p w14:paraId="6A216FDB" w14:textId="77777777" w:rsidR="006D2410" w:rsidRPr="006D2410" w:rsidRDefault="006D2410" w:rsidP="00E80356">
            <w:pPr>
              <w:tabs>
                <w:tab w:val="left" w:pos="567"/>
                <w:tab w:val="left" w:pos="1134"/>
                <w:tab w:val="left" w:pos="1701"/>
                <w:tab w:val="left" w:pos="2268"/>
                <w:tab w:val="left" w:pos="2835"/>
              </w:tabs>
              <w:jc w:val="both"/>
              <w:outlineLvl w:val="0"/>
              <w:rPr>
                <w:rFonts w:ascii="Verdana" w:hAnsi="Verdana"/>
              </w:rPr>
            </w:pPr>
          </w:p>
        </w:tc>
        <w:tc>
          <w:tcPr>
            <w:tcW w:w="4541" w:type="dxa"/>
          </w:tcPr>
          <w:p w14:paraId="1FCD110F" w14:textId="77777777" w:rsidR="006D2410" w:rsidRPr="006D2410" w:rsidRDefault="006D2410" w:rsidP="00E80356">
            <w:pPr>
              <w:tabs>
                <w:tab w:val="left" w:pos="567"/>
                <w:tab w:val="left" w:pos="1134"/>
                <w:tab w:val="left" w:pos="1701"/>
                <w:tab w:val="left" w:pos="2268"/>
                <w:tab w:val="left" w:pos="2835"/>
              </w:tabs>
              <w:jc w:val="center"/>
              <w:outlineLvl w:val="0"/>
              <w:rPr>
                <w:rFonts w:ascii="Verdana" w:hAnsi="Verdana"/>
              </w:rPr>
            </w:pPr>
          </w:p>
        </w:tc>
      </w:tr>
      <w:tr w:rsidR="006D2410" w:rsidRPr="006D2410" w14:paraId="13C17524" w14:textId="77777777" w:rsidTr="00E80356">
        <w:tc>
          <w:tcPr>
            <w:tcW w:w="4390" w:type="dxa"/>
          </w:tcPr>
          <w:p w14:paraId="343097BC" w14:textId="77777777" w:rsidR="006D2410" w:rsidRPr="006D2410" w:rsidRDefault="006D2410" w:rsidP="00E80356">
            <w:pPr>
              <w:jc w:val="center"/>
              <w:rPr>
                <w:rFonts w:ascii="Verdana" w:hAnsi="Verdana"/>
              </w:rPr>
            </w:pPr>
            <w:r w:rsidRPr="006D2410">
              <w:rPr>
                <w:rFonts w:ascii="Verdana" w:hAnsi="Verdana"/>
              </w:rPr>
              <w:t>Gerente de Contabilidade Geral e Planejamento Fiscal e Tributário</w:t>
            </w:r>
          </w:p>
        </w:tc>
        <w:tc>
          <w:tcPr>
            <w:tcW w:w="283" w:type="dxa"/>
          </w:tcPr>
          <w:p w14:paraId="4739E615" w14:textId="77777777" w:rsidR="006D2410" w:rsidRPr="006D2410" w:rsidRDefault="006D2410" w:rsidP="00E80356">
            <w:pPr>
              <w:tabs>
                <w:tab w:val="left" w:pos="567"/>
                <w:tab w:val="left" w:pos="1134"/>
                <w:tab w:val="left" w:pos="1701"/>
                <w:tab w:val="left" w:pos="2268"/>
                <w:tab w:val="left" w:pos="2835"/>
              </w:tabs>
              <w:jc w:val="both"/>
              <w:outlineLvl w:val="0"/>
              <w:rPr>
                <w:rFonts w:ascii="Verdana" w:hAnsi="Verdana"/>
              </w:rPr>
            </w:pPr>
          </w:p>
        </w:tc>
        <w:tc>
          <w:tcPr>
            <w:tcW w:w="4541" w:type="dxa"/>
          </w:tcPr>
          <w:p w14:paraId="133C84DB" w14:textId="77777777" w:rsidR="006D2410" w:rsidRPr="006D2410" w:rsidRDefault="006D2410" w:rsidP="00E80356">
            <w:pPr>
              <w:tabs>
                <w:tab w:val="left" w:pos="567"/>
                <w:tab w:val="left" w:pos="1134"/>
                <w:tab w:val="left" w:pos="1701"/>
                <w:tab w:val="left" w:pos="2268"/>
                <w:tab w:val="left" w:pos="2835"/>
              </w:tabs>
              <w:jc w:val="center"/>
              <w:outlineLvl w:val="0"/>
              <w:rPr>
                <w:rFonts w:ascii="Verdana" w:hAnsi="Verdana"/>
              </w:rPr>
            </w:pPr>
          </w:p>
        </w:tc>
      </w:tr>
    </w:tbl>
    <w:p w14:paraId="555F068B" w14:textId="5189AAC3" w:rsidR="00B31184" w:rsidRDefault="00B31184" w:rsidP="004A1E74">
      <w:pPr>
        <w:jc w:val="both"/>
        <w:rPr>
          <w:rFonts w:ascii="Verdana" w:hAnsi="Verdana" w:cstheme="minorHAnsi"/>
        </w:rPr>
      </w:pPr>
    </w:p>
    <w:p w14:paraId="13C94D35" w14:textId="77777777" w:rsidR="001D6DBB" w:rsidRPr="00A04910" w:rsidRDefault="001D6DBB" w:rsidP="001D6DBB">
      <w:pPr>
        <w:tabs>
          <w:tab w:val="left" w:pos="567"/>
          <w:tab w:val="left" w:pos="1134"/>
          <w:tab w:val="left" w:pos="1701"/>
          <w:tab w:val="left" w:pos="2268"/>
          <w:tab w:val="left" w:pos="2835"/>
        </w:tabs>
        <w:jc w:val="both"/>
        <w:outlineLvl w:val="0"/>
        <w:rPr>
          <w:rFonts w:ascii="Verdana" w:hAnsi="Verdana" w:cstheme="minorHAnsi"/>
        </w:rPr>
      </w:pPr>
      <w:r w:rsidRPr="00A04910">
        <w:rPr>
          <w:rFonts w:ascii="Verdana" w:hAnsi="Verdana" w:cstheme="minorHAnsi"/>
        </w:rPr>
        <w:t>(O documento assinado pelos responsáveis está disponível na sede da Companhia)</w:t>
      </w:r>
    </w:p>
    <w:p w14:paraId="7F4CF759" w14:textId="46B9FF8D" w:rsidR="00B63957" w:rsidRDefault="00B63957" w:rsidP="004A1E74">
      <w:pPr>
        <w:jc w:val="both"/>
        <w:rPr>
          <w:rFonts w:ascii="Verdana" w:hAnsi="Verdana" w:cstheme="minorHAnsi"/>
        </w:rPr>
      </w:pPr>
    </w:p>
    <w:p w14:paraId="1D15108E" w14:textId="77777777" w:rsidR="00B63957" w:rsidRDefault="00B63957" w:rsidP="00B63957">
      <w:pPr>
        <w:jc w:val="center"/>
        <w:rPr>
          <w:rFonts w:ascii="Verdana" w:hAnsi="Verdana" w:cstheme="minorHAnsi"/>
        </w:rPr>
      </w:pPr>
      <w:r>
        <w:rPr>
          <w:rFonts w:ascii="Verdana" w:hAnsi="Verdana" w:cstheme="minorHAnsi"/>
        </w:rPr>
        <w:t>*   *   *</w:t>
      </w:r>
    </w:p>
    <w:p w14:paraId="688DA58D" w14:textId="77777777" w:rsidR="00B63957" w:rsidRPr="00C11BC9" w:rsidRDefault="00B63957" w:rsidP="004A1E74">
      <w:pPr>
        <w:jc w:val="both"/>
        <w:rPr>
          <w:rFonts w:ascii="Verdana" w:hAnsi="Verdana" w:cstheme="minorHAnsi"/>
        </w:rPr>
      </w:pPr>
    </w:p>
    <w:sectPr w:rsidR="00B63957" w:rsidRPr="00C11BC9" w:rsidSect="00A129C5">
      <w:headerReference w:type="default" r:id="rId13"/>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042C4" w14:textId="77777777" w:rsidR="00E754A9" w:rsidRDefault="00E754A9" w:rsidP="00B02848">
      <w:pPr>
        <w:spacing w:after="0" w:line="240" w:lineRule="auto"/>
      </w:pPr>
      <w:r>
        <w:separator/>
      </w:r>
    </w:p>
  </w:endnote>
  <w:endnote w:type="continuationSeparator" w:id="0">
    <w:p w14:paraId="7E32E7E7" w14:textId="77777777" w:rsidR="00E754A9" w:rsidRDefault="00E754A9" w:rsidP="00B02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945561"/>
      <w:docPartObj>
        <w:docPartGallery w:val="Page Numbers (Bottom of Page)"/>
        <w:docPartUnique/>
      </w:docPartObj>
    </w:sdtPr>
    <w:sdtContent>
      <w:p w14:paraId="5D005177" w14:textId="0A28E909" w:rsidR="000F50CB" w:rsidRDefault="000F50CB">
        <w:pPr>
          <w:pStyle w:val="Rodap"/>
          <w:jc w:val="right"/>
        </w:pPr>
        <w:r>
          <w:fldChar w:fldCharType="begin"/>
        </w:r>
        <w:r>
          <w:instrText>PAGE   \* MERGEFORMAT</w:instrText>
        </w:r>
        <w:r>
          <w:fldChar w:fldCharType="separate"/>
        </w:r>
        <w:r w:rsidR="000259CC">
          <w:rPr>
            <w:noProof/>
          </w:rPr>
          <w:t>55</w:t>
        </w:r>
        <w:r>
          <w:fldChar w:fldCharType="end"/>
        </w:r>
        <w:r>
          <w:t>/5</w:t>
        </w:r>
        <w:r w:rsidR="007622F9">
          <w:t>8</w:t>
        </w:r>
      </w:p>
    </w:sdtContent>
  </w:sdt>
  <w:p w14:paraId="70421B05" w14:textId="77777777" w:rsidR="000F50CB" w:rsidRDefault="000F50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CEF00" w14:textId="77777777" w:rsidR="00E754A9" w:rsidRDefault="00E754A9" w:rsidP="00B02848">
      <w:pPr>
        <w:spacing w:after="0" w:line="240" w:lineRule="auto"/>
      </w:pPr>
      <w:r>
        <w:separator/>
      </w:r>
    </w:p>
  </w:footnote>
  <w:footnote w:type="continuationSeparator" w:id="0">
    <w:p w14:paraId="1CA710A5" w14:textId="77777777" w:rsidR="00E754A9" w:rsidRDefault="00E754A9" w:rsidP="00B02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0B93" w14:textId="77777777" w:rsidR="000F50CB" w:rsidRDefault="000F50CB" w:rsidP="00B02848">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2721" w14:textId="77777777" w:rsidR="000F50CB" w:rsidRDefault="000F50CB" w:rsidP="00C11BC9">
    <w:pPr>
      <w:pStyle w:val="Cabealho"/>
      <w:jc w:val="center"/>
    </w:pPr>
    <w:r w:rsidRPr="00B02848">
      <w:rPr>
        <w:noProof/>
        <w:lang w:eastAsia="pt-BR"/>
      </w:rPr>
      <w:drawing>
        <wp:inline distT="0" distB="0" distL="0" distR="0" wp14:anchorId="6DC75AC6" wp14:editId="13F2622E">
          <wp:extent cx="1146964" cy="330206"/>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88" cy="370202"/>
                  </a:xfrm>
                  <a:prstGeom prst="rect">
                    <a:avLst/>
                  </a:prstGeom>
                  <a:noFill/>
                  <a:ln>
                    <a:noFill/>
                  </a:ln>
                </pic:spPr>
              </pic:pic>
            </a:graphicData>
          </a:graphic>
        </wp:inline>
      </w:drawing>
    </w:r>
  </w:p>
  <w:p w14:paraId="24BD0FDB" w14:textId="77777777" w:rsidR="000F50CB" w:rsidRPr="00C11BC9" w:rsidRDefault="000F50CB" w:rsidP="006E1B4F">
    <w:pPr>
      <w:widowControl w:val="0"/>
      <w:spacing w:after="0"/>
      <w:ind w:left="-426"/>
      <w:jc w:val="center"/>
      <w:outlineLvl w:val="0"/>
      <w:rPr>
        <w:rFonts w:ascii="Verdana" w:hAnsi="Verdana"/>
        <w:b/>
        <w:sz w:val="18"/>
        <w:szCs w:val="26"/>
      </w:rPr>
    </w:pPr>
    <w:r w:rsidRPr="00C11BC9">
      <w:rPr>
        <w:rFonts w:ascii="Verdana" w:hAnsi="Verdana"/>
        <w:b/>
        <w:sz w:val="18"/>
        <w:szCs w:val="26"/>
      </w:rPr>
      <w:t xml:space="preserve">Empresa Brasileira de Participações em Energia Nuclear e Binacional </w:t>
    </w:r>
    <w:r>
      <w:rPr>
        <w:rFonts w:ascii="Verdana" w:hAnsi="Verdana"/>
        <w:b/>
        <w:sz w:val="18"/>
        <w:szCs w:val="26"/>
      </w:rPr>
      <w:t xml:space="preserve">S.A. – </w:t>
    </w:r>
    <w:proofErr w:type="spellStart"/>
    <w:r>
      <w:rPr>
        <w:rFonts w:ascii="Verdana" w:hAnsi="Verdana"/>
        <w:b/>
        <w:sz w:val="18"/>
        <w:szCs w:val="26"/>
      </w:rPr>
      <w:t>ENBPar</w:t>
    </w:r>
    <w:proofErr w:type="spellEnd"/>
    <w:r>
      <w:rPr>
        <w:rFonts w:ascii="Verdana" w:hAnsi="Verdana"/>
        <w:b/>
        <w:sz w:val="18"/>
        <w:szCs w:val="26"/>
      </w:rPr>
      <w:t xml:space="preserve"> Demonstrações Financeiras Intermediárias do período findo e</w:t>
    </w:r>
    <w:r w:rsidRPr="006E1B4F">
      <w:rPr>
        <w:rFonts w:ascii="Verdana" w:hAnsi="Verdana"/>
        <w:b/>
        <w:sz w:val="18"/>
        <w:szCs w:val="26"/>
      </w:rPr>
      <w:t>m 30 de junho de 2022</w:t>
    </w:r>
  </w:p>
  <w:p w14:paraId="0416097F" w14:textId="77777777" w:rsidR="000F50CB" w:rsidRPr="006E1B4F" w:rsidRDefault="000F50CB" w:rsidP="006E1B4F">
    <w:pPr>
      <w:widowControl w:val="0"/>
      <w:spacing w:after="0"/>
      <w:ind w:left="-426"/>
      <w:jc w:val="center"/>
      <w:outlineLvl w:val="0"/>
      <w:rPr>
        <w:rFonts w:ascii="Verdana" w:hAnsi="Verdana"/>
        <w:b/>
        <w:sz w:val="18"/>
        <w:szCs w:val="26"/>
      </w:rPr>
    </w:pPr>
    <w:r w:rsidRPr="00C11BC9">
      <w:rPr>
        <w:rFonts w:ascii="Verdana" w:hAnsi="Verdana"/>
        <w:b/>
        <w:sz w:val="18"/>
        <w:szCs w:val="26"/>
      </w:rPr>
      <w:t>(</w:t>
    </w:r>
    <w:r w:rsidRPr="006E1B4F">
      <w:rPr>
        <w:rFonts w:ascii="Verdana" w:hAnsi="Verdana"/>
        <w:b/>
        <w:sz w:val="18"/>
        <w:szCs w:val="26"/>
      </w:rPr>
      <w:t>Em milhares de reais, exceto quando indicado de outra forma</w:t>
    </w:r>
    <w:r w:rsidRPr="00C11BC9">
      <w:rPr>
        <w:rFonts w:ascii="Verdana" w:hAnsi="Verdana"/>
        <w:b/>
        <w:sz w:val="18"/>
        <w:szCs w:val="2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168A" w14:textId="77777777" w:rsidR="000F50CB" w:rsidRDefault="000F50CB" w:rsidP="00B02848">
    <w:pPr>
      <w:pStyle w:val="Cabealho"/>
      <w:jc w:val="center"/>
    </w:pPr>
    <w:r w:rsidRPr="00B02848">
      <w:rPr>
        <w:noProof/>
        <w:lang w:eastAsia="pt-BR"/>
      </w:rPr>
      <w:drawing>
        <wp:inline distT="0" distB="0" distL="0" distR="0" wp14:anchorId="54AD491D" wp14:editId="16DAC58A">
          <wp:extent cx="1146964" cy="330206"/>
          <wp:effectExtent l="0" t="0" r="0" b="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88" cy="370202"/>
                  </a:xfrm>
                  <a:prstGeom prst="rect">
                    <a:avLst/>
                  </a:prstGeom>
                  <a:noFill/>
                  <a:ln>
                    <a:noFill/>
                  </a:ln>
                </pic:spPr>
              </pic:pic>
            </a:graphicData>
          </a:graphic>
        </wp:inline>
      </w:drawing>
    </w:r>
  </w:p>
  <w:p w14:paraId="7A0F751C" w14:textId="77777777" w:rsidR="000F50CB" w:rsidRPr="00C11BC9" w:rsidRDefault="000F50CB" w:rsidP="00A129C5">
    <w:pPr>
      <w:widowControl w:val="0"/>
      <w:spacing w:after="0"/>
      <w:ind w:left="-426"/>
      <w:jc w:val="center"/>
      <w:outlineLvl w:val="0"/>
      <w:rPr>
        <w:rFonts w:ascii="Verdana" w:hAnsi="Verdana"/>
        <w:b/>
        <w:sz w:val="18"/>
        <w:szCs w:val="26"/>
      </w:rPr>
    </w:pPr>
    <w:r w:rsidRPr="00C11BC9">
      <w:rPr>
        <w:rFonts w:ascii="Verdana" w:hAnsi="Verdana"/>
        <w:b/>
        <w:sz w:val="18"/>
        <w:szCs w:val="26"/>
      </w:rPr>
      <w:t xml:space="preserve">Empresa Brasileira de Participações em Energia Nuclear e Binacional </w:t>
    </w:r>
    <w:r>
      <w:rPr>
        <w:rFonts w:ascii="Verdana" w:hAnsi="Verdana"/>
        <w:b/>
        <w:sz w:val="18"/>
        <w:szCs w:val="26"/>
      </w:rPr>
      <w:t>S.A. – ENBPAR Demonstrações Financeiras Intermediárias do período findo e</w:t>
    </w:r>
    <w:r w:rsidRPr="006E1B4F">
      <w:rPr>
        <w:rFonts w:ascii="Verdana" w:hAnsi="Verdana"/>
        <w:b/>
        <w:sz w:val="18"/>
        <w:szCs w:val="26"/>
      </w:rPr>
      <w:t>m 30 de junho de 2022</w:t>
    </w:r>
  </w:p>
  <w:p w14:paraId="3E0CB03A" w14:textId="77777777" w:rsidR="000F50CB" w:rsidRDefault="000F50CB" w:rsidP="00A129C5">
    <w:pPr>
      <w:widowControl w:val="0"/>
      <w:spacing w:after="0"/>
      <w:ind w:left="-426"/>
      <w:jc w:val="center"/>
      <w:outlineLvl w:val="0"/>
      <w:rPr>
        <w:rFonts w:ascii="Verdana" w:hAnsi="Verdana"/>
        <w:b/>
        <w:sz w:val="18"/>
        <w:szCs w:val="26"/>
      </w:rPr>
    </w:pPr>
    <w:r w:rsidRPr="00C11BC9">
      <w:rPr>
        <w:rFonts w:ascii="Verdana" w:hAnsi="Verdana"/>
        <w:b/>
        <w:sz w:val="18"/>
        <w:szCs w:val="26"/>
      </w:rPr>
      <w:t>(</w:t>
    </w:r>
    <w:r w:rsidRPr="006E1B4F">
      <w:rPr>
        <w:rFonts w:ascii="Verdana" w:hAnsi="Verdana"/>
        <w:b/>
        <w:sz w:val="18"/>
        <w:szCs w:val="26"/>
      </w:rPr>
      <w:t>Em milhares de reais, exceto quando indicado de outra forma</w:t>
    </w:r>
    <w:r w:rsidRPr="00C11BC9">
      <w:rPr>
        <w:rFonts w:ascii="Verdana" w:hAnsi="Verdana"/>
        <w:b/>
        <w:sz w:val="18"/>
        <w:szCs w:val="26"/>
      </w:rPr>
      <w:t>)</w:t>
    </w:r>
  </w:p>
  <w:p w14:paraId="07D1810F" w14:textId="77777777" w:rsidR="000F50CB" w:rsidRPr="006E1B4F" w:rsidRDefault="000F50CB" w:rsidP="00A129C5">
    <w:pPr>
      <w:widowControl w:val="0"/>
      <w:spacing w:after="0"/>
      <w:ind w:left="-426"/>
      <w:jc w:val="center"/>
      <w:outlineLvl w:val="0"/>
      <w:rPr>
        <w:rFonts w:ascii="Verdana" w:hAnsi="Verdana"/>
        <w:b/>
        <w:sz w:val="18"/>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5ACB"/>
    <w:multiLevelType w:val="hybridMultilevel"/>
    <w:tmpl w:val="6C16FD5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B0F68C0"/>
    <w:multiLevelType w:val="hybridMultilevel"/>
    <w:tmpl w:val="A0263C78"/>
    <w:lvl w:ilvl="0" w:tplc="04160001">
      <w:start w:val="1"/>
      <w:numFmt w:val="bullet"/>
      <w:lvlText w:val=""/>
      <w:lvlJc w:val="left"/>
      <w:pPr>
        <w:ind w:left="363" w:hanging="360"/>
      </w:pPr>
      <w:rPr>
        <w:rFonts w:ascii="Symbol" w:hAnsi="Symbol" w:hint="default"/>
      </w:rPr>
    </w:lvl>
    <w:lvl w:ilvl="1" w:tplc="04160003">
      <w:start w:val="1"/>
      <w:numFmt w:val="bullet"/>
      <w:lvlText w:val="o"/>
      <w:lvlJc w:val="left"/>
      <w:pPr>
        <w:ind w:left="1083" w:hanging="360"/>
      </w:pPr>
      <w:rPr>
        <w:rFonts w:ascii="Courier New" w:hAnsi="Courier New" w:cs="Courier New" w:hint="default"/>
      </w:rPr>
    </w:lvl>
    <w:lvl w:ilvl="2" w:tplc="04160005">
      <w:start w:val="1"/>
      <w:numFmt w:val="bullet"/>
      <w:lvlText w:val=""/>
      <w:lvlJc w:val="left"/>
      <w:pPr>
        <w:ind w:left="1803" w:hanging="360"/>
      </w:pPr>
      <w:rPr>
        <w:rFonts w:ascii="Wingdings" w:hAnsi="Wingdings" w:hint="default"/>
      </w:rPr>
    </w:lvl>
    <w:lvl w:ilvl="3" w:tplc="04160001">
      <w:start w:val="1"/>
      <w:numFmt w:val="bullet"/>
      <w:lvlText w:val=""/>
      <w:lvlJc w:val="left"/>
      <w:pPr>
        <w:ind w:left="2523" w:hanging="360"/>
      </w:pPr>
      <w:rPr>
        <w:rFonts w:ascii="Symbol" w:hAnsi="Symbol" w:hint="default"/>
      </w:rPr>
    </w:lvl>
    <w:lvl w:ilvl="4" w:tplc="04160003">
      <w:start w:val="1"/>
      <w:numFmt w:val="bullet"/>
      <w:lvlText w:val="o"/>
      <w:lvlJc w:val="left"/>
      <w:pPr>
        <w:ind w:left="3243" w:hanging="360"/>
      </w:pPr>
      <w:rPr>
        <w:rFonts w:ascii="Courier New" w:hAnsi="Courier New" w:cs="Courier New" w:hint="default"/>
      </w:rPr>
    </w:lvl>
    <w:lvl w:ilvl="5" w:tplc="04160005">
      <w:start w:val="1"/>
      <w:numFmt w:val="bullet"/>
      <w:lvlText w:val=""/>
      <w:lvlJc w:val="left"/>
      <w:pPr>
        <w:ind w:left="3963" w:hanging="360"/>
      </w:pPr>
      <w:rPr>
        <w:rFonts w:ascii="Wingdings" w:hAnsi="Wingdings" w:hint="default"/>
      </w:rPr>
    </w:lvl>
    <w:lvl w:ilvl="6" w:tplc="04160001">
      <w:start w:val="1"/>
      <w:numFmt w:val="bullet"/>
      <w:lvlText w:val=""/>
      <w:lvlJc w:val="left"/>
      <w:pPr>
        <w:ind w:left="4683" w:hanging="360"/>
      </w:pPr>
      <w:rPr>
        <w:rFonts w:ascii="Symbol" w:hAnsi="Symbol" w:hint="default"/>
      </w:rPr>
    </w:lvl>
    <w:lvl w:ilvl="7" w:tplc="04160003">
      <w:start w:val="1"/>
      <w:numFmt w:val="bullet"/>
      <w:lvlText w:val="o"/>
      <w:lvlJc w:val="left"/>
      <w:pPr>
        <w:ind w:left="5403" w:hanging="360"/>
      </w:pPr>
      <w:rPr>
        <w:rFonts w:ascii="Courier New" w:hAnsi="Courier New" w:cs="Courier New" w:hint="default"/>
      </w:rPr>
    </w:lvl>
    <w:lvl w:ilvl="8" w:tplc="04160005">
      <w:start w:val="1"/>
      <w:numFmt w:val="bullet"/>
      <w:lvlText w:val=""/>
      <w:lvlJc w:val="left"/>
      <w:pPr>
        <w:ind w:left="6123" w:hanging="360"/>
      </w:pPr>
      <w:rPr>
        <w:rFonts w:ascii="Wingdings" w:hAnsi="Wingdings" w:hint="default"/>
      </w:rPr>
    </w:lvl>
  </w:abstractNum>
  <w:abstractNum w:abstractNumId="2" w15:restartNumberingAfterBreak="0">
    <w:nsid w:val="0FE27DD7"/>
    <w:multiLevelType w:val="hybridMultilevel"/>
    <w:tmpl w:val="2FA078D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1BEE1E23"/>
    <w:multiLevelType w:val="hybridMultilevel"/>
    <w:tmpl w:val="9372E3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C035F3E"/>
    <w:multiLevelType w:val="hybridMultilevel"/>
    <w:tmpl w:val="901882B8"/>
    <w:lvl w:ilvl="0" w:tplc="04160017">
      <w:start w:val="1"/>
      <w:numFmt w:val="lowerLetter"/>
      <w:lvlText w:val="%1)"/>
      <w:lvlJc w:val="left"/>
      <w:pPr>
        <w:ind w:left="1919" w:hanging="360"/>
      </w:pPr>
      <w:rPr>
        <w:rFonts w:hint="default"/>
      </w:rPr>
    </w:lvl>
    <w:lvl w:ilvl="1" w:tplc="04160019" w:tentative="1">
      <w:start w:val="1"/>
      <w:numFmt w:val="lowerLetter"/>
      <w:lvlText w:val="%2."/>
      <w:lvlJc w:val="left"/>
      <w:pPr>
        <w:ind w:left="2639" w:hanging="360"/>
      </w:pPr>
    </w:lvl>
    <w:lvl w:ilvl="2" w:tplc="0416001B" w:tentative="1">
      <w:start w:val="1"/>
      <w:numFmt w:val="lowerRoman"/>
      <w:lvlText w:val="%3."/>
      <w:lvlJc w:val="right"/>
      <w:pPr>
        <w:ind w:left="3359" w:hanging="180"/>
      </w:pPr>
    </w:lvl>
    <w:lvl w:ilvl="3" w:tplc="0416000F" w:tentative="1">
      <w:start w:val="1"/>
      <w:numFmt w:val="decimal"/>
      <w:lvlText w:val="%4."/>
      <w:lvlJc w:val="left"/>
      <w:pPr>
        <w:ind w:left="4079" w:hanging="360"/>
      </w:pPr>
    </w:lvl>
    <w:lvl w:ilvl="4" w:tplc="04160019" w:tentative="1">
      <w:start w:val="1"/>
      <w:numFmt w:val="lowerLetter"/>
      <w:lvlText w:val="%5."/>
      <w:lvlJc w:val="left"/>
      <w:pPr>
        <w:ind w:left="4799" w:hanging="360"/>
      </w:pPr>
    </w:lvl>
    <w:lvl w:ilvl="5" w:tplc="0416001B" w:tentative="1">
      <w:start w:val="1"/>
      <w:numFmt w:val="lowerRoman"/>
      <w:lvlText w:val="%6."/>
      <w:lvlJc w:val="right"/>
      <w:pPr>
        <w:ind w:left="5519" w:hanging="180"/>
      </w:pPr>
    </w:lvl>
    <w:lvl w:ilvl="6" w:tplc="0416000F" w:tentative="1">
      <w:start w:val="1"/>
      <w:numFmt w:val="decimal"/>
      <w:lvlText w:val="%7."/>
      <w:lvlJc w:val="left"/>
      <w:pPr>
        <w:ind w:left="6239" w:hanging="360"/>
      </w:pPr>
    </w:lvl>
    <w:lvl w:ilvl="7" w:tplc="04160019" w:tentative="1">
      <w:start w:val="1"/>
      <w:numFmt w:val="lowerLetter"/>
      <w:lvlText w:val="%8."/>
      <w:lvlJc w:val="left"/>
      <w:pPr>
        <w:ind w:left="6959" w:hanging="360"/>
      </w:pPr>
    </w:lvl>
    <w:lvl w:ilvl="8" w:tplc="0416001B" w:tentative="1">
      <w:start w:val="1"/>
      <w:numFmt w:val="lowerRoman"/>
      <w:lvlText w:val="%9."/>
      <w:lvlJc w:val="right"/>
      <w:pPr>
        <w:ind w:left="7679" w:hanging="180"/>
      </w:pPr>
    </w:lvl>
  </w:abstractNum>
  <w:abstractNum w:abstractNumId="5" w15:restartNumberingAfterBreak="0">
    <w:nsid w:val="21C66C11"/>
    <w:multiLevelType w:val="hybridMultilevel"/>
    <w:tmpl w:val="4F3A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001EC"/>
    <w:multiLevelType w:val="hybridMultilevel"/>
    <w:tmpl w:val="CA2CAD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6971E6F"/>
    <w:multiLevelType w:val="multilevel"/>
    <w:tmpl w:val="639CDF76"/>
    <w:lvl w:ilvl="0">
      <w:start w:val="1"/>
      <w:numFmt w:val="decimal"/>
      <w:lvlText w:val="%1."/>
      <w:lvlJc w:val="left"/>
      <w:pPr>
        <w:ind w:left="360" w:hanging="360"/>
      </w:pPr>
      <w:rPr>
        <w:rFonts w:hint="default"/>
      </w:rPr>
    </w:lvl>
    <w:lvl w:ilvl="1">
      <w:start w:val="1"/>
      <w:numFmt w:val="decimal"/>
      <w:lvlText w:val="%1.%2."/>
      <w:lvlJc w:val="left"/>
      <w:pPr>
        <w:ind w:left="716" w:hanging="432"/>
      </w:pPr>
      <w:rPr>
        <w:rFonts w:ascii="Verdana" w:hAnsi="Verdana" w:hint="default"/>
        <w:sz w:val="20"/>
        <w:szCs w:val="20"/>
      </w:rPr>
    </w:lvl>
    <w:lvl w:ilvl="2">
      <w:start w:val="1"/>
      <w:numFmt w:val="decimal"/>
      <w:lvlText w:val="%1.%2.%3."/>
      <w:lvlJc w:val="left"/>
      <w:pPr>
        <w:ind w:left="1224" w:hanging="504"/>
      </w:pPr>
      <w:rPr>
        <w:rFonts w:ascii="Verdana" w:hAnsi="Verdana"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595002"/>
    <w:multiLevelType w:val="hybridMultilevel"/>
    <w:tmpl w:val="59A21348"/>
    <w:lvl w:ilvl="0" w:tplc="898664B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359E26A4"/>
    <w:multiLevelType w:val="hybridMultilevel"/>
    <w:tmpl w:val="7750C010"/>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0" w15:restartNumberingAfterBreak="0">
    <w:nsid w:val="36E24C01"/>
    <w:multiLevelType w:val="hybridMultilevel"/>
    <w:tmpl w:val="FE7A4AA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37322854"/>
    <w:multiLevelType w:val="multilevel"/>
    <w:tmpl w:val="B500558E"/>
    <w:lvl w:ilvl="0">
      <w:start w:val="33"/>
      <w:numFmt w:val="decimal"/>
      <w:lvlText w:val="%1."/>
      <w:lvlJc w:val="left"/>
      <w:pPr>
        <w:ind w:left="510" w:hanging="510"/>
      </w:pPr>
      <w:rPr>
        <w:rFonts w:ascii="Verdana" w:hAnsi="Verdana" w:hint="default"/>
      </w:rPr>
    </w:lvl>
    <w:lvl w:ilvl="1">
      <w:start w:val="2"/>
      <w:numFmt w:val="decimal"/>
      <w:lvlText w:val="%1.%2."/>
      <w:lvlJc w:val="left"/>
      <w:pPr>
        <w:ind w:left="1077" w:hanging="510"/>
      </w:pPr>
      <w:rPr>
        <w:rFonts w:ascii="Verdana" w:hAnsi="Verdana" w:hint="default"/>
      </w:rPr>
    </w:lvl>
    <w:lvl w:ilvl="2">
      <w:start w:val="1"/>
      <w:numFmt w:val="decimal"/>
      <w:lvlText w:val="%1.%2.%3."/>
      <w:lvlJc w:val="left"/>
      <w:pPr>
        <w:ind w:left="1854" w:hanging="720"/>
      </w:pPr>
      <w:rPr>
        <w:rFonts w:ascii="Verdana" w:hAnsi="Verdana" w:hint="default"/>
      </w:rPr>
    </w:lvl>
    <w:lvl w:ilvl="3">
      <w:start w:val="1"/>
      <w:numFmt w:val="decimal"/>
      <w:lvlText w:val="%1.%2.%3.%4."/>
      <w:lvlJc w:val="left"/>
      <w:pPr>
        <w:ind w:left="2421" w:hanging="720"/>
      </w:pPr>
      <w:rPr>
        <w:rFonts w:ascii="Verdana" w:hAnsi="Verdana" w:hint="default"/>
      </w:rPr>
    </w:lvl>
    <w:lvl w:ilvl="4">
      <w:start w:val="1"/>
      <w:numFmt w:val="decimal"/>
      <w:lvlText w:val="%1.%2.%3.%4.%5."/>
      <w:lvlJc w:val="left"/>
      <w:pPr>
        <w:ind w:left="3348" w:hanging="1080"/>
      </w:pPr>
      <w:rPr>
        <w:rFonts w:ascii="Verdana" w:hAnsi="Verdana" w:hint="default"/>
      </w:rPr>
    </w:lvl>
    <w:lvl w:ilvl="5">
      <w:start w:val="1"/>
      <w:numFmt w:val="decimal"/>
      <w:lvlText w:val="%1.%2.%3.%4.%5.%6."/>
      <w:lvlJc w:val="left"/>
      <w:pPr>
        <w:ind w:left="3915" w:hanging="1080"/>
      </w:pPr>
      <w:rPr>
        <w:rFonts w:ascii="Verdana" w:hAnsi="Verdana" w:hint="default"/>
      </w:rPr>
    </w:lvl>
    <w:lvl w:ilvl="6">
      <w:start w:val="1"/>
      <w:numFmt w:val="decimal"/>
      <w:lvlText w:val="%1.%2.%3.%4.%5.%6.%7."/>
      <w:lvlJc w:val="left"/>
      <w:pPr>
        <w:ind w:left="4842" w:hanging="1440"/>
      </w:pPr>
      <w:rPr>
        <w:rFonts w:ascii="Verdana" w:hAnsi="Verdana" w:hint="default"/>
      </w:rPr>
    </w:lvl>
    <w:lvl w:ilvl="7">
      <w:start w:val="1"/>
      <w:numFmt w:val="decimal"/>
      <w:lvlText w:val="%1.%2.%3.%4.%5.%6.%7.%8."/>
      <w:lvlJc w:val="left"/>
      <w:pPr>
        <w:ind w:left="5409" w:hanging="1440"/>
      </w:pPr>
      <w:rPr>
        <w:rFonts w:ascii="Verdana" w:hAnsi="Verdana" w:hint="default"/>
      </w:rPr>
    </w:lvl>
    <w:lvl w:ilvl="8">
      <w:start w:val="1"/>
      <w:numFmt w:val="decimal"/>
      <w:lvlText w:val="%1.%2.%3.%4.%5.%6.%7.%8.%9."/>
      <w:lvlJc w:val="left"/>
      <w:pPr>
        <w:ind w:left="6336" w:hanging="1800"/>
      </w:pPr>
      <w:rPr>
        <w:rFonts w:ascii="Verdana" w:hAnsi="Verdana" w:hint="default"/>
      </w:rPr>
    </w:lvl>
  </w:abstractNum>
  <w:abstractNum w:abstractNumId="12" w15:restartNumberingAfterBreak="0">
    <w:nsid w:val="3F6A07CE"/>
    <w:multiLevelType w:val="hybridMultilevel"/>
    <w:tmpl w:val="BBB6D8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4621704"/>
    <w:multiLevelType w:val="multilevel"/>
    <w:tmpl w:val="3F2000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49601E0"/>
    <w:multiLevelType w:val="hybridMultilevel"/>
    <w:tmpl w:val="1EAE8452"/>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15:restartNumberingAfterBreak="0">
    <w:nsid w:val="46E15C4F"/>
    <w:multiLevelType w:val="hybridMultilevel"/>
    <w:tmpl w:val="C25025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C5C2F1E"/>
    <w:multiLevelType w:val="multilevel"/>
    <w:tmpl w:val="8EEEDB0A"/>
    <w:lvl w:ilvl="0">
      <w:start w:val="986"/>
      <w:numFmt w:val="decimal"/>
      <w:lvlText w:val="%1"/>
      <w:lvlJc w:val="left"/>
      <w:pPr>
        <w:ind w:left="870" w:hanging="870"/>
      </w:pPr>
      <w:rPr>
        <w:rFonts w:hint="default"/>
      </w:rPr>
    </w:lvl>
    <w:lvl w:ilvl="1">
      <w:start w:val="647"/>
      <w:numFmt w:val="decimal"/>
      <w:lvlText w:val="%1.%2"/>
      <w:lvlJc w:val="left"/>
      <w:pPr>
        <w:ind w:left="1860" w:hanging="870"/>
      </w:pPr>
      <w:rPr>
        <w:rFonts w:hint="default"/>
      </w:rPr>
    </w:lvl>
    <w:lvl w:ilvl="2">
      <w:start w:val="1"/>
      <w:numFmt w:val="decimal"/>
      <w:lvlText w:val="%1.%2.%3"/>
      <w:lvlJc w:val="left"/>
      <w:pPr>
        <w:ind w:left="3060" w:hanging="108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400" w:hanging="1440"/>
      </w:pPr>
      <w:rPr>
        <w:rFonts w:hint="default"/>
      </w:rPr>
    </w:lvl>
    <w:lvl w:ilvl="5">
      <w:start w:val="1"/>
      <w:numFmt w:val="decimal"/>
      <w:lvlText w:val="%1.%2.%3.%4.%5.%6"/>
      <w:lvlJc w:val="left"/>
      <w:pPr>
        <w:ind w:left="6750" w:hanging="1800"/>
      </w:pPr>
      <w:rPr>
        <w:rFonts w:hint="default"/>
      </w:rPr>
    </w:lvl>
    <w:lvl w:ilvl="6">
      <w:start w:val="1"/>
      <w:numFmt w:val="decimal"/>
      <w:lvlText w:val="%1.%2.%3.%4.%5.%6.%7"/>
      <w:lvlJc w:val="left"/>
      <w:pPr>
        <w:ind w:left="8100" w:hanging="2160"/>
      </w:pPr>
      <w:rPr>
        <w:rFonts w:hint="default"/>
      </w:rPr>
    </w:lvl>
    <w:lvl w:ilvl="7">
      <w:start w:val="1"/>
      <w:numFmt w:val="decimal"/>
      <w:lvlText w:val="%1.%2.%3.%4.%5.%6.%7.%8"/>
      <w:lvlJc w:val="left"/>
      <w:pPr>
        <w:ind w:left="9090" w:hanging="2160"/>
      </w:pPr>
      <w:rPr>
        <w:rFonts w:hint="default"/>
      </w:rPr>
    </w:lvl>
    <w:lvl w:ilvl="8">
      <w:start w:val="1"/>
      <w:numFmt w:val="decimal"/>
      <w:lvlText w:val="%1.%2.%3.%4.%5.%6.%7.%8.%9"/>
      <w:lvlJc w:val="left"/>
      <w:pPr>
        <w:ind w:left="10440" w:hanging="2520"/>
      </w:pPr>
      <w:rPr>
        <w:rFonts w:hint="default"/>
      </w:rPr>
    </w:lvl>
  </w:abstractNum>
  <w:abstractNum w:abstractNumId="17" w15:restartNumberingAfterBreak="0">
    <w:nsid w:val="4EB41A66"/>
    <w:multiLevelType w:val="hybridMultilevel"/>
    <w:tmpl w:val="02166CE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1F2B68"/>
    <w:multiLevelType w:val="multilevel"/>
    <w:tmpl w:val="FB605B1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C032510"/>
    <w:multiLevelType w:val="multilevel"/>
    <w:tmpl w:val="2B06ECF2"/>
    <w:lvl w:ilvl="0">
      <w:start w:val="2"/>
      <w:numFmt w:val="decimal"/>
      <w:lvlText w:val="%1"/>
      <w:lvlJc w:val="left"/>
      <w:pPr>
        <w:ind w:left="360" w:hanging="360"/>
      </w:pPr>
      <w:rPr>
        <w:rFonts w:hint="default"/>
        <w:color w:val="0D63B5"/>
      </w:rPr>
    </w:lvl>
    <w:lvl w:ilvl="1">
      <w:start w:val="2"/>
      <w:numFmt w:val="decimal"/>
      <w:lvlText w:val="%1.%2"/>
      <w:lvlJc w:val="left"/>
      <w:pPr>
        <w:ind w:left="1637" w:hanging="360"/>
      </w:pPr>
      <w:rPr>
        <w:rFonts w:hint="default"/>
        <w:color w:val="0D63B5"/>
      </w:rPr>
    </w:lvl>
    <w:lvl w:ilvl="2">
      <w:start w:val="1"/>
      <w:numFmt w:val="decimal"/>
      <w:lvlText w:val="%1.%2.%3"/>
      <w:lvlJc w:val="left"/>
      <w:pPr>
        <w:ind w:left="3274" w:hanging="720"/>
      </w:pPr>
      <w:rPr>
        <w:rFonts w:hint="default"/>
        <w:color w:val="0D63B5"/>
      </w:rPr>
    </w:lvl>
    <w:lvl w:ilvl="3">
      <w:start w:val="1"/>
      <w:numFmt w:val="decimal"/>
      <w:lvlText w:val="%1.%2.%3.%4"/>
      <w:lvlJc w:val="left"/>
      <w:pPr>
        <w:ind w:left="4551" w:hanging="720"/>
      </w:pPr>
      <w:rPr>
        <w:rFonts w:hint="default"/>
        <w:color w:val="0D63B5"/>
      </w:rPr>
    </w:lvl>
    <w:lvl w:ilvl="4">
      <w:start w:val="1"/>
      <w:numFmt w:val="decimal"/>
      <w:lvlText w:val="%1.%2.%3.%4.%5"/>
      <w:lvlJc w:val="left"/>
      <w:pPr>
        <w:ind w:left="6188" w:hanging="1080"/>
      </w:pPr>
      <w:rPr>
        <w:rFonts w:hint="default"/>
        <w:color w:val="0D63B5"/>
      </w:rPr>
    </w:lvl>
    <w:lvl w:ilvl="5">
      <w:start w:val="1"/>
      <w:numFmt w:val="decimal"/>
      <w:lvlText w:val="%1.%2.%3.%4.%5.%6"/>
      <w:lvlJc w:val="left"/>
      <w:pPr>
        <w:ind w:left="7465" w:hanging="1080"/>
      </w:pPr>
      <w:rPr>
        <w:rFonts w:hint="default"/>
        <w:color w:val="0D63B5"/>
      </w:rPr>
    </w:lvl>
    <w:lvl w:ilvl="6">
      <w:start w:val="1"/>
      <w:numFmt w:val="decimal"/>
      <w:lvlText w:val="%1.%2.%3.%4.%5.%6.%7"/>
      <w:lvlJc w:val="left"/>
      <w:pPr>
        <w:ind w:left="9102" w:hanging="1440"/>
      </w:pPr>
      <w:rPr>
        <w:rFonts w:hint="default"/>
        <w:color w:val="0D63B5"/>
      </w:rPr>
    </w:lvl>
    <w:lvl w:ilvl="7">
      <w:start w:val="1"/>
      <w:numFmt w:val="decimal"/>
      <w:lvlText w:val="%1.%2.%3.%4.%5.%6.%7.%8"/>
      <w:lvlJc w:val="left"/>
      <w:pPr>
        <w:ind w:left="10379" w:hanging="1440"/>
      </w:pPr>
      <w:rPr>
        <w:rFonts w:hint="default"/>
        <w:color w:val="0D63B5"/>
      </w:rPr>
    </w:lvl>
    <w:lvl w:ilvl="8">
      <w:start w:val="1"/>
      <w:numFmt w:val="decimal"/>
      <w:lvlText w:val="%1.%2.%3.%4.%5.%6.%7.%8.%9"/>
      <w:lvlJc w:val="left"/>
      <w:pPr>
        <w:ind w:left="11656" w:hanging="1440"/>
      </w:pPr>
      <w:rPr>
        <w:rFonts w:hint="default"/>
        <w:color w:val="0D63B5"/>
      </w:rPr>
    </w:lvl>
  </w:abstractNum>
  <w:abstractNum w:abstractNumId="20" w15:restartNumberingAfterBreak="0">
    <w:nsid w:val="5C526F72"/>
    <w:multiLevelType w:val="hybridMultilevel"/>
    <w:tmpl w:val="7A4066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1070B38"/>
    <w:multiLevelType w:val="hybridMultilevel"/>
    <w:tmpl w:val="25221746"/>
    <w:lvl w:ilvl="0" w:tplc="59E4D32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2DB2C46"/>
    <w:multiLevelType w:val="hybridMultilevel"/>
    <w:tmpl w:val="8B0E23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F28310E"/>
    <w:multiLevelType w:val="multilevel"/>
    <w:tmpl w:val="31BAFB80"/>
    <w:lvl w:ilvl="0">
      <w:start w:val="947"/>
      <w:numFmt w:val="decimal"/>
      <w:lvlText w:val="%1"/>
      <w:lvlJc w:val="left"/>
      <w:pPr>
        <w:ind w:left="780" w:hanging="780"/>
      </w:pPr>
      <w:rPr>
        <w:rFonts w:hint="default"/>
      </w:rPr>
    </w:lvl>
    <w:lvl w:ilvl="1">
      <w:start w:val="769"/>
      <w:numFmt w:val="decimal"/>
      <w:lvlText w:val="%1.%2"/>
      <w:lvlJc w:val="left"/>
      <w:pPr>
        <w:ind w:left="1920" w:hanging="780"/>
      </w:pPr>
      <w:rPr>
        <w:rFonts w:hint="default"/>
      </w:rPr>
    </w:lvl>
    <w:lvl w:ilvl="2">
      <w:start w:val="1"/>
      <w:numFmt w:val="decimal"/>
      <w:lvlText w:val="%1.%2.%3"/>
      <w:lvlJc w:val="left"/>
      <w:pPr>
        <w:ind w:left="3060" w:hanging="78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24" w15:restartNumberingAfterBreak="0">
    <w:nsid w:val="73235773"/>
    <w:multiLevelType w:val="hybridMultilevel"/>
    <w:tmpl w:val="2F52AC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7D45040"/>
    <w:multiLevelType w:val="multilevel"/>
    <w:tmpl w:val="DAF8D7BC"/>
    <w:lvl w:ilvl="0">
      <w:start w:val="1"/>
      <w:numFmt w:val="decimal"/>
      <w:lvlText w:val="%1."/>
      <w:lvlJc w:val="left"/>
      <w:pPr>
        <w:ind w:left="360" w:hanging="360"/>
      </w:pPr>
      <w:rPr>
        <w:rFonts w:hint="default"/>
      </w:rPr>
    </w:lvl>
    <w:lvl w:ilvl="1">
      <w:start w:val="1"/>
      <w:numFmt w:val="decimal"/>
      <w:lvlText w:val="4.%2"/>
      <w:lvlJc w:val="left"/>
      <w:pPr>
        <w:ind w:left="1709" w:hanging="432"/>
      </w:pPr>
      <w:rPr>
        <w:rFonts w:hint="default"/>
        <w:color w:val="0D63B5"/>
      </w:rPr>
    </w:lvl>
    <w:lvl w:ilvl="2">
      <w:start w:val="1"/>
      <w:numFmt w:val="decimal"/>
      <w:lvlText w:val="%1.%2.%3."/>
      <w:lvlJc w:val="left"/>
      <w:pPr>
        <w:ind w:left="1224" w:hanging="504"/>
      </w:pPr>
      <w:rPr>
        <w:rFonts w:hint="default"/>
        <w:color w:val="0D63B5"/>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A2D6548"/>
    <w:multiLevelType w:val="hybridMultilevel"/>
    <w:tmpl w:val="85324D9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DE0442C"/>
    <w:multiLevelType w:val="hybridMultilevel"/>
    <w:tmpl w:val="4D32C7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93046340">
    <w:abstractNumId w:val="25"/>
  </w:num>
  <w:num w:numId="2" w16cid:durableId="1391271095">
    <w:abstractNumId w:val="19"/>
  </w:num>
  <w:num w:numId="3" w16cid:durableId="1188762737">
    <w:abstractNumId w:val="13"/>
  </w:num>
  <w:num w:numId="4" w16cid:durableId="2059544669">
    <w:abstractNumId w:val="18"/>
  </w:num>
  <w:num w:numId="5" w16cid:durableId="1086463595">
    <w:abstractNumId w:val="21"/>
  </w:num>
  <w:num w:numId="6" w16cid:durableId="910622802">
    <w:abstractNumId w:val="0"/>
  </w:num>
  <w:num w:numId="7" w16cid:durableId="813254634">
    <w:abstractNumId w:val="17"/>
  </w:num>
  <w:num w:numId="8" w16cid:durableId="1748116152">
    <w:abstractNumId w:val="24"/>
  </w:num>
  <w:num w:numId="9" w16cid:durableId="1005744204">
    <w:abstractNumId w:val="4"/>
  </w:num>
  <w:num w:numId="10" w16cid:durableId="721372663">
    <w:abstractNumId w:val="9"/>
  </w:num>
  <w:num w:numId="11" w16cid:durableId="665279756">
    <w:abstractNumId w:val="1"/>
  </w:num>
  <w:num w:numId="12" w16cid:durableId="1693074475">
    <w:abstractNumId w:val="7"/>
  </w:num>
  <w:num w:numId="13" w16cid:durableId="1673221589">
    <w:abstractNumId w:val="11"/>
  </w:num>
  <w:num w:numId="14" w16cid:durableId="774208029">
    <w:abstractNumId w:val="15"/>
  </w:num>
  <w:num w:numId="15" w16cid:durableId="223414008">
    <w:abstractNumId w:val="10"/>
  </w:num>
  <w:num w:numId="16" w16cid:durableId="504519537">
    <w:abstractNumId w:val="14"/>
  </w:num>
  <w:num w:numId="17" w16cid:durableId="985553541">
    <w:abstractNumId w:val="8"/>
  </w:num>
  <w:num w:numId="18" w16cid:durableId="1360932914">
    <w:abstractNumId w:val="26"/>
  </w:num>
  <w:num w:numId="19" w16cid:durableId="251864487">
    <w:abstractNumId w:val="6"/>
  </w:num>
  <w:num w:numId="20" w16cid:durableId="1731222895">
    <w:abstractNumId w:val="5"/>
  </w:num>
  <w:num w:numId="21" w16cid:durableId="894270828">
    <w:abstractNumId w:val="2"/>
  </w:num>
  <w:num w:numId="22" w16cid:durableId="869298145">
    <w:abstractNumId w:val="3"/>
  </w:num>
  <w:num w:numId="23" w16cid:durableId="1239704571">
    <w:abstractNumId w:val="27"/>
  </w:num>
  <w:num w:numId="24" w16cid:durableId="33509355">
    <w:abstractNumId w:val="16"/>
  </w:num>
  <w:num w:numId="25" w16cid:durableId="1491560619">
    <w:abstractNumId w:val="20"/>
  </w:num>
  <w:num w:numId="26" w16cid:durableId="29501063">
    <w:abstractNumId w:val="12"/>
  </w:num>
  <w:num w:numId="27" w16cid:durableId="1491288037">
    <w:abstractNumId w:val="23"/>
  </w:num>
  <w:num w:numId="28" w16cid:durableId="15254346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848"/>
    <w:rsid w:val="00001D24"/>
    <w:rsid w:val="00003AEC"/>
    <w:rsid w:val="00005F8D"/>
    <w:rsid w:val="00014731"/>
    <w:rsid w:val="000201AE"/>
    <w:rsid w:val="00020B8F"/>
    <w:rsid w:val="00022E79"/>
    <w:rsid w:val="00024856"/>
    <w:rsid w:val="000259CC"/>
    <w:rsid w:val="00026740"/>
    <w:rsid w:val="00027C0C"/>
    <w:rsid w:val="00037808"/>
    <w:rsid w:val="00037A28"/>
    <w:rsid w:val="00050BE6"/>
    <w:rsid w:val="000673BC"/>
    <w:rsid w:val="000679DB"/>
    <w:rsid w:val="00074400"/>
    <w:rsid w:val="00075813"/>
    <w:rsid w:val="00095A09"/>
    <w:rsid w:val="000A452D"/>
    <w:rsid w:val="000A74D5"/>
    <w:rsid w:val="000B3334"/>
    <w:rsid w:val="000C2FE8"/>
    <w:rsid w:val="000D6074"/>
    <w:rsid w:val="000E0DA9"/>
    <w:rsid w:val="000F4984"/>
    <w:rsid w:val="000F50CB"/>
    <w:rsid w:val="00102A6B"/>
    <w:rsid w:val="00104F2E"/>
    <w:rsid w:val="00116729"/>
    <w:rsid w:val="0011745F"/>
    <w:rsid w:val="0012625D"/>
    <w:rsid w:val="0014256D"/>
    <w:rsid w:val="0014614C"/>
    <w:rsid w:val="00151194"/>
    <w:rsid w:val="00152E57"/>
    <w:rsid w:val="0015523C"/>
    <w:rsid w:val="001610D1"/>
    <w:rsid w:val="001644EA"/>
    <w:rsid w:val="00164F8C"/>
    <w:rsid w:val="00167B3A"/>
    <w:rsid w:val="001801EF"/>
    <w:rsid w:val="00182CB9"/>
    <w:rsid w:val="0018406E"/>
    <w:rsid w:val="001857DF"/>
    <w:rsid w:val="00195520"/>
    <w:rsid w:val="00197C68"/>
    <w:rsid w:val="001A15D6"/>
    <w:rsid w:val="001A3CF3"/>
    <w:rsid w:val="001B20AD"/>
    <w:rsid w:val="001B5717"/>
    <w:rsid w:val="001B5F0E"/>
    <w:rsid w:val="001B6DA0"/>
    <w:rsid w:val="001C19DB"/>
    <w:rsid w:val="001C2E70"/>
    <w:rsid w:val="001C67F9"/>
    <w:rsid w:val="001D1FDA"/>
    <w:rsid w:val="001D52AB"/>
    <w:rsid w:val="001D6DBB"/>
    <w:rsid w:val="001D6E2E"/>
    <w:rsid w:val="001D6F60"/>
    <w:rsid w:val="001E0A25"/>
    <w:rsid w:val="001E29CE"/>
    <w:rsid w:val="001F6711"/>
    <w:rsid w:val="002022CA"/>
    <w:rsid w:val="002047FB"/>
    <w:rsid w:val="00214FC1"/>
    <w:rsid w:val="00216174"/>
    <w:rsid w:val="00220248"/>
    <w:rsid w:val="00221B00"/>
    <w:rsid w:val="002267B7"/>
    <w:rsid w:val="00237869"/>
    <w:rsid w:val="00245CCE"/>
    <w:rsid w:val="00250CAD"/>
    <w:rsid w:val="00266333"/>
    <w:rsid w:val="00280422"/>
    <w:rsid w:val="0029096A"/>
    <w:rsid w:val="002927BF"/>
    <w:rsid w:val="002936A4"/>
    <w:rsid w:val="00293826"/>
    <w:rsid w:val="00296236"/>
    <w:rsid w:val="00297DFC"/>
    <w:rsid w:val="002A07AE"/>
    <w:rsid w:val="002A3781"/>
    <w:rsid w:val="002B1787"/>
    <w:rsid w:val="002B4467"/>
    <w:rsid w:val="002C0A9B"/>
    <w:rsid w:val="002C6122"/>
    <w:rsid w:val="002D60D7"/>
    <w:rsid w:val="002D73CF"/>
    <w:rsid w:val="002D7F6B"/>
    <w:rsid w:val="002E2DA4"/>
    <w:rsid w:val="002E6364"/>
    <w:rsid w:val="002E7503"/>
    <w:rsid w:val="002E792B"/>
    <w:rsid w:val="002F3445"/>
    <w:rsid w:val="002F7DAD"/>
    <w:rsid w:val="003008CF"/>
    <w:rsid w:val="00302C3A"/>
    <w:rsid w:val="00305D18"/>
    <w:rsid w:val="003072B4"/>
    <w:rsid w:val="003154F8"/>
    <w:rsid w:val="00317076"/>
    <w:rsid w:val="00320384"/>
    <w:rsid w:val="0032385B"/>
    <w:rsid w:val="003248C5"/>
    <w:rsid w:val="0032596A"/>
    <w:rsid w:val="00330450"/>
    <w:rsid w:val="003316C8"/>
    <w:rsid w:val="003420B0"/>
    <w:rsid w:val="003461BE"/>
    <w:rsid w:val="00353E78"/>
    <w:rsid w:val="00354CB1"/>
    <w:rsid w:val="003630B1"/>
    <w:rsid w:val="00367F52"/>
    <w:rsid w:val="00373096"/>
    <w:rsid w:val="0037466C"/>
    <w:rsid w:val="0037667F"/>
    <w:rsid w:val="00377193"/>
    <w:rsid w:val="00381492"/>
    <w:rsid w:val="00383B5A"/>
    <w:rsid w:val="00385A93"/>
    <w:rsid w:val="00397D36"/>
    <w:rsid w:val="003B05D5"/>
    <w:rsid w:val="003B1D90"/>
    <w:rsid w:val="003B3613"/>
    <w:rsid w:val="003C2E07"/>
    <w:rsid w:val="003C422C"/>
    <w:rsid w:val="003C63A3"/>
    <w:rsid w:val="003D318B"/>
    <w:rsid w:val="003D3621"/>
    <w:rsid w:val="003E20E8"/>
    <w:rsid w:val="003E3A6C"/>
    <w:rsid w:val="003F520D"/>
    <w:rsid w:val="003F6755"/>
    <w:rsid w:val="0040007D"/>
    <w:rsid w:val="00400818"/>
    <w:rsid w:val="004165C4"/>
    <w:rsid w:val="004244FC"/>
    <w:rsid w:val="00430D30"/>
    <w:rsid w:val="00431AD6"/>
    <w:rsid w:val="00434BED"/>
    <w:rsid w:val="00437724"/>
    <w:rsid w:val="0045207D"/>
    <w:rsid w:val="00453B82"/>
    <w:rsid w:val="0045504F"/>
    <w:rsid w:val="0047401F"/>
    <w:rsid w:val="00482846"/>
    <w:rsid w:val="00485787"/>
    <w:rsid w:val="00492A49"/>
    <w:rsid w:val="004A1E74"/>
    <w:rsid w:val="004A40FC"/>
    <w:rsid w:val="004A4C3A"/>
    <w:rsid w:val="004A7B86"/>
    <w:rsid w:val="004B6B1F"/>
    <w:rsid w:val="004B779E"/>
    <w:rsid w:val="004C2078"/>
    <w:rsid w:val="004D3063"/>
    <w:rsid w:val="004D5846"/>
    <w:rsid w:val="004E0971"/>
    <w:rsid w:val="004E4DC4"/>
    <w:rsid w:val="004F2441"/>
    <w:rsid w:val="004F352C"/>
    <w:rsid w:val="005019F4"/>
    <w:rsid w:val="00504C6C"/>
    <w:rsid w:val="00506DFF"/>
    <w:rsid w:val="00514AA2"/>
    <w:rsid w:val="005204FA"/>
    <w:rsid w:val="00536317"/>
    <w:rsid w:val="00537038"/>
    <w:rsid w:val="005418F9"/>
    <w:rsid w:val="005525D1"/>
    <w:rsid w:val="00556881"/>
    <w:rsid w:val="00557243"/>
    <w:rsid w:val="005579BC"/>
    <w:rsid w:val="005602C3"/>
    <w:rsid w:val="00562C1F"/>
    <w:rsid w:val="005635AD"/>
    <w:rsid w:val="00577BA2"/>
    <w:rsid w:val="0058096F"/>
    <w:rsid w:val="00581D1F"/>
    <w:rsid w:val="00582F90"/>
    <w:rsid w:val="00584991"/>
    <w:rsid w:val="0058601D"/>
    <w:rsid w:val="00590B3C"/>
    <w:rsid w:val="00591677"/>
    <w:rsid w:val="005921A4"/>
    <w:rsid w:val="00597259"/>
    <w:rsid w:val="005A02B3"/>
    <w:rsid w:val="005A1944"/>
    <w:rsid w:val="005A4FD7"/>
    <w:rsid w:val="005B0913"/>
    <w:rsid w:val="005B29A5"/>
    <w:rsid w:val="005B6BD5"/>
    <w:rsid w:val="005C2926"/>
    <w:rsid w:val="005C611E"/>
    <w:rsid w:val="005C7733"/>
    <w:rsid w:val="005D2B68"/>
    <w:rsid w:val="005D35D3"/>
    <w:rsid w:val="005D7C77"/>
    <w:rsid w:val="005D7D92"/>
    <w:rsid w:val="005E65DB"/>
    <w:rsid w:val="005F7B88"/>
    <w:rsid w:val="006009AC"/>
    <w:rsid w:val="00603A3A"/>
    <w:rsid w:val="00606C66"/>
    <w:rsid w:val="00606C83"/>
    <w:rsid w:val="00610531"/>
    <w:rsid w:val="0062578C"/>
    <w:rsid w:val="00632416"/>
    <w:rsid w:val="0063303D"/>
    <w:rsid w:val="00634A35"/>
    <w:rsid w:val="006370E1"/>
    <w:rsid w:val="006453EF"/>
    <w:rsid w:val="006463A5"/>
    <w:rsid w:val="006522E1"/>
    <w:rsid w:val="00664097"/>
    <w:rsid w:val="00667591"/>
    <w:rsid w:val="006829C7"/>
    <w:rsid w:val="00684C6D"/>
    <w:rsid w:val="00691733"/>
    <w:rsid w:val="00692530"/>
    <w:rsid w:val="006B5F69"/>
    <w:rsid w:val="006B77C2"/>
    <w:rsid w:val="006C1D12"/>
    <w:rsid w:val="006C39BA"/>
    <w:rsid w:val="006C57EE"/>
    <w:rsid w:val="006C756A"/>
    <w:rsid w:val="006D0F39"/>
    <w:rsid w:val="006D2410"/>
    <w:rsid w:val="006D429C"/>
    <w:rsid w:val="006E1B4F"/>
    <w:rsid w:val="006F7E43"/>
    <w:rsid w:val="00702F91"/>
    <w:rsid w:val="00705F61"/>
    <w:rsid w:val="00720E7B"/>
    <w:rsid w:val="0072257F"/>
    <w:rsid w:val="00722C04"/>
    <w:rsid w:val="00723938"/>
    <w:rsid w:val="00725213"/>
    <w:rsid w:val="00726CE9"/>
    <w:rsid w:val="00731315"/>
    <w:rsid w:val="00742239"/>
    <w:rsid w:val="00745999"/>
    <w:rsid w:val="00753BCE"/>
    <w:rsid w:val="007564AD"/>
    <w:rsid w:val="007571E8"/>
    <w:rsid w:val="007622F9"/>
    <w:rsid w:val="007639D7"/>
    <w:rsid w:val="00765236"/>
    <w:rsid w:val="00767A44"/>
    <w:rsid w:val="007715F1"/>
    <w:rsid w:val="00776BCC"/>
    <w:rsid w:val="007835BD"/>
    <w:rsid w:val="00790864"/>
    <w:rsid w:val="00790E78"/>
    <w:rsid w:val="00796202"/>
    <w:rsid w:val="00797F93"/>
    <w:rsid w:val="007A4327"/>
    <w:rsid w:val="007B4BE1"/>
    <w:rsid w:val="007B4E97"/>
    <w:rsid w:val="007B7A68"/>
    <w:rsid w:val="007C6DEA"/>
    <w:rsid w:val="007C7C86"/>
    <w:rsid w:val="007D00AA"/>
    <w:rsid w:val="007E5251"/>
    <w:rsid w:val="007F1146"/>
    <w:rsid w:val="007F40E3"/>
    <w:rsid w:val="007F5761"/>
    <w:rsid w:val="0080657B"/>
    <w:rsid w:val="00812821"/>
    <w:rsid w:val="008143D6"/>
    <w:rsid w:val="00817CA7"/>
    <w:rsid w:val="00827C2A"/>
    <w:rsid w:val="0083170C"/>
    <w:rsid w:val="008361CF"/>
    <w:rsid w:val="00842755"/>
    <w:rsid w:val="008447C7"/>
    <w:rsid w:val="0085200A"/>
    <w:rsid w:val="00853DED"/>
    <w:rsid w:val="00853EAF"/>
    <w:rsid w:val="00857D87"/>
    <w:rsid w:val="00863A04"/>
    <w:rsid w:val="00864373"/>
    <w:rsid w:val="00867EA1"/>
    <w:rsid w:val="008717BC"/>
    <w:rsid w:val="00871A8D"/>
    <w:rsid w:val="00872054"/>
    <w:rsid w:val="00874448"/>
    <w:rsid w:val="00875C29"/>
    <w:rsid w:val="00877C23"/>
    <w:rsid w:val="00880247"/>
    <w:rsid w:val="00882D1C"/>
    <w:rsid w:val="00885F5D"/>
    <w:rsid w:val="008910E6"/>
    <w:rsid w:val="008A12C9"/>
    <w:rsid w:val="008B5103"/>
    <w:rsid w:val="008B6200"/>
    <w:rsid w:val="008B68DB"/>
    <w:rsid w:val="008E0453"/>
    <w:rsid w:val="008E0E04"/>
    <w:rsid w:val="008E4B66"/>
    <w:rsid w:val="008F107D"/>
    <w:rsid w:val="008F1DB2"/>
    <w:rsid w:val="00901DB3"/>
    <w:rsid w:val="00904BDB"/>
    <w:rsid w:val="009204C0"/>
    <w:rsid w:val="00920713"/>
    <w:rsid w:val="00920A40"/>
    <w:rsid w:val="00925E38"/>
    <w:rsid w:val="00930252"/>
    <w:rsid w:val="0093116D"/>
    <w:rsid w:val="00933435"/>
    <w:rsid w:val="00947A91"/>
    <w:rsid w:val="00955D7C"/>
    <w:rsid w:val="00963123"/>
    <w:rsid w:val="00964EBE"/>
    <w:rsid w:val="00966F59"/>
    <w:rsid w:val="009707ED"/>
    <w:rsid w:val="00970B29"/>
    <w:rsid w:val="00983DF0"/>
    <w:rsid w:val="00993BDF"/>
    <w:rsid w:val="00995341"/>
    <w:rsid w:val="009A2FED"/>
    <w:rsid w:val="009B5AFB"/>
    <w:rsid w:val="009C323B"/>
    <w:rsid w:val="009D0D73"/>
    <w:rsid w:val="009D11A6"/>
    <w:rsid w:val="009F25D2"/>
    <w:rsid w:val="00A01E65"/>
    <w:rsid w:val="00A05177"/>
    <w:rsid w:val="00A0648E"/>
    <w:rsid w:val="00A102B8"/>
    <w:rsid w:val="00A129C5"/>
    <w:rsid w:val="00A12AA2"/>
    <w:rsid w:val="00A16901"/>
    <w:rsid w:val="00A17794"/>
    <w:rsid w:val="00A20293"/>
    <w:rsid w:val="00A2202A"/>
    <w:rsid w:val="00A30EE2"/>
    <w:rsid w:val="00A3332E"/>
    <w:rsid w:val="00A33758"/>
    <w:rsid w:val="00A438EC"/>
    <w:rsid w:val="00A442D7"/>
    <w:rsid w:val="00A5107B"/>
    <w:rsid w:val="00A53F40"/>
    <w:rsid w:val="00A610F5"/>
    <w:rsid w:val="00A71D62"/>
    <w:rsid w:val="00A779BB"/>
    <w:rsid w:val="00A800E6"/>
    <w:rsid w:val="00A93197"/>
    <w:rsid w:val="00A93BAE"/>
    <w:rsid w:val="00A96774"/>
    <w:rsid w:val="00A978AF"/>
    <w:rsid w:val="00AA27EF"/>
    <w:rsid w:val="00AA5A01"/>
    <w:rsid w:val="00AB0DD2"/>
    <w:rsid w:val="00AB60E1"/>
    <w:rsid w:val="00AC01E6"/>
    <w:rsid w:val="00AC0702"/>
    <w:rsid w:val="00AC53F5"/>
    <w:rsid w:val="00AD5C2E"/>
    <w:rsid w:val="00AD7DA9"/>
    <w:rsid w:val="00AE0B22"/>
    <w:rsid w:val="00AE20C5"/>
    <w:rsid w:val="00AE70AF"/>
    <w:rsid w:val="00B02848"/>
    <w:rsid w:val="00B07861"/>
    <w:rsid w:val="00B12CED"/>
    <w:rsid w:val="00B25EB1"/>
    <w:rsid w:val="00B27E82"/>
    <w:rsid w:val="00B31184"/>
    <w:rsid w:val="00B33B8B"/>
    <w:rsid w:val="00B53E22"/>
    <w:rsid w:val="00B53E3D"/>
    <w:rsid w:val="00B61E2E"/>
    <w:rsid w:val="00B621BC"/>
    <w:rsid w:val="00B63957"/>
    <w:rsid w:val="00B71910"/>
    <w:rsid w:val="00B71E52"/>
    <w:rsid w:val="00B8767D"/>
    <w:rsid w:val="00B87772"/>
    <w:rsid w:val="00B947C3"/>
    <w:rsid w:val="00B97912"/>
    <w:rsid w:val="00BA0ABC"/>
    <w:rsid w:val="00BA3EEF"/>
    <w:rsid w:val="00BA555A"/>
    <w:rsid w:val="00BA7D34"/>
    <w:rsid w:val="00BB6C79"/>
    <w:rsid w:val="00BC2D0E"/>
    <w:rsid w:val="00BC3060"/>
    <w:rsid w:val="00BD228B"/>
    <w:rsid w:val="00BD50AB"/>
    <w:rsid w:val="00BD7093"/>
    <w:rsid w:val="00BE0B15"/>
    <w:rsid w:val="00BE6110"/>
    <w:rsid w:val="00BF522F"/>
    <w:rsid w:val="00C012F8"/>
    <w:rsid w:val="00C03689"/>
    <w:rsid w:val="00C04EAA"/>
    <w:rsid w:val="00C11BC9"/>
    <w:rsid w:val="00C144BB"/>
    <w:rsid w:val="00C35DEC"/>
    <w:rsid w:val="00C368BC"/>
    <w:rsid w:val="00C373EA"/>
    <w:rsid w:val="00C40278"/>
    <w:rsid w:val="00C50EF2"/>
    <w:rsid w:val="00C57745"/>
    <w:rsid w:val="00C60157"/>
    <w:rsid w:val="00C653B5"/>
    <w:rsid w:val="00C83921"/>
    <w:rsid w:val="00C860EA"/>
    <w:rsid w:val="00C86D39"/>
    <w:rsid w:val="00C921D8"/>
    <w:rsid w:val="00C93F61"/>
    <w:rsid w:val="00C94450"/>
    <w:rsid w:val="00CA1A95"/>
    <w:rsid w:val="00CA5D73"/>
    <w:rsid w:val="00CA5E2F"/>
    <w:rsid w:val="00CB3C02"/>
    <w:rsid w:val="00CB4B64"/>
    <w:rsid w:val="00CD2365"/>
    <w:rsid w:val="00CD57D9"/>
    <w:rsid w:val="00CE41ED"/>
    <w:rsid w:val="00CF2937"/>
    <w:rsid w:val="00CF5F07"/>
    <w:rsid w:val="00D028AE"/>
    <w:rsid w:val="00D077A9"/>
    <w:rsid w:val="00D12B03"/>
    <w:rsid w:val="00D31993"/>
    <w:rsid w:val="00D413FF"/>
    <w:rsid w:val="00D470A7"/>
    <w:rsid w:val="00D6052D"/>
    <w:rsid w:val="00D615EC"/>
    <w:rsid w:val="00D61BDA"/>
    <w:rsid w:val="00D627C4"/>
    <w:rsid w:val="00D64573"/>
    <w:rsid w:val="00D67999"/>
    <w:rsid w:val="00D81648"/>
    <w:rsid w:val="00D8472E"/>
    <w:rsid w:val="00D930E7"/>
    <w:rsid w:val="00DA30CF"/>
    <w:rsid w:val="00DA5A25"/>
    <w:rsid w:val="00DB2D0B"/>
    <w:rsid w:val="00DB59B8"/>
    <w:rsid w:val="00DD4AF6"/>
    <w:rsid w:val="00DD4F83"/>
    <w:rsid w:val="00DE1EA6"/>
    <w:rsid w:val="00DE332D"/>
    <w:rsid w:val="00DF072C"/>
    <w:rsid w:val="00DF2D62"/>
    <w:rsid w:val="00DF3644"/>
    <w:rsid w:val="00DF614A"/>
    <w:rsid w:val="00E0105A"/>
    <w:rsid w:val="00E065E5"/>
    <w:rsid w:val="00E07D5F"/>
    <w:rsid w:val="00E11DF3"/>
    <w:rsid w:val="00E12154"/>
    <w:rsid w:val="00E16508"/>
    <w:rsid w:val="00E17EB8"/>
    <w:rsid w:val="00E21223"/>
    <w:rsid w:val="00E26127"/>
    <w:rsid w:val="00E3049D"/>
    <w:rsid w:val="00E36C74"/>
    <w:rsid w:val="00E406F0"/>
    <w:rsid w:val="00E407FE"/>
    <w:rsid w:val="00E4135E"/>
    <w:rsid w:val="00E472D6"/>
    <w:rsid w:val="00E55C8F"/>
    <w:rsid w:val="00E6394C"/>
    <w:rsid w:val="00E75271"/>
    <w:rsid w:val="00E75446"/>
    <w:rsid w:val="00E754A9"/>
    <w:rsid w:val="00E8674E"/>
    <w:rsid w:val="00E87938"/>
    <w:rsid w:val="00E92581"/>
    <w:rsid w:val="00EA2726"/>
    <w:rsid w:val="00EA534B"/>
    <w:rsid w:val="00EA61EB"/>
    <w:rsid w:val="00EB6518"/>
    <w:rsid w:val="00EC09C0"/>
    <w:rsid w:val="00EC52E8"/>
    <w:rsid w:val="00EC5CE1"/>
    <w:rsid w:val="00ED545C"/>
    <w:rsid w:val="00ED5988"/>
    <w:rsid w:val="00EF75B8"/>
    <w:rsid w:val="00EF761A"/>
    <w:rsid w:val="00F02EE4"/>
    <w:rsid w:val="00F05CE3"/>
    <w:rsid w:val="00F06879"/>
    <w:rsid w:val="00F16866"/>
    <w:rsid w:val="00F23ABE"/>
    <w:rsid w:val="00F24E4C"/>
    <w:rsid w:val="00F31C5D"/>
    <w:rsid w:val="00F33295"/>
    <w:rsid w:val="00F33E43"/>
    <w:rsid w:val="00F343E9"/>
    <w:rsid w:val="00F4130F"/>
    <w:rsid w:val="00F4139F"/>
    <w:rsid w:val="00F4394E"/>
    <w:rsid w:val="00F52374"/>
    <w:rsid w:val="00F56185"/>
    <w:rsid w:val="00F57F41"/>
    <w:rsid w:val="00F61450"/>
    <w:rsid w:val="00F63BD5"/>
    <w:rsid w:val="00F70DE2"/>
    <w:rsid w:val="00F7132F"/>
    <w:rsid w:val="00F7577D"/>
    <w:rsid w:val="00F87197"/>
    <w:rsid w:val="00F967B0"/>
    <w:rsid w:val="00FA15ED"/>
    <w:rsid w:val="00FA1D23"/>
    <w:rsid w:val="00FB135A"/>
    <w:rsid w:val="00FB13E4"/>
    <w:rsid w:val="00FB60B8"/>
    <w:rsid w:val="00FC42A1"/>
    <w:rsid w:val="00FD0364"/>
    <w:rsid w:val="00FD348C"/>
    <w:rsid w:val="00FD56CF"/>
    <w:rsid w:val="00FD6A8B"/>
    <w:rsid w:val="00FE3E72"/>
    <w:rsid w:val="00FE7BC2"/>
    <w:rsid w:val="00FF55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C9495"/>
  <w15:chartTrackingRefBased/>
  <w15:docId w15:val="{7C52AA60-5C31-4810-8D1D-474197EA8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1"/>
    <w:qFormat/>
    <w:rsid w:val="00A3332E"/>
    <w:pPr>
      <w:spacing w:before="240" w:after="0" w:line="240" w:lineRule="auto"/>
      <w:jc w:val="right"/>
      <w:outlineLvl w:val="0"/>
    </w:pPr>
    <w:rPr>
      <w:rFonts w:ascii="Verdana" w:eastAsia="Times New Roman" w:hAnsi="Verdana" w:cs="Times New Roman"/>
      <w:b/>
      <w:sz w:val="20"/>
      <w:szCs w:val="20"/>
      <w:u w:val="single"/>
      <w:lang w:val="pt-PT" w:eastAsia="pt-BR"/>
    </w:rPr>
  </w:style>
  <w:style w:type="paragraph" w:styleId="Ttulo5">
    <w:name w:val="heading 5"/>
    <w:basedOn w:val="Normal"/>
    <w:next w:val="Normal"/>
    <w:link w:val="Ttulo5Char"/>
    <w:uiPriority w:val="9"/>
    <w:semiHidden/>
    <w:unhideWhenUsed/>
    <w:qFormat/>
    <w:rsid w:val="002B17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028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2848"/>
  </w:style>
  <w:style w:type="paragraph" w:styleId="Rodap">
    <w:name w:val="footer"/>
    <w:basedOn w:val="Normal"/>
    <w:link w:val="RodapChar"/>
    <w:uiPriority w:val="99"/>
    <w:unhideWhenUsed/>
    <w:rsid w:val="00B02848"/>
    <w:pPr>
      <w:tabs>
        <w:tab w:val="center" w:pos="4252"/>
        <w:tab w:val="right" w:pos="8504"/>
      </w:tabs>
      <w:spacing w:after="0" w:line="240" w:lineRule="auto"/>
    </w:pPr>
  </w:style>
  <w:style w:type="character" w:customStyle="1" w:styleId="RodapChar">
    <w:name w:val="Rodapé Char"/>
    <w:basedOn w:val="Fontepargpadro"/>
    <w:link w:val="Rodap"/>
    <w:uiPriority w:val="99"/>
    <w:rsid w:val="00B02848"/>
  </w:style>
  <w:style w:type="character" w:customStyle="1" w:styleId="Ttulo1Char">
    <w:name w:val="Título 1 Char"/>
    <w:basedOn w:val="Fontepargpadro"/>
    <w:link w:val="Ttulo1"/>
    <w:uiPriority w:val="1"/>
    <w:rsid w:val="00A3332E"/>
    <w:rPr>
      <w:rFonts w:ascii="Verdana" w:eastAsia="Times New Roman" w:hAnsi="Verdana" w:cs="Times New Roman"/>
      <w:b/>
      <w:sz w:val="20"/>
      <w:szCs w:val="20"/>
      <w:u w:val="single"/>
      <w:lang w:val="pt-PT" w:eastAsia="pt-BR"/>
    </w:rPr>
  </w:style>
  <w:style w:type="paragraph" w:styleId="Corpodetexto">
    <w:name w:val="Body Text"/>
    <w:aliases w:val="CORPORES"/>
    <w:basedOn w:val="Normal"/>
    <w:link w:val="CorpodetextoChar"/>
    <w:uiPriority w:val="99"/>
    <w:qFormat/>
    <w:rsid w:val="00A3332E"/>
    <w:pPr>
      <w:tabs>
        <w:tab w:val="left" w:pos="567"/>
        <w:tab w:val="left" w:pos="1134"/>
        <w:tab w:val="left" w:pos="1701"/>
        <w:tab w:val="left" w:pos="2268"/>
        <w:tab w:val="left" w:pos="2835"/>
      </w:tabs>
      <w:spacing w:after="0" w:line="240" w:lineRule="auto"/>
      <w:jc w:val="both"/>
    </w:pPr>
    <w:rPr>
      <w:rFonts w:ascii="@PMingLiU" w:eastAsia="Times New Roman" w:hAnsi="@PMingLiU" w:cs="Times New Roman"/>
      <w:sz w:val="20"/>
      <w:szCs w:val="20"/>
      <w:lang w:val="pt-PT" w:eastAsia="pt-BR"/>
    </w:rPr>
  </w:style>
  <w:style w:type="character" w:customStyle="1" w:styleId="CorpodetextoChar">
    <w:name w:val="Corpo de texto Char"/>
    <w:aliases w:val="CORPORES Char"/>
    <w:basedOn w:val="Fontepargpadro"/>
    <w:link w:val="Corpodetexto"/>
    <w:uiPriority w:val="99"/>
    <w:rsid w:val="00A3332E"/>
    <w:rPr>
      <w:rFonts w:ascii="@PMingLiU" w:eastAsia="Times New Roman" w:hAnsi="@PMingLiU" w:cs="Times New Roman"/>
      <w:sz w:val="20"/>
      <w:szCs w:val="20"/>
      <w:lang w:val="pt-PT" w:eastAsia="pt-BR"/>
    </w:rPr>
  </w:style>
  <w:style w:type="paragraph" w:styleId="PargrafodaLista">
    <w:name w:val="List Paragraph"/>
    <w:aliases w:val="Párrafo de lista numerado,Normal numerado,Lista Numerada,Subsubtítulo,Marcadores,paragrafo 3,Quadros-Tabelas,Titulo 3,Corpo do Texto CB,Lista Colorida - Ênfase 11,Marcadores PDTI,DOCs_Paragrafo-1,Lista Paragrafo em Preto"/>
    <w:basedOn w:val="Normal"/>
    <w:link w:val="PargrafodaListaChar"/>
    <w:uiPriority w:val="34"/>
    <w:qFormat/>
    <w:rsid w:val="00A3332E"/>
    <w:pPr>
      <w:spacing w:after="0" w:line="240" w:lineRule="auto"/>
      <w:ind w:left="708"/>
      <w:jc w:val="both"/>
    </w:pPr>
    <w:rPr>
      <w:rFonts w:ascii="@PMingLiU" w:eastAsia="Times New Roman" w:hAnsi="@PMingLiU" w:cs="Times New Roman"/>
      <w:szCs w:val="24"/>
      <w:lang w:eastAsia="pt-BR"/>
    </w:rPr>
  </w:style>
  <w:style w:type="character" w:customStyle="1" w:styleId="PargrafodaListaChar">
    <w:name w:val="Parágrafo da Lista Char"/>
    <w:aliases w:val="Párrafo de lista numerado Char,Normal numerado Char,Lista Numerada Char,Subsubtítulo Char,Marcadores Char,paragrafo 3 Char,Quadros-Tabelas Char,Titulo 3 Char,Corpo do Texto CB Char,Lista Colorida - Ênfase 11 Char"/>
    <w:link w:val="PargrafodaLista"/>
    <w:uiPriority w:val="34"/>
    <w:qFormat/>
    <w:rsid w:val="00A3332E"/>
    <w:rPr>
      <w:rFonts w:ascii="@PMingLiU" w:eastAsia="Times New Roman" w:hAnsi="@PMingLiU" w:cs="Times New Roman"/>
      <w:szCs w:val="24"/>
      <w:lang w:eastAsia="pt-BR"/>
    </w:rPr>
  </w:style>
  <w:style w:type="character" w:customStyle="1" w:styleId="Ttulo5Char">
    <w:name w:val="Título 5 Char"/>
    <w:basedOn w:val="Fontepargpadro"/>
    <w:link w:val="Ttulo5"/>
    <w:rsid w:val="002B1787"/>
    <w:rPr>
      <w:rFonts w:asciiTheme="majorHAnsi" w:eastAsiaTheme="majorEastAsia" w:hAnsiTheme="majorHAnsi" w:cstheme="majorBidi"/>
      <w:color w:val="2E74B5" w:themeColor="accent1" w:themeShade="BF"/>
    </w:rPr>
  </w:style>
  <w:style w:type="paragraph" w:styleId="Reviso">
    <w:name w:val="Revision"/>
    <w:hidden/>
    <w:uiPriority w:val="99"/>
    <w:semiHidden/>
    <w:rsid w:val="00842755"/>
    <w:pPr>
      <w:spacing w:after="0" w:line="240" w:lineRule="auto"/>
    </w:pPr>
  </w:style>
  <w:style w:type="paragraph" w:customStyle="1" w:styleId="FCD">
    <w:name w:val="FCD"/>
    <w:basedOn w:val="Normal"/>
    <w:uiPriority w:val="99"/>
    <w:qFormat/>
    <w:rsid w:val="00E406F0"/>
    <w:pPr>
      <w:spacing w:after="0" w:line="312" w:lineRule="auto"/>
      <w:jc w:val="both"/>
    </w:pPr>
    <w:rPr>
      <w:rFonts w:ascii="@PMingLiU" w:eastAsia="Cambria" w:hAnsi="@PMingLiU" w:cs="Times New Roman"/>
      <w:szCs w:val="24"/>
    </w:rPr>
  </w:style>
  <w:style w:type="paragraph" w:styleId="Textodecomentrio">
    <w:name w:val="annotation text"/>
    <w:basedOn w:val="Normal"/>
    <w:link w:val="TextodecomentrioChar1"/>
    <w:uiPriority w:val="99"/>
    <w:rsid w:val="00D413FF"/>
    <w:pPr>
      <w:spacing w:after="0" w:line="240" w:lineRule="auto"/>
      <w:jc w:val="both"/>
    </w:pPr>
    <w:rPr>
      <w:rFonts w:ascii="@PMingLiU" w:eastAsia="Times New Roman" w:hAnsi="@PMingLiU" w:cs="Times New Roman"/>
      <w:sz w:val="20"/>
      <w:szCs w:val="20"/>
      <w:lang w:eastAsia="pt-BR"/>
    </w:rPr>
  </w:style>
  <w:style w:type="character" w:customStyle="1" w:styleId="TextodecomentrioChar">
    <w:name w:val="Texto de comentário Char"/>
    <w:basedOn w:val="Fontepargpadro"/>
    <w:uiPriority w:val="99"/>
    <w:semiHidden/>
    <w:rsid w:val="00D413FF"/>
    <w:rPr>
      <w:sz w:val="20"/>
      <w:szCs w:val="20"/>
    </w:rPr>
  </w:style>
  <w:style w:type="character" w:customStyle="1" w:styleId="TextodecomentrioChar1">
    <w:name w:val="Texto de comentário Char1"/>
    <w:link w:val="Textodecomentrio"/>
    <w:uiPriority w:val="99"/>
    <w:locked/>
    <w:rsid w:val="00D413FF"/>
    <w:rPr>
      <w:rFonts w:ascii="@PMingLiU" w:eastAsia="Times New Roman" w:hAnsi="@PMingLiU" w:cs="Times New Roman"/>
      <w:sz w:val="20"/>
      <w:szCs w:val="20"/>
      <w:lang w:eastAsia="pt-BR"/>
    </w:rPr>
  </w:style>
  <w:style w:type="paragraph" w:customStyle="1" w:styleId="Default">
    <w:name w:val="Default"/>
    <w:link w:val="DefaultChar"/>
    <w:rsid w:val="00AA27EF"/>
    <w:pPr>
      <w:autoSpaceDE w:val="0"/>
      <w:autoSpaceDN w:val="0"/>
      <w:adjustRightInd w:val="0"/>
      <w:spacing w:after="0" w:line="240" w:lineRule="auto"/>
    </w:pPr>
    <w:rPr>
      <w:rFonts w:ascii="Verdana" w:eastAsia="Times New Roman" w:hAnsi="Verdana" w:cs="Verdana"/>
      <w:color w:val="000000"/>
      <w:sz w:val="24"/>
      <w:szCs w:val="24"/>
      <w:lang w:eastAsia="pt-BR"/>
    </w:rPr>
  </w:style>
  <w:style w:type="character" w:customStyle="1" w:styleId="DefaultChar">
    <w:name w:val="Default Char"/>
    <w:link w:val="Default"/>
    <w:locked/>
    <w:rsid w:val="00AA27EF"/>
    <w:rPr>
      <w:rFonts w:ascii="Verdana" w:eastAsia="Times New Roman" w:hAnsi="Verdana" w:cs="Verdana"/>
      <w:color w:val="000000"/>
      <w:sz w:val="24"/>
      <w:szCs w:val="24"/>
      <w:lang w:eastAsia="pt-BR"/>
    </w:rPr>
  </w:style>
  <w:style w:type="paragraph" w:styleId="SemEspaamento">
    <w:name w:val="No Spacing"/>
    <w:uiPriority w:val="1"/>
    <w:qFormat/>
    <w:rsid w:val="00A0648E"/>
    <w:pPr>
      <w:spacing w:after="0" w:line="240" w:lineRule="auto"/>
    </w:pPr>
    <w:rPr>
      <w:rFonts w:ascii="Times New Roman" w:eastAsia="Times New Roman" w:hAnsi="Times New Roman" w:cs="Times New Roman"/>
      <w:sz w:val="24"/>
      <w:szCs w:val="24"/>
      <w:lang w:eastAsia="pt-BR"/>
    </w:rPr>
  </w:style>
  <w:style w:type="paragraph" w:customStyle="1" w:styleId="xmsonormal">
    <w:name w:val="x_msonormal"/>
    <w:basedOn w:val="Normal"/>
    <w:rsid w:val="006009AC"/>
    <w:pPr>
      <w:spacing w:before="100" w:beforeAutospacing="1" w:after="100" w:afterAutospacing="1" w:line="240" w:lineRule="auto"/>
      <w:jc w:val="both"/>
    </w:pPr>
    <w:rPr>
      <w:rFonts w:ascii="@PMingLiU" w:eastAsia="Times New Roman" w:hAnsi="@PMingLiU" w:cs="Times New Roman"/>
      <w:szCs w:val="24"/>
      <w:lang w:eastAsia="pt-BR"/>
    </w:rPr>
  </w:style>
  <w:style w:type="paragraph" w:customStyle="1" w:styleId="Texto">
    <w:name w:val="Texto"/>
    <w:basedOn w:val="Normal"/>
    <w:link w:val="TextoChar"/>
    <w:rsid w:val="00095A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80" w:lineRule="atLeast"/>
      <w:ind w:left="1418"/>
      <w:jc w:val="both"/>
    </w:pPr>
    <w:rPr>
      <w:rFonts w:ascii="Univers" w:eastAsia="Times New Roman" w:hAnsi="Univers" w:cs="Times New Roman"/>
      <w:snapToGrid w:val="0"/>
      <w:sz w:val="20"/>
      <w:szCs w:val="20"/>
      <w:lang w:val="en-AU"/>
    </w:rPr>
  </w:style>
  <w:style w:type="character" w:customStyle="1" w:styleId="TextoChar">
    <w:name w:val="Texto Char"/>
    <w:link w:val="Texto"/>
    <w:locked/>
    <w:rsid w:val="00095A09"/>
    <w:rPr>
      <w:rFonts w:ascii="Univers" w:eastAsia="Times New Roman" w:hAnsi="Univers" w:cs="Times New Roman"/>
      <w:snapToGrid w:val="0"/>
      <w:sz w:val="20"/>
      <w:szCs w:val="20"/>
      <w:lang w:val="en-AU"/>
    </w:rPr>
  </w:style>
  <w:style w:type="paragraph" w:customStyle="1" w:styleId="tpicon">
    <w:name w:val="tópico nº"/>
    <w:link w:val="tpiconChar"/>
    <w:uiPriority w:val="99"/>
    <w:rsid w:val="00F05CE3"/>
    <w:pPr>
      <w:tabs>
        <w:tab w:val="left" w:pos="1417"/>
        <w:tab w:val="left" w:pos="2160"/>
        <w:tab w:val="left" w:pos="2880"/>
        <w:tab w:val="left" w:pos="3600"/>
        <w:tab w:val="left" w:pos="4320"/>
        <w:tab w:val="left" w:pos="5040"/>
        <w:tab w:val="left" w:pos="5760"/>
        <w:tab w:val="left" w:pos="6480"/>
        <w:tab w:val="left" w:pos="7200"/>
        <w:tab w:val="left" w:pos="7920"/>
        <w:tab w:val="left" w:pos="8640"/>
      </w:tabs>
      <w:spacing w:before="567" w:after="283" w:line="240" w:lineRule="auto"/>
      <w:ind w:left="1417" w:hanging="510"/>
    </w:pPr>
    <w:rPr>
      <w:rFonts w:ascii="Univers" w:eastAsia="Times New Roman" w:hAnsi="Univers" w:cs="Times New Roman"/>
      <w:b/>
      <w:color w:val="000000"/>
      <w:sz w:val="26"/>
      <w:szCs w:val="20"/>
      <w:lang w:val="en-AU"/>
    </w:rPr>
  </w:style>
  <w:style w:type="character" w:customStyle="1" w:styleId="tpiconChar">
    <w:name w:val="tópico nº Char"/>
    <w:link w:val="tpicon"/>
    <w:uiPriority w:val="99"/>
    <w:locked/>
    <w:rsid w:val="00F05CE3"/>
    <w:rPr>
      <w:rFonts w:ascii="Univers" w:eastAsia="Times New Roman" w:hAnsi="Univers" w:cs="Times New Roman"/>
      <w:b/>
      <w:color w:val="000000"/>
      <w:sz w:val="26"/>
      <w:szCs w:val="20"/>
      <w:lang w:val="en-AU"/>
    </w:rPr>
  </w:style>
  <w:style w:type="paragraph" w:customStyle="1" w:styleId="tpiconsea">
    <w:name w:val="tópico nº s/ e.a."/>
    <w:basedOn w:val="tpicon"/>
    <w:uiPriority w:val="99"/>
    <w:rsid w:val="00104F2E"/>
    <w:pPr>
      <w:spacing w:before="0"/>
    </w:pPr>
  </w:style>
  <w:style w:type="paragraph" w:customStyle="1" w:styleId="01CAPAnomedaempresa">
    <w:name w:val="01. «CAPA» nome da empresa"/>
    <w:basedOn w:val="Normal"/>
    <w:rsid w:val="00DF2D62"/>
    <w:pPr>
      <w:framePr w:hSpace="180" w:vSpace="180" w:wrap="auto" w:vAnchor="page" w:hAnchor="margin" w:xAlign="center" w:y="6693"/>
      <w:pBdr>
        <w:top w:val="single" w:sz="6" w:space="0" w:color="auto"/>
        <w:left w:val="single" w:sz="6" w:space="0" w:color="auto"/>
        <w:bottom w:val="single" w:sz="6" w:space="0" w:color="auto"/>
        <w:right w:val="single" w:sz="6" w:space="0" w:color="auto"/>
      </w:pBdr>
      <w:tabs>
        <w:tab w:val="left" w:pos="2260"/>
        <w:tab w:val="right" w:pos="6740"/>
      </w:tabs>
      <w:spacing w:after="520" w:line="240" w:lineRule="auto"/>
      <w:ind w:left="1600" w:right="1061"/>
    </w:pPr>
    <w:rPr>
      <w:rFonts w:ascii="Times" w:eastAsia="Times New Roman" w:hAnsi="Times" w:cs="Times New Roman"/>
      <w:b/>
      <w:sz w:val="26"/>
      <w:szCs w:val="20"/>
    </w:rPr>
  </w:style>
  <w:style w:type="paragraph" w:styleId="Textodebalo">
    <w:name w:val="Balloon Text"/>
    <w:basedOn w:val="Normal"/>
    <w:link w:val="TextodebaloChar"/>
    <w:uiPriority w:val="99"/>
    <w:semiHidden/>
    <w:unhideWhenUsed/>
    <w:rsid w:val="00CA5E2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A5E2F"/>
    <w:rPr>
      <w:rFonts w:ascii="Segoe UI" w:hAnsi="Segoe UI" w:cs="Segoe UI"/>
      <w:sz w:val="18"/>
      <w:szCs w:val="18"/>
    </w:rPr>
  </w:style>
  <w:style w:type="paragraph" w:styleId="NormalWeb">
    <w:name w:val="Normal (Web)"/>
    <w:basedOn w:val="Normal"/>
    <w:uiPriority w:val="99"/>
    <w:semiHidden/>
    <w:unhideWhenUsed/>
    <w:rsid w:val="00E1215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D930E7"/>
    <w:rPr>
      <w:sz w:val="16"/>
      <w:szCs w:val="16"/>
    </w:rPr>
  </w:style>
  <w:style w:type="paragraph" w:styleId="Assuntodocomentrio">
    <w:name w:val="annotation subject"/>
    <w:basedOn w:val="Textodecomentrio"/>
    <w:next w:val="Textodecomentrio"/>
    <w:link w:val="AssuntodocomentrioChar"/>
    <w:uiPriority w:val="99"/>
    <w:semiHidden/>
    <w:unhideWhenUsed/>
    <w:rsid w:val="00D930E7"/>
    <w:pPr>
      <w:spacing w:after="160"/>
      <w:jc w:val="left"/>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1"/>
    <w:link w:val="Assuntodocomentrio"/>
    <w:uiPriority w:val="99"/>
    <w:semiHidden/>
    <w:rsid w:val="00D930E7"/>
    <w:rPr>
      <w:rFonts w:ascii="@PMingLiU" w:eastAsia="Times New Roman" w:hAnsi="@PMingLiU" w:cs="Times New Roman"/>
      <w:b/>
      <w:bCs/>
      <w:sz w:val="20"/>
      <w:szCs w:val="20"/>
      <w:lang w:eastAsia="pt-BR"/>
    </w:rPr>
  </w:style>
  <w:style w:type="table" w:styleId="Tabelacomgrade">
    <w:name w:val="Table Grid"/>
    <w:basedOn w:val="Tabelanormal"/>
    <w:uiPriority w:val="39"/>
    <w:rsid w:val="006D2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108">
      <w:bodyDiv w:val="1"/>
      <w:marLeft w:val="0"/>
      <w:marRight w:val="0"/>
      <w:marTop w:val="0"/>
      <w:marBottom w:val="0"/>
      <w:divBdr>
        <w:top w:val="none" w:sz="0" w:space="0" w:color="auto"/>
        <w:left w:val="none" w:sz="0" w:space="0" w:color="auto"/>
        <w:bottom w:val="none" w:sz="0" w:space="0" w:color="auto"/>
        <w:right w:val="none" w:sz="0" w:space="0" w:color="auto"/>
      </w:divBdr>
    </w:div>
    <w:div w:id="7830220">
      <w:bodyDiv w:val="1"/>
      <w:marLeft w:val="0"/>
      <w:marRight w:val="0"/>
      <w:marTop w:val="0"/>
      <w:marBottom w:val="0"/>
      <w:divBdr>
        <w:top w:val="none" w:sz="0" w:space="0" w:color="auto"/>
        <w:left w:val="none" w:sz="0" w:space="0" w:color="auto"/>
        <w:bottom w:val="none" w:sz="0" w:space="0" w:color="auto"/>
        <w:right w:val="none" w:sz="0" w:space="0" w:color="auto"/>
      </w:divBdr>
    </w:div>
    <w:div w:id="12463746">
      <w:bodyDiv w:val="1"/>
      <w:marLeft w:val="0"/>
      <w:marRight w:val="0"/>
      <w:marTop w:val="0"/>
      <w:marBottom w:val="0"/>
      <w:divBdr>
        <w:top w:val="none" w:sz="0" w:space="0" w:color="auto"/>
        <w:left w:val="none" w:sz="0" w:space="0" w:color="auto"/>
        <w:bottom w:val="none" w:sz="0" w:space="0" w:color="auto"/>
        <w:right w:val="none" w:sz="0" w:space="0" w:color="auto"/>
      </w:divBdr>
    </w:div>
    <w:div w:id="19015433">
      <w:bodyDiv w:val="1"/>
      <w:marLeft w:val="0"/>
      <w:marRight w:val="0"/>
      <w:marTop w:val="0"/>
      <w:marBottom w:val="0"/>
      <w:divBdr>
        <w:top w:val="none" w:sz="0" w:space="0" w:color="auto"/>
        <w:left w:val="none" w:sz="0" w:space="0" w:color="auto"/>
        <w:bottom w:val="none" w:sz="0" w:space="0" w:color="auto"/>
        <w:right w:val="none" w:sz="0" w:space="0" w:color="auto"/>
      </w:divBdr>
    </w:div>
    <w:div w:id="32271275">
      <w:bodyDiv w:val="1"/>
      <w:marLeft w:val="0"/>
      <w:marRight w:val="0"/>
      <w:marTop w:val="0"/>
      <w:marBottom w:val="0"/>
      <w:divBdr>
        <w:top w:val="none" w:sz="0" w:space="0" w:color="auto"/>
        <w:left w:val="none" w:sz="0" w:space="0" w:color="auto"/>
        <w:bottom w:val="none" w:sz="0" w:space="0" w:color="auto"/>
        <w:right w:val="none" w:sz="0" w:space="0" w:color="auto"/>
      </w:divBdr>
    </w:div>
    <w:div w:id="49505355">
      <w:bodyDiv w:val="1"/>
      <w:marLeft w:val="0"/>
      <w:marRight w:val="0"/>
      <w:marTop w:val="0"/>
      <w:marBottom w:val="0"/>
      <w:divBdr>
        <w:top w:val="none" w:sz="0" w:space="0" w:color="auto"/>
        <w:left w:val="none" w:sz="0" w:space="0" w:color="auto"/>
        <w:bottom w:val="none" w:sz="0" w:space="0" w:color="auto"/>
        <w:right w:val="none" w:sz="0" w:space="0" w:color="auto"/>
      </w:divBdr>
    </w:div>
    <w:div w:id="52507715">
      <w:bodyDiv w:val="1"/>
      <w:marLeft w:val="0"/>
      <w:marRight w:val="0"/>
      <w:marTop w:val="0"/>
      <w:marBottom w:val="0"/>
      <w:divBdr>
        <w:top w:val="none" w:sz="0" w:space="0" w:color="auto"/>
        <w:left w:val="none" w:sz="0" w:space="0" w:color="auto"/>
        <w:bottom w:val="none" w:sz="0" w:space="0" w:color="auto"/>
        <w:right w:val="none" w:sz="0" w:space="0" w:color="auto"/>
      </w:divBdr>
    </w:div>
    <w:div w:id="102847135">
      <w:bodyDiv w:val="1"/>
      <w:marLeft w:val="0"/>
      <w:marRight w:val="0"/>
      <w:marTop w:val="0"/>
      <w:marBottom w:val="0"/>
      <w:divBdr>
        <w:top w:val="none" w:sz="0" w:space="0" w:color="auto"/>
        <w:left w:val="none" w:sz="0" w:space="0" w:color="auto"/>
        <w:bottom w:val="none" w:sz="0" w:space="0" w:color="auto"/>
        <w:right w:val="none" w:sz="0" w:space="0" w:color="auto"/>
      </w:divBdr>
    </w:div>
    <w:div w:id="109083544">
      <w:bodyDiv w:val="1"/>
      <w:marLeft w:val="0"/>
      <w:marRight w:val="0"/>
      <w:marTop w:val="0"/>
      <w:marBottom w:val="0"/>
      <w:divBdr>
        <w:top w:val="none" w:sz="0" w:space="0" w:color="auto"/>
        <w:left w:val="none" w:sz="0" w:space="0" w:color="auto"/>
        <w:bottom w:val="none" w:sz="0" w:space="0" w:color="auto"/>
        <w:right w:val="none" w:sz="0" w:space="0" w:color="auto"/>
      </w:divBdr>
    </w:div>
    <w:div w:id="139926598">
      <w:bodyDiv w:val="1"/>
      <w:marLeft w:val="0"/>
      <w:marRight w:val="0"/>
      <w:marTop w:val="0"/>
      <w:marBottom w:val="0"/>
      <w:divBdr>
        <w:top w:val="none" w:sz="0" w:space="0" w:color="auto"/>
        <w:left w:val="none" w:sz="0" w:space="0" w:color="auto"/>
        <w:bottom w:val="none" w:sz="0" w:space="0" w:color="auto"/>
        <w:right w:val="none" w:sz="0" w:space="0" w:color="auto"/>
      </w:divBdr>
    </w:div>
    <w:div w:id="141820965">
      <w:bodyDiv w:val="1"/>
      <w:marLeft w:val="0"/>
      <w:marRight w:val="0"/>
      <w:marTop w:val="0"/>
      <w:marBottom w:val="0"/>
      <w:divBdr>
        <w:top w:val="none" w:sz="0" w:space="0" w:color="auto"/>
        <w:left w:val="none" w:sz="0" w:space="0" w:color="auto"/>
        <w:bottom w:val="none" w:sz="0" w:space="0" w:color="auto"/>
        <w:right w:val="none" w:sz="0" w:space="0" w:color="auto"/>
      </w:divBdr>
    </w:div>
    <w:div w:id="146483421">
      <w:bodyDiv w:val="1"/>
      <w:marLeft w:val="0"/>
      <w:marRight w:val="0"/>
      <w:marTop w:val="0"/>
      <w:marBottom w:val="0"/>
      <w:divBdr>
        <w:top w:val="none" w:sz="0" w:space="0" w:color="auto"/>
        <w:left w:val="none" w:sz="0" w:space="0" w:color="auto"/>
        <w:bottom w:val="none" w:sz="0" w:space="0" w:color="auto"/>
        <w:right w:val="none" w:sz="0" w:space="0" w:color="auto"/>
      </w:divBdr>
    </w:div>
    <w:div w:id="224993290">
      <w:bodyDiv w:val="1"/>
      <w:marLeft w:val="0"/>
      <w:marRight w:val="0"/>
      <w:marTop w:val="0"/>
      <w:marBottom w:val="0"/>
      <w:divBdr>
        <w:top w:val="none" w:sz="0" w:space="0" w:color="auto"/>
        <w:left w:val="none" w:sz="0" w:space="0" w:color="auto"/>
        <w:bottom w:val="none" w:sz="0" w:space="0" w:color="auto"/>
        <w:right w:val="none" w:sz="0" w:space="0" w:color="auto"/>
      </w:divBdr>
    </w:div>
    <w:div w:id="241917134">
      <w:bodyDiv w:val="1"/>
      <w:marLeft w:val="0"/>
      <w:marRight w:val="0"/>
      <w:marTop w:val="0"/>
      <w:marBottom w:val="0"/>
      <w:divBdr>
        <w:top w:val="none" w:sz="0" w:space="0" w:color="auto"/>
        <w:left w:val="none" w:sz="0" w:space="0" w:color="auto"/>
        <w:bottom w:val="none" w:sz="0" w:space="0" w:color="auto"/>
        <w:right w:val="none" w:sz="0" w:space="0" w:color="auto"/>
      </w:divBdr>
    </w:div>
    <w:div w:id="260722275">
      <w:bodyDiv w:val="1"/>
      <w:marLeft w:val="0"/>
      <w:marRight w:val="0"/>
      <w:marTop w:val="0"/>
      <w:marBottom w:val="0"/>
      <w:divBdr>
        <w:top w:val="none" w:sz="0" w:space="0" w:color="auto"/>
        <w:left w:val="none" w:sz="0" w:space="0" w:color="auto"/>
        <w:bottom w:val="none" w:sz="0" w:space="0" w:color="auto"/>
        <w:right w:val="none" w:sz="0" w:space="0" w:color="auto"/>
      </w:divBdr>
    </w:div>
    <w:div w:id="365563618">
      <w:bodyDiv w:val="1"/>
      <w:marLeft w:val="0"/>
      <w:marRight w:val="0"/>
      <w:marTop w:val="0"/>
      <w:marBottom w:val="0"/>
      <w:divBdr>
        <w:top w:val="none" w:sz="0" w:space="0" w:color="auto"/>
        <w:left w:val="none" w:sz="0" w:space="0" w:color="auto"/>
        <w:bottom w:val="none" w:sz="0" w:space="0" w:color="auto"/>
        <w:right w:val="none" w:sz="0" w:space="0" w:color="auto"/>
      </w:divBdr>
    </w:div>
    <w:div w:id="368653141">
      <w:bodyDiv w:val="1"/>
      <w:marLeft w:val="0"/>
      <w:marRight w:val="0"/>
      <w:marTop w:val="0"/>
      <w:marBottom w:val="0"/>
      <w:divBdr>
        <w:top w:val="none" w:sz="0" w:space="0" w:color="auto"/>
        <w:left w:val="none" w:sz="0" w:space="0" w:color="auto"/>
        <w:bottom w:val="none" w:sz="0" w:space="0" w:color="auto"/>
        <w:right w:val="none" w:sz="0" w:space="0" w:color="auto"/>
      </w:divBdr>
    </w:div>
    <w:div w:id="405617437">
      <w:bodyDiv w:val="1"/>
      <w:marLeft w:val="0"/>
      <w:marRight w:val="0"/>
      <w:marTop w:val="0"/>
      <w:marBottom w:val="0"/>
      <w:divBdr>
        <w:top w:val="none" w:sz="0" w:space="0" w:color="auto"/>
        <w:left w:val="none" w:sz="0" w:space="0" w:color="auto"/>
        <w:bottom w:val="none" w:sz="0" w:space="0" w:color="auto"/>
        <w:right w:val="none" w:sz="0" w:space="0" w:color="auto"/>
      </w:divBdr>
    </w:div>
    <w:div w:id="415250718">
      <w:bodyDiv w:val="1"/>
      <w:marLeft w:val="0"/>
      <w:marRight w:val="0"/>
      <w:marTop w:val="0"/>
      <w:marBottom w:val="0"/>
      <w:divBdr>
        <w:top w:val="none" w:sz="0" w:space="0" w:color="auto"/>
        <w:left w:val="none" w:sz="0" w:space="0" w:color="auto"/>
        <w:bottom w:val="none" w:sz="0" w:space="0" w:color="auto"/>
        <w:right w:val="none" w:sz="0" w:space="0" w:color="auto"/>
      </w:divBdr>
    </w:div>
    <w:div w:id="435947064">
      <w:bodyDiv w:val="1"/>
      <w:marLeft w:val="0"/>
      <w:marRight w:val="0"/>
      <w:marTop w:val="0"/>
      <w:marBottom w:val="0"/>
      <w:divBdr>
        <w:top w:val="none" w:sz="0" w:space="0" w:color="auto"/>
        <w:left w:val="none" w:sz="0" w:space="0" w:color="auto"/>
        <w:bottom w:val="none" w:sz="0" w:space="0" w:color="auto"/>
        <w:right w:val="none" w:sz="0" w:space="0" w:color="auto"/>
      </w:divBdr>
    </w:div>
    <w:div w:id="501899738">
      <w:bodyDiv w:val="1"/>
      <w:marLeft w:val="0"/>
      <w:marRight w:val="0"/>
      <w:marTop w:val="0"/>
      <w:marBottom w:val="0"/>
      <w:divBdr>
        <w:top w:val="none" w:sz="0" w:space="0" w:color="auto"/>
        <w:left w:val="none" w:sz="0" w:space="0" w:color="auto"/>
        <w:bottom w:val="none" w:sz="0" w:space="0" w:color="auto"/>
        <w:right w:val="none" w:sz="0" w:space="0" w:color="auto"/>
      </w:divBdr>
    </w:div>
    <w:div w:id="508640331">
      <w:bodyDiv w:val="1"/>
      <w:marLeft w:val="0"/>
      <w:marRight w:val="0"/>
      <w:marTop w:val="0"/>
      <w:marBottom w:val="0"/>
      <w:divBdr>
        <w:top w:val="none" w:sz="0" w:space="0" w:color="auto"/>
        <w:left w:val="none" w:sz="0" w:space="0" w:color="auto"/>
        <w:bottom w:val="none" w:sz="0" w:space="0" w:color="auto"/>
        <w:right w:val="none" w:sz="0" w:space="0" w:color="auto"/>
      </w:divBdr>
    </w:div>
    <w:div w:id="511409551">
      <w:bodyDiv w:val="1"/>
      <w:marLeft w:val="0"/>
      <w:marRight w:val="0"/>
      <w:marTop w:val="0"/>
      <w:marBottom w:val="0"/>
      <w:divBdr>
        <w:top w:val="none" w:sz="0" w:space="0" w:color="auto"/>
        <w:left w:val="none" w:sz="0" w:space="0" w:color="auto"/>
        <w:bottom w:val="none" w:sz="0" w:space="0" w:color="auto"/>
        <w:right w:val="none" w:sz="0" w:space="0" w:color="auto"/>
      </w:divBdr>
    </w:div>
    <w:div w:id="511995182">
      <w:bodyDiv w:val="1"/>
      <w:marLeft w:val="0"/>
      <w:marRight w:val="0"/>
      <w:marTop w:val="0"/>
      <w:marBottom w:val="0"/>
      <w:divBdr>
        <w:top w:val="none" w:sz="0" w:space="0" w:color="auto"/>
        <w:left w:val="none" w:sz="0" w:space="0" w:color="auto"/>
        <w:bottom w:val="none" w:sz="0" w:space="0" w:color="auto"/>
        <w:right w:val="none" w:sz="0" w:space="0" w:color="auto"/>
      </w:divBdr>
    </w:div>
    <w:div w:id="517932571">
      <w:bodyDiv w:val="1"/>
      <w:marLeft w:val="0"/>
      <w:marRight w:val="0"/>
      <w:marTop w:val="0"/>
      <w:marBottom w:val="0"/>
      <w:divBdr>
        <w:top w:val="none" w:sz="0" w:space="0" w:color="auto"/>
        <w:left w:val="none" w:sz="0" w:space="0" w:color="auto"/>
        <w:bottom w:val="none" w:sz="0" w:space="0" w:color="auto"/>
        <w:right w:val="none" w:sz="0" w:space="0" w:color="auto"/>
      </w:divBdr>
    </w:div>
    <w:div w:id="528758132">
      <w:bodyDiv w:val="1"/>
      <w:marLeft w:val="0"/>
      <w:marRight w:val="0"/>
      <w:marTop w:val="0"/>
      <w:marBottom w:val="0"/>
      <w:divBdr>
        <w:top w:val="none" w:sz="0" w:space="0" w:color="auto"/>
        <w:left w:val="none" w:sz="0" w:space="0" w:color="auto"/>
        <w:bottom w:val="none" w:sz="0" w:space="0" w:color="auto"/>
        <w:right w:val="none" w:sz="0" w:space="0" w:color="auto"/>
      </w:divBdr>
    </w:div>
    <w:div w:id="594482137">
      <w:bodyDiv w:val="1"/>
      <w:marLeft w:val="0"/>
      <w:marRight w:val="0"/>
      <w:marTop w:val="0"/>
      <w:marBottom w:val="0"/>
      <w:divBdr>
        <w:top w:val="none" w:sz="0" w:space="0" w:color="auto"/>
        <w:left w:val="none" w:sz="0" w:space="0" w:color="auto"/>
        <w:bottom w:val="none" w:sz="0" w:space="0" w:color="auto"/>
        <w:right w:val="none" w:sz="0" w:space="0" w:color="auto"/>
      </w:divBdr>
    </w:div>
    <w:div w:id="605967221">
      <w:bodyDiv w:val="1"/>
      <w:marLeft w:val="0"/>
      <w:marRight w:val="0"/>
      <w:marTop w:val="0"/>
      <w:marBottom w:val="0"/>
      <w:divBdr>
        <w:top w:val="none" w:sz="0" w:space="0" w:color="auto"/>
        <w:left w:val="none" w:sz="0" w:space="0" w:color="auto"/>
        <w:bottom w:val="none" w:sz="0" w:space="0" w:color="auto"/>
        <w:right w:val="none" w:sz="0" w:space="0" w:color="auto"/>
      </w:divBdr>
    </w:div>
    <w:div w:id="606037066">
      <w:bodyDiv w:val="1"/>
      <w:marLeft w:val="0"/>
      <w:marRight w:val="0"/>
      <w:marTop w:val="0"/>
      <w:marBottom w:val="0"/>
      <w:divBdr>
        <w:top w:val="none" w:sz="0" w:space="0" w:color="auto"/>
        <w:left w:val="none" w:sz="0" w:space="0" w:color="auto"/>
        <w:bottom w:val="none" w:sz="0" w:space="0" w:color="auto"/>
        <w:right w:val="none" w:sz="0" w:space="0" w:color="auto"/>
      </w:divBdr>
    </w:div>
    <w:div w:id="614406912">
      <w:bodyDiv w:val="1"/>
      <w:marLeft w:val="0"/>
      <w:marRight w:val="0"/>
      <w:marTop w:val="0"/>
      <w:marBottom w:val="0"/>
      <w:divBdr>
        <w:top w:val="none" w:sz="0" w:space="0" w:color="auto"/>
        <w:left w:val="none" w:sz="0" w:space="0" w:color="auto"/>
        <w:bottom w:val="none" w:sz="0" w:space="0" w:color="auto"/>
        <w:right w:val="none" w:sz="0" w:space="0" w:color="auto"/>
      </w:divBdr>
    </w:div>
    <w:div w:id="660088794">
      <w:bodyDiv w:val="1"/>
      <w:marLeft w:val="0"/>
      <w:marRight w:val="0"/>
      <w:marTop w:val="0"/>
      <w:marBottom w:val="0"/>
      <w:divBdr>
        <w:top w:val="none" w:sz="0" w:space="0" w:color="auto"/>
        <w:left w:val="none" w:sz="0" w:space="0" w:color="auto"/>
        <w:bottom w:val="none" w:sz="0" w:space="0" w:color="auto"/>
        <w:right w:val="none" w:sz="0" w:space="0" w:color="auto"/>
      </w:divBdr>
    </w:div>
    <w:div w:id="669257703">
      <w:bodyDiv w:val="1"/>
      <w:marLeft w:val="0"/>
      <w:marRight w:val="0"/>
      <w:marTop w:val="0"/>
      <w:marBottom w:val="0"/>
      <w:divBdr>
        <w:top w:val="none" w:sz="0" w:space="0" w:color="auto"/>
        <w:left w:val="none" w:sz="0" w:space="0" w:color="auto"/>
        <w:bottom w:val="none" w:sz="0" w:space="0" w:color="auto"/>
        <w:right w:val="none" w:sz="0" w:space="0" w:color="auto"/>
      </w:divBdr>
    </w:div>
    <w:div w:id="693654920">
      <w:bodyDiv w:val="1"/>
      <w:marLeft w:val="0"/>
      <w:marRight w:val="0"/>
      <w:marTop w:val="0"/>
      <w:marBottom w:val="0"/>
      <w:divBdr>
        <w:top w:val="none" w:sz="0" w:space="0" w:color="auto"/>
        <w:left w:val="none" w:sz="0" w:space="0" w:color="auto"/>
        <w:bottom w:val="none" w:sz="0" w:space="0" w:color="auto"/>
        <w:right w:val="none" w:sz="0" w:space="0" w:color="auto"/>
      </w:divBdr>
    </w:div>
    <w:div w:id="703598524">
      <w:bodyDiv w:val="1"/>
      <w:marLeft w:val="0"/>
      <w:marRight w:val="0"/>
      <w:marTop w:val="0"/>
      <w:marBottom w:val="0"/>
      <w:divBdr>
        <w:top w:val="none" w:sz="0" w:space="0" w:color="auto"/>
        <w:left w:val="none" w:sz="0" w:space="0" w:color="auto"/>
        <w:bottom w:val="none" w:sz="0" w:space="0" w:color="auto"/>
        <w:right w:val="none" w:sz="0" w:space="0" w:color="auto"/>
      </w:divBdr>
    </w:div>
    <w:div w:id="798033808">
      <w:bodyDiv w:val="1"/>
      <w:marLeft w:val="0"/>
      <w:marRight w:val="0"/>
      <w:marTop w:val="0"/>
      <w:marBottom w:val="0"/>
      <w:divBdr>
        <w:top w:val="none" w:sz="0" w:space="0" w:color="auto"/>
        <w:left w:val="none" w:sz="0" w:space="0" w:color="auto"/>
        <w:bottom w:val="none" w:sz="0" w:space="0" w:color="auto"/>
        <w:right w:val="none" w:sz="0" w:space="0" w:color="auto"/>
      </w:divBdr>
    </w:div>
    <w:div w:id="839387293">
      <w:bodyDiv w:val="1"/>
      <w:marLeft w:val="0"/>
      <w:marRight w:val="0"/>
      <w:marTop w:val="0"/>
      <w:marBottom w:val="0"/>
      <w:divBdr>
        <w:top w:val="none" w:sz="0" w:space="0" w:color="auto"/>
        <w:left w:val="none" w:sz="0" w:space="0" w:color="auto"/>
        <w:bottom w:val="none" w:sz="0" w:space="0" w:color="auto"/>
        <w:right w:val="none" w:sz="0" w:space="0" w:color="auto"/>
      </w:divBdr>
    </w:div>
    <w:div w:id="881790079">
      <w:bodyDiv w:val="1"/>
      <w:marLeft w:val="0"/>
      <w:marRight w:val="0"/>
      <w:marTop w:val="0"/>
      <w:marBottom w:val="0"/>
      <w:divBdr>
        <w:top w:val="none" w:sz="0" w:space="0" w:color="auto"/>
        <w:left w:val="none" w:sz="0" w:space="0" w:color="auto"/>
        <w:bottom w:val="none" w:sz="0" w:space="0" w:color="auto"/>
        <w:right w:val="none" w:sz="0" w:space="0" w:color="auto"/>
      </w:divBdr>
    </w:div>
    <w:div w:id="884609766">
      <w:bodyDiv w:val="1"/>
      <w:marLeft w:val="0"/>
      <w:marRight w:val="0"/>
      <w:marTop w:val="0"/>
      <w:marBottom w:val="0"/>
      <w:divBdr>
        <w:top w:val="none" w:sz="0" w:space="0" w:color="auto"/>
        <w:left w:val="none" w:sz="0" w:space="0" w:color="auto"/>
        <w:bottom w:val="none" w:sz="0" w:space="0" w:color="auto"/>
        <w:right w:val="none" w:sz="0" w:space="0" w:color="auto"/>
      </w:divBdr>
    </w:div>
    <w:div w:id="890700008">
      <w:bodyDiv w:val="1"/>
      <w:marLeft w:val="0"/>
      <w:marRight w:val="0"/>
      <w:marTop w:val="0"/>
      <w:marBottom w:val="0"/>
      <w:divBdr>
        <w:top w:val="none" w:sz="0" w:space="0" w:color="auto"/>
        <w:left w:val="none" w:sz="0" w:space="0" w:color="auto"/>
        <w:bottom w:val="none" w:sz="0" w:space="0" w:color="auto"/>
        <w:right w:val="none" w:sz="0" w:space="0" w:color="auto"/>
      </w:divBdr>
    </w:div>
    <w:div w:id="892885845">
      <w:bodyDiv w:val="1"/>
      <w:marLeft w:val="0"/>
      <w:marRight w:val="0"/>
      <w:marTop w:val="0"/>
      <w:marBottom w:val="0"/>
      <w:divBdr>
        <w:top w:val="none" w:sz="0" w:space="0" w:color="auto"/>
        <w:left w:val="none" w:sz="0" w:space="0" w:color="auto"/>
        <w:bottom w:val="none" w:sz="0" w:space="0" w:color="auto"/>
        <w:right w:val="none" w:sz="0" w:space="0" w:color="auto"/>
      </w:divBdr>
    </w:div>
    <w:div w:id="922296886">
      <w:bodyDiv w:val="1"/>
      <w:marLeft w:val="0"/>
      <w:marRight w:val="0"/>
      <w:marTop w:val="0"/>
      <w:marBottom w:val="0"/>
      <w:divBdr>
        <w:top w:val="none" w:sz="0" w:space="0" w:color="auto"/>
        <w:left w:val="none" w:sz="0" w:space="0" w:color="auto"/>
        <w:bottom w:val="none" w:sz="0" w:space="0" w:color="auto"/>
        <w:right w:val="none" w:sz="0" w:space="0" w:color="auto"/>
      </w:divBdr>
    </w:div>
    <w:div w:id="923606907">
      <w:bodyDiv w:val="1"/>
      <w:marLeft w:val="0"/>
      <w:marRight w:val="0"/>
      <w:marTop w:val="0"/>
      <w:marBottom w:val="0"/>
      <w:divBdr>
        <w:top w:val="none" w:sz="0" w:space="0" w:color="auto"/>
        <w:left w:val="none" w:sz="0" w:space="0" w:color="auto"/>
        <w:bottom w:val="none" w:sz="0" w:space="0" w:color="auto"/>
        <w:right w:val="none" w:sz="0" w:space="0" w:color="auto"/>
      </w:divBdr>
    </w:div>
    <w:div w:id="966861489">
      <w:bodyDiv w:val="1"/>
      <w:marLeft w:val="0"/>
      <w:marRight w:val="0"/>
      <w:marTop w:val="0"/>
      <w:marBottom w:val="0"/>
      <w:divBdr>
        <w:top w:val="none" w:sz="0" w:space="0" w:color="auto"/>
        <w:left w:val="none" w:sz="0" w:space="0" w:color="auto"/>
        <w:bottom w:val="none" w:sz="0" w:space="0" w:color="auto"/>
        <w:right w:val="none" w:sz="0" w:space="0" w:color="auto"/>
      </w:divBdr>
    </w:div>
    <w:div w:id="982540864">
      <w:bodyDiv w:val="1"/>
      <w:marLeft w:val="0"/>
      <w:marRight w:val="0"/>
      <w:marTop w:val="0"/>
      <w:marBottom w:val="0"/>
      <w:divBdr>
        <w:top w:val="none" w:sz="0" w:space="0" w:color="auto"/>
        <w:left w:val="none" w:sz="0" w:space="0" w:color="auto"/>
        <w:bottom w:val="none" w:sz="0" w:space="0" w:color="auto"/>
        <w:right w:val="none" w:sz="0" w:space="0" w:color="auto"/>
      </w:divBdr>
    </w:div>
    <w:div w:id="1032652240">
      <w:bodyDiv w:val="1"/>
      <w:marLeft w:val="0"/>
      <w:marRight w:val="0"/>
      <w:marTop w:val="0"/>
      <w:marBottom w:val="0"/>
      <w:divBdr>
        <w:top w:val="none" w:sz="0" w:space="0" w:color="auto"/>
        <w:left w:val="none" w:sz="0" w:space="0" w:color="auto"/>
        <w:bottom w:val="none" w:sz="0" w:space="0" w:color="auto"/>
        <w:right w:val="none" w:sz="0" w:space="0" w:color="auto"/>
      </w:divBdr>
    </w:div>
    <w:div w:id="1055201828">
      <w:bodyDiv w:val="1"/>
      <w:marLeft w:val="0"/>
      <w:marRight w:val="0"/>
      <w:marTop w:val="0"/>
      <w:marBottom w:val="0"/>
      <w:divBdr>
        <w:top w:val="none" w:sz="0" w:space="0" w:color="auto"/>
        <w:left w:val="none" w:sz="0" w:space="0" w:color="auto"/>
        <w:bottom w:val="none" w:sz="0" w:space="0" w:color="auto"/>
        <w:right w:val="none" w:sz="0" w:space="0" w:color="auto"/>
      </w:divBdr>
    </w:div>
    <w:div w:id="1103183950">
      <w:bodyDiv w:val="1"/>
      <w:marLeft w:val="0"/>
      <w:marRight w:val="0"/>
      <w:marTop w:val="0"/>
      <w:marBottom w:val="0"/>
      <w:divBdr>
        <w:top w:val="none" w:sz="0" w:space="0" w:color="auto"/>
        <w:left w:val="none" w:sz="0" w:space="0" w:color="auto"/>
        <w:bottom w:val="none" w:sz="0" w:space="0" w:color="auto"/>
        <w:right w:val="none" w:sz="0" w:space="0" w:color="auto"/>
      </w:divBdr>
    </w:div>
    <w:div w:id="1112936438">
      <w:bodyDiv w:val="1"/>
      <w:marLeft w:val="0"/>
      <w:marRight w:val="0"/>
      <w:marTop w:val="0"/>
      <w:marBottom w:val="0"/>
      <w:divBdr>
        <w:top w:val="none" w:sz="0" w:space="0" w:color="auto"/>
        <w:left w:val="none" w:sz="0" w:space="0" w:color="auto"/>
        <w:bottom w:val="none" w:sz="0" w:space="0" w:color="auto"/>
        <w:right w:val="none" w:sz="0" w:space="0" w:color="auto"/>
      </w:divBdr>
    </w:div>
    <w:div w:id="1125192896">
      <w:bodyDiv w:val="1"/>
      <w:marLeft w:val="0"/>
      <w:marRight w:val="0"/>
      <w:marTop w:val="0"/>
      <w:marBottom w:val="0"/>
      <w:divBdr>
        <w:top w:val="none" w:sz="0" w:space="0" w:color="auto"/>
        <w:left w:val="none" w:sz="0" w:space="0" w:color="auto"/>
        <w:bottom w:val="none" w:sz="0" w:space="0" w:color="auto"/>
        <w:right w:val="none" w:sz="0" w:space="0" w:color="auto"/>
      </w:divBdr>
    </w:div>
    <w:div w:id="1209414224">
      <w:bodyDiv w:val="1"/>
      <w:marLeft w:val="0"/>
      <w:marRight w:val="0"/>
      <w:marTop w:val="0"/>
      <w:marBottom w:val="0"/>
      <w:divBdr>
        <w:top w:val="none" w:sz="0" w:space="0" w:color="auto"/>
        <w:left w:val="none" w:sz="0" w:space="0" w:color="auto"/>
        <w:bottom w:val="none" w:sz="0" w:space="0" w:color="auto"/>
        <w:right w:val="none" w:sz="0" w:space="0" w:color="auto"/>
      </w:divBdr>
    </w:div>
    <w:div w:id="1251039849">
      <w:bodyDiv w:val="1"/>
      <w:marLeft w:val="0"/>
      <w:marRight w:val="0"/>
      <w:marTop w:val="0"/>
      <w:marBottom w:val="0"/>
      <w:divBdr>
        <w:top w:val="none" w:sz="0" w:space="0" w:color="auto"/>
        <w:left w:val="none" w:sz="0" w:space="0" w:color="auto"/>
        <w:bottom w:val="none" w:sz="0" w:space="0" w:color="auto"/>
        <w:right w:val="none" w:sz="0" w:space="0" w:color="auto"/>
      </w:divBdr>
    </w:div>
    <w:div w:id="1257904283">
      <w:bodyDiv w:val="1"/>
      <w:marLeft w:val="0"/>
      <w:marRight w:val="0"/>
      <w:marTop w:val="0"/>
      <w:marBottom w:val="0"/>
      <w:divBdr>
        <w:top w:val="none" w:sz="0" w:space="0" w:color="auto"/>
        <w:left w:val="none" w:sz="0" w:space="0" w:color="auto"/>
        <w:bottom w:val="none" w:sz="0" w:space="0" w:color="auto"/>
        <w:right w:val="none" w:sz="0" w:space="0" w:color="auto"/>
      </w:divBdr>
    </w:div>
    <w:div w:id="1276205914">
      <w:bodyDiv w:val="1"/>
      <w:marLeft w:val="0"/>
      <w:marRight w:val="0"/>
      <w:marTop w:val="0"/>
      <w:marBottom w:val="0"/>
      <w:divBdr>
        <w:top w:val="none" w:sz="0" w:space="0" w:color="auto"/>
        <w:left w:val="none" w:sz="0" w:space="0" w:color="auto"/>
        <w:bottom w:val="none" w:sz="0" w:space="0" w:color="auto"/>
        <w:right w:val="none" w:sz="0" w:space="0" w:color="auto"/>
      </w:divBdr>
    </w:div>
    <w:div w:id="1286473074">
      <w:bodyDiv w:val="1"/>
      <w:marLeft w:val="0"/>
      <w:marRight w:val="0"/>
      <w:marTop w:val="0"/>
      <w:marBottom w:val="0"/>
      <w:divBdr>
        <w:top w:val="none" w:sz="0" w:space="0" w:color="auto"/>
        <w:left w:val="none" w:sz="0" w:space="0" w:color="auto"/>
        <w:bottom w:val="none" w:sz="0" w:space="0" w:color="auto"/>
        <w:right w:val="none" w:sz="0" w:space="0" w:color="auto"/>
      </w:divBdr>
    </w:div>
    <w:div w:id="1338117210">
      <w:bodyDiv w:val="1"/>
      <w:marLeft w:val="0"/>
      <w:marRight w:val="0"/>
      <w:marTop w:val="0"/>
      <w:marBottom w:val="0"/>
      <w:divBdr>
        <w:top w:val="none" w:sz="0" w:space="0" w:color="auto"/>
        <w:left w:val="none" w:sz="0" w:space="0" w:color="auto"/>
        <w:bottom w:val="none" w:sz="0" w:space="0" w:color="auto"/>
        <w:right w:val="none" w:sz="0" w:space="0" w:color="auto"/>
      </w:divBdr>
    </w:div>
    <w:div w:id="1345325568">
      <w:bodyDiv w:val="1"/>
      <w:marLeft w:val="0"/>
      <w:marRight w:val="0"/>
      <w:marTop w:val="0"/>
      <w:marBottom w:val="0"/>
      <w:divBdr>
        <w:top w:val="none" w:sz="0" w:space="0" w:color="auto"/>
        <w:left w:val="none" w:sz="0" w:space="0" w:color="auto"/>
        <w:bottom w:val="none" w:sz="0" w:space="0" w:color="auto"/>
        <w:right w:val="none" w:sz="0" w:space="0" w:color="auto"/>
      </w:divBdr>
    </w:div>
    <w:div w:id="1360623656">
      <w:bodyDiv w:val="1"/>
      <w:marLeft w:val="0"/>
      <w:marRight w:val="0"/>
      <w:marTop w:val="0"/>
      <w:marBottom w:val="0"/>
      <w:divBdr>
        <w:top w:val="none" w:sz="0" w:space="0" w:color="auto"/>
        <w:left w:val="none" w:sz="0" w:space="0" w:color="auto"/>
        <w:bottom w:val="none" w:sz="0" w:space="0" w:color="auto"/>
        <w:right w:val="none" w:sz="0" w:space="0" w:color="auto"/>
      </w:divBdr>
    </w:div>
    <w:div w:id="1362248188">
      <w:bodyDiv w:val="1"/>
      <w:marLeft w:val="0"/>
      <w:marRight w:val="0"/>
      <w:marTop w:val="0"/>
      <w:marBottom w:val="0"/>
      <w:divBdr>
        <w:top w:val="none" w:sz="0" w:space="0" w:color="auto"/>
        <w:left w:val="none" w:sz="0" w:space="0" w:color="auto"/>
        <w:bottom w:val="none" w:sz="0" w:space="0" w:color="auto"/>
        <w:right w:val="none" w:sz="0" w:space="0" w:color="auto"/>
      </w:divBdr>
    </w:div>
    <w:div w:id="1392387783">
      <w:bodyDiv w:val="1"/>
      <w:marLeft w:val="0"/>
      <w:marRight w:val="0"/>
      <w:marTop w:val="0"/>
      <w:marBottom w:val="0"/>
      <w:divBdr>
        <w:top w:val="none" w:sz="0" w:space="0" w:color="auto"/>
        <w:left w:val="none" w:sz="0" w:space="0" w:color="auto"/>
        <w:bottom w:val="none" w:sz="0" w:space="0" w:color="auto"/>
        <w:right w:val="none" w:sz="0" w:space="0" w:color="auto"/>
      </w:divBdr>
    </w:div>
    <w:div w:id="1411124931">
      <w:bodyDiv w:val="1"/>
      <w:marLeft w:val="0"/>
      <w:marRight w:val="0"/>
      <w:marTop w:val="0"/>
      <w:marBottom w:val="0"/>
      <w:divBdr>
        <w:top w:val="none" w:sz="0" w:space="0" w:color="auto"/>
        <w:left w:val="none" w:sz="0" w:space="0" w:color="auto"/>
        <w:bottom w:val="none" w:sz="0" w:space="0" w:color="auto"/>
        <w:right w:val="none" w:sz="0" w:space="0" w:color="auto"/>
      </w:divBdr>
    </w:div>
    <w:div w:id="1413233880">
      <w:bodyDiv w:val="1"/>
      <w:marLeft w:val="0"/>
      <w:marRight w:val="0"/>
      <w:marTop w:val="0"/>
      <w:marBottom w:val="0"/>
      <w:divBdr>
        <w:top w:val="none" w:sz="0" w:space="0" w:color="auto"/>
        <w:left w:val="none" w:sz="0" w:space="0" w:color="auto"/>
        <w:bottom w:val="none" w:sz="0" w:space="0" w:color="auto"/>
        <w:right w:val="none" w:sz="0" w:space="0" w:color="auto"/>
      </w:divBdr>
    </w:div>
    <w:div w:id="1440756873">
      <w:bodyDiv w:val="1"/>
      <w:marLeft w:val="0"/>
      <w:marRight w:val="0"/>
      <w:marTop w:val="0"/>
      <w:marBottom w:val="0"/>
      <w:divBdr>
        <w:top w:val="none" w:sz="0" w:space="0" w:color="auto"/>
        <w:left w:val="none" w:sz="0" w:space="0" w:color="auto"/>
        <w:bottom w:val="none" w:sz="0" w:space="0" w:color="auto"/>
        <w:right w:val="none" w:sz="0" w:space="0" w:color="auto"/>
      </w:divBdr>
    </w:div>
    <w:div w:id="1452431782">
      <w:bodyDiv w:val="1"/>
      <w:marLeft w:val="0"/>
      <w:marRight w:val="0"/>
      <w:marTop w:val="0"/>
      <w:marBottom w:val="0"/>
      <w:divBdr>
        <w:top w:val="none" w:sz="0" w:space="0" w:color="auto"/>
        <w:left w:val="none" w:sz="0" w:space="0" w:color="auto"/>
        <w:bottom w:val="none" w:sz="0" w:space="0" w:color="auto"/>
        <w:right w:val="none" w:sz="0" w:space="0" w:color="auto"/>
      </w:divBdr>
    </w:div>
    <w:div w:id="1458643966">
      <w:bodyDiv w:val="1"/>
      <w:marLeft w:val="0"/>
      <w:marRight w:val="0"/>
      <w:marTop w:val="0"/>
      <w:marBottom w:val="0"/>
      <w:divBdr>
        <w:top w:val="none" w:sz="0" w:space="0" w:color="auto"/>
        <w:left w:val="none" w:sz="0" w:space="0" w:color="auto"/>
        <w:bottom w:val="none" w:sz="0" w:space="0" w:color="auto"/>
        <w:right w:val="none" w:sz="0" w:space="0" w:color="auto"/>
      </w:divBdr>
    </w:div>
    <w:div w:id="1485856667">
      <w:bodyDiv w:val="1"/>
      <w:marLeft w:val="0"/>
      <w:marRight w:val="0"/>
      <w:marTop w:val="0"/>
      <w:marBottom w:val="0"/>
      <w:divBdr>
        <w:top w:val="none" w:sz="0" w:space="0" w:color="auto"/>
        <w:left w:val="none" w:sz="0" w:space="0" w:color="auto"/>
        <w:bottom w:val="none" w:sz="0" w:space="0" w:color="auto"/>
        <w:right w:val="none" w:sz="0" w:space="0" w:color="auto"/>
      </w:divBdr>
    </w:div>
    <w:div w:id="1517304336">
      <w:bodyDiv w:val="1"/>
      <w:marLeft w:val="0"/>
      <w:marRight w:val="0"/>
      <w:marTop w:val="0"/>
      <w:marBottom w:val="0"/>
      <w:divBdr>
        <w:top w:val="none" w:sz="0" w:space="0" w:color="auto"/>
        <w:left w:val="none" w:sz="0" w:space="0" w:color="auto"/>
        <w:bottom w:val="none" w:sz="0" w:space="0" w:color="auto"/>
        <w:right w:val="none" w:sz="0" w:space="0" w:color="auto"/>
      </w:divBdr>
    </w:div>
    <w:div w:id="1521972230">
      <w:bodyDiv w:val="1"/>
      <w:marLeft w:val="0"/>
      <w:marRight w:val="0"/>
      <w:marTop w:val="0"/>
      <w:marBottom w:val="0"/>
      <w:divBdr>
        <w:top w:val="none" w:sz="0" w:space="0" w:color="auto"/>
        <w:left w:val="none" w:sz="0" w:space="0" w:color="auto"/>
        <w:bottom w:val="none" w:sz="0" w:space="0" w:color="auto"/>
        <w:right w:val="none" w:sz="0" w:space="0" w:color="auto"/>
      </w:divBdr>
    </w:div>
    <w:div w:id="1545213580">
      <w:bodyDiv w:val="1"/>
      <w:marLeft w:val="0"/>
      <w:marRight w:val="0"/>
      <w:marTop w:val="0"/>
      <w:marBottom w:val="0"/>
      <w:divBdr>
        <w:top w:val="none" w:sz="0" w:space="0" w:color="auto"/>
        <w:left w:val="none" w:sz="0" w:space="0" w:color="auto"/>
        <w:bottom w:val="none" w:sz="0" w:space="0" w:color="auto"/>
        <w:right w:val="none" w:sz="0" w:space="0" w:color="auto"/>
      </w:divBdr>
    </w:div>
    <w:div w:id="1575510208">
      <w:bodyDiv w:val="1"/>
      <w:marLeft w:val="0"/>
      <w:marRight w:val="0"/>
      <w:marTop w:val="0"/>
      <w:marBottom w:val="0"/>
      <w:divBdr>
        <w:top w:val="none" w:sz="0" w:space="0" w:color="auto"/>
        <w:left w:val="none" w:sz="0" w:space="0" w:color="auto"/>
        <w:bottom w:val="none" w:sz="0" w:space="0" w:color="auto"/>
        <w:right w:val="none" w:sz="0" w:space="0" w:color="auto"/>
      </w:divBdr>
    </w:div>
    <w:div w:id="1616332301">
      <w:bodyDiv w:val="1"/>
      <w:marLeft w:val="0"/>
      <w:marRight w:val="0"/>
      <w:marTop w:val="0"/>
      <w:marBottom w:val="0"/>
      <w:divBdr>
        <w:top w:val="none" w:sz="0" w:space="0" w:color="auto"/>
        <w:left w:val="none" w:sz="0" w:space="0" w:color="auto"/>
        <w:bottom w:val="none" w:sz="0" w:space="0" w:color="auto"/>
        <w:right w:val="none" w:sz="0" w:space="0" w:color="auto"/>
      </w:divBdr>
    </w:div>
    <w:div w:id="1671447126">
      <w:bodyDiv w:val="1"/>
      <w:marLeft w:val="0"/>
      <w:marRight w:val="0"/>
      <w:marTop w:val="0"/>
      <w:marBottom w:val="0"/>
      <w:divBdr>
        <w:top w:val="none" w:sz="0" w:space="0" w:color="auto"/>
        <w:left w:val="none" w:sz="0" w:space="0" w:color="auto"/>
        <w:bottom w:val="none" w:sz="0" w:space="0" w:color="auto"/>
        <w:right w:val="none" w:sz="0" w:space="0" w:color="auto"/>
      </w:divBdr>
    </w:div>
    <w:div w:id="1674455551">
      <w:bodyDiv w:val="1"/>
      <w:marLeft w:val="0"/>
      <w:marRight w:val="0"/>
      <w:marTop w:val="0"/>
      <w:marBottom w:val="0"/>
      <w:divBdr>
        <w:top w:val="none" w:sz="0" w:space="0" w:color="auto"/>
        <w:left w:val="none" w:sz="0" w:space="0" w:color="auto"/>
        <w:bottom w:val="none" w:sz="0" w:space="0" w:color="auto"/>
        <w:right w:val="none" w:sz="0" w:space="0" w:color="auto"/>
      </w:divBdr>
    </w:div>
    <w:div w:id="1678343694">
      <w:bodyDiv w:val="1"/>
      <w:marLeft w:val="0"/>
      <w:marRight w:val="0"/>
      <w:marTop w:val="0"/>
      <w:marBottom w:val="0"/>
      <w:divBdr>
        <w:top w:val="none" w:sz="0" w:space="0" w:color="auto"/>
        <w:left w:val="none" w:sz="0" w:space="0" w:color="auto"/>
        <w:bottom w:val="none" w:sz="0" w:space="0" w:color="auto"/>
        <w:right w:val="none" w:sz="0" w:space="0" w:color="auto"/>
      </w:divBdr>
    </w:div>
    <w:div w:id="1687443311">
      <w:bodyDiv w:val="1"/>
      <w:marLeft w:val="0"/>
      <w:marRight w:val="0"/>
      <w:marTop w:val="0"/>
      <w:marBottom w:val="0"/>
      <w:divBdr>
        <w:top w:val="none" w:sz="0" w:space="0" w:color="auto"/>
        <w:left w:val="none" w:sz="0" w:space="0" w:color="auto"/>
        <w:bottom w:val="none" w:sz="0" w:space="0" w:color="auto"/>
        <w:right w:val="none" w:sz="0" w:space="0" w:color="auto"/>
      </w:divBdr>
    </w:div>
    <w:div w:id="1745881599">
      <w:bodyDiv w:val="1"/>
      <w:marLeft w:val="0"/>
      <w:marRight w:val="0"/>
      <w:marTop w:val="0"/>
      <w:marBottom w:val="0"/>
      <w:divBdr>
        <w:top w:val="none" w:sz="0" w:space="0" w:color="auto"/>
        <w:left w:val="none" w:sz="0" w:space="0" w:color="auto"/>
        <w:bottom w:val="none" w:sz="0" w:space="0" w:color="auto"/>
        <w:right w:val="none" w:sz="0" w:space="0" w:color="auto"/>
      </w:divBdr>
    </w:div>
    <w:div w:id="1751925191">
      <w:bodyDiv w:val="1"/>
      <w:marLeft w:val="0"/>
      <w:marRight w:val="0"/>
      <w:marTop w:val="0"/>
      <w:marBottom w:val="0"/>
      <w:divBdr>
        <w:top w:val="none" w:sz="0" w:space="0" w:color="auto"/>
        <w:left w:val="none" w:sz="0" w:space="0" w:color="auto"/>
        <w:bottom w:val="none" w:sz="0" w:space="0" w:color="auto"/>
        <w:right w:val="none" w:sz="0" w:space="0" w:color="auto"/>
      </w:divBdr>
    </w:div>
    <w:div w:id="1758601075">
      <w:bodyDiv w:val="1"/>
      <w:marLeft w:val="0"/>
      <w:marRight w:val="0"/>
      <w:marTop w:val="0"/>
      <w:marBottom w:val="0"/>
      <w:divBdr>
        <w:top w:val="none" w:sz="0" w:space="0" w:color="auto"/>
        <w:left w:val="none" w:sz="0" w:space="0" w:color="auto"/>
        <w:bottom w:val="none" w:sz="0" w:space="0" w:color="auto"/>
        <w:right w:val="none" w:sz="0" w:space="0" w:color="auto"/>
      </w:divBdr>
    </w:div>
    <w:div w:id="1793788306">
      <w:bodyDiv w:val="1"/>
      <w:marLeft w:val="0"/>
      <w:marRight w:val="0"/>
      <w:marTop w:val="0"/>
      <w:marBottom w:val="0"/>
      <w:divBdr>
        <w:top w:val="none" w:sz="0" w:space="0" w:color="auto"/>
        <w:left w:val="none" w:sz="0" w:space="0" w:color="auto"/>
        <w:bottom w:val="none" w:sz="0" w:space="0" w:color="auto"/>
        <w:right w:val="none" w:sz="0" w:space="0" w:color="auto"/>
      </w:divBdr>
    </w:div>
    <w:div w:id="1854805389">
      <w:bodyDiv w:val="1"/>
      <w:marLeft w:val="0"/>
      <w:marRight w:val="0"/>
      <w:marTop w:val="0"/>
      <w:marBottom w:val="0"/>
      <w:divBdr>
        <w:top w:val="none" w:sz="0" w:space="0" w:color="auto"/>
        <w:left w:val="none" w:sz="0" w:space="0" w:color="auto"/>
        <w:bottom w:val="none" w:sz="0" w:space="0" w:color="auto"/>
        <w:right w:val="none" w:sz="0" w:space="0" w:color="auto"/>
      </w:divBdr>
    </w:div>
    <w:div w:id="1893686838">
      <w:bodyDiv w:val="1"/>
      <w:marLeft w:val="0"/>
      <w:marRight w:val="0"/>
      <w:marTop w:val="0"/>
      <w:marBottom w:val="0"/>
      <w:divBdr>
        <w:top w:val="none" w:sz="0" w:space="0" w:color="auto"/>
        <w:left w:val="none" w:sz="0" w:space="0" w:color="auto"/>
        <w:bottom w:val="none" w:sz="0" w:space="0" w:color="auto"/>
        <w:right w:val="none" w:sz="0" w:space="0" w:color="auto"/>
      </w:divBdr>
    </w:div>
    <w:div w:id="1944535254">
      <w:bodyDiv w:val="1"/>
      <w:marLeft w:val="0"/>
      <w:marRight w:val="0"/>
      <w:marTop w:val="0"/>
      <w:marBottom w:val="0"/>
      <w:divBdr>
        <w:top w:val="none" w:sz="0" w:space="0" w:color="auto"/>
        <w:left w:val="none" w:sz="0" w:space="0" w:color="auto"/>
        <w:bottom w:val="none" w:sz="0" w:space="0" w:color="auto"/>
        <w:right w:val="none" w:sz="0" w:space="0" w:color="auto"/>
      </w:divBdr>
    </w:div>
    <w:div w:id="1954970425">
      <w:bodyDiv w:val="1"/>
      <w:marLeft w:val="0"/>
      <w:marRight w:val="0"/>
      <w:marTop w:val="0"/>
      <w:marBottom w:val="0"/>
      <w:divBdr>
        <w:top w:val="none" w:sz="0" w:space="0" w:color="auto"/>
        <w:left w:val="none" w:sz="0" w:space="0" w:color="auto"/>
        <w:bottom w:val="none" w:sz="0" w:space="0" w:color="auto"/>
        <w:right w:val="none" w:sz="0" w:space="0" w:color="auto"/>
      </w:divBdr>
    </w:div>
    <w:div w:id="2045015134">
      <w:bodyDiv w:val="1"/>
      <w:marLeft w:val="0"/>
      <w:marRight w:val="0"/>
      <w:marTop w:val="0"/>
      <w:marBottom w:val="0"/>
      <w:divBdr>
        <w:top w:val="none" w:sz="0" w:space="0" w:color="auto"/>
        <w:left w:val="none" w:sz="0" w:space="0" w:color="auto"/>
        <w:bottom w:val="none" w:sz="0" w:space="0" w:color="auto"/>
        <w:right w:val="none" w:sz="0" w:space="0" w:color="auto"/>
      </w:divBdr>
    </w:div>
    <w:div w:id="2097943464">
      <w:bodyDiv w:val="1"/>
      <w:marLeft w:val="0"/>
      <w:marRight w:val="0"/>
      <w:marTop w:val="0"/>
      <w:marBottom w:val="0"/>
      <w:divBdr>
        <w:top w:val="none" w:sz="0" w:space="0" w:color="auto"/>
        <w:left w:val="none" w:sz="0" w:space="0" w:color="auto"/>
        <w:bottom w:val="none" w:sz="0" w:space="0" w:color="auto"/>
        <w:right w:val="none" w:sz="0" w:space="0" w:color="auto"/>
      </w:divBdr>
    </w:div>
    <w:div w:id="2118327685">
      <w:bodyDiv w:val="1"/>
      <w:marLeft w:val="0"/>
      <w:marRight w:val="0"/>
      <w:marTop w:val="0"/>
      <w:marBottom w:val="0"/>
      <w:divBdr>
        <w:top w:val="none" w:sz="0" w:space="0" w:color="auto"/>
        <w:left w:val="none" w:sz="0" w:space="0" w:color="auto"/>
        <w:bottom w:val="none" w:sz="0" w:space="0" w:color="auto"/>
        <w:right w:val="none" w:sz="0" w:space="0" w:color="auto"/>
      </w:divBdr>
    </w:div>
    <w:div w:id="2124765470">
      <w:bodyDiv w:val="1"/>
      <w:marLeft w:val="0"/>
      <w:marRight w:val="0"/>
      <w:marTop w:val="0"/>
      <w:marBottom w:val="0"/>
      <w:divBdr>
        <w:top w:val="none" w:sz="0" w:space="0" w:color="auto"/>
        <w:left w:val="none" w:sz="0" w:space="0" w:color="auto"/>
        <w:bottom w:val="none" w:sz="0" w:space="0" w:color="auto"/>
        <w:right w:val="none" w:sz="0" w:space="0" w:color="auto"/>
      </w:divBdr>
    </w:div>
    <w:div w:id="2135246422">
      <w:bodyDiv w:val="1"/>
      <w:marLeft w:val="0"/>
      <w:marRight w:val="0"/>
      <w:marTop w:val="0"/>
      <w:marBottom w:val="0"/>
      <w:divBdr>
        <w:top w:val="none" w:sz="0" w:space="0" w:color="auto"/>
        <w:left w:val="none" w:sz="0" w:space="0" w:color="auto"/>
        <w:bottom w:val="none" w:sz="0" w:space="0" w:color="auto"/>
        <w:right w:val="none" w:sz="0" w:space="0" w:color="auto"/>
      </w:divBdr>
    </w:div>
    <w:div w:id="2144149803">
      <w:bodyDiv w:val="1"/>
      <w:marLeft w:val="0"/>
      <w:marRight w:val="0"/>
      <w:marTop w:val="0"/>
      <w:marBottom w:val="0"/>
      <w:divBdr>
        <w:top w:val="none" w:sz="0" w:space="0" w:color="auto"/>
        <w:left w:val="none" w:sz="0" w:space="0" w:color="auto"/>
        <w:bottom w:val="none" w:sz="0" w:space="0" w:color="auto"/>
        <w:right w:val="none" w:sz="0" w:space="0" w:color="auto"/>
      </w:divBdr>
    </w:div>
    <w:div w:id="214646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gov.br/en/web/dou/-/decreto-n-11.235-de-13-de-outubro-de-2022-43582477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CDE27-0D39-4E43-8C12-91FADE6C7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58</Pages>
  <Words>22502</Words>
  <Characters>121517</Characters>
  <Application>Microsoft Office Word</Application>
  <DocSecurity>0</DocSecurity>
  <Lines>1012</Lines>
  <Paragraphs>287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Rocha Vinhal</dc:creator>
  <cp:keywords/>
  <dc:description/>
  <cp:lastModifiedBy>Natália Rocha</cp:lastModifiedBy>
  <cp:revision>33</cp:revision>
  <cp:lastPrinted>2022-09-05T18:52:00Z</cp:lastPrinted>
  <dcterms:created xsi:type="dcterms:W3CDTF">2023-01-19T21:24:00Z</dcterms:created>
  <dcterms:modified xsi:type="dcterms:W3CDTF">2023-02-08T19:55:00Z</dcterms:modified>
</cp:coreProperties>
</file>